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b w:val="1"/>
          <w:bCs w:val="1"/>
          <w:color w:val="auto"/>
        </w:rPr>
        <w:t>Confidential draft submitted to the Securities and Exchange Commission on June 20, 2025.</w:t>
      </w:r>
    </w:p>
    <w:p>
      <w:pPr>
        <w:spacing w:after="0" w:line="2" w:lineRule="exact"/>
        <w:rPr>
          <w:sz w:val="24"/>
          <w:szCs w:val="24"/>
          <w:color w:val="auto"/>
        </w:rPr>
      </w:pPr>
    </w:p>
    <w:p>
      <w:pPr>
        <w:ind w:left="9380" w:right="40" w:hanging="9294"/>
        <w:spacing w:after="0" w:line="313"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S-1</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REGISTRATION STATEMENT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ACT OF 1933</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NAVAN, INC.</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4" w:lineRule="exact"/>
        <w:rPr>
          <w:sz w:val="24"/>
          <w:szCs w:val="24"/>
          <w:color w:val="auto"/>
        </w:rPr>
      </w:pPr>
    </w:p>
    <w:tbl>
      <w:tblPr>
        <w:tblLayout w:type="fixed"/>
        <w:tblInd w:w="980" w:type="dxa"/>
        <w:tblCellMar>
          <w:top w:w="0" w:type="dxa"/>
          <w:left w:w="0" w:type="dxa"/>
          <w:bottom w:w="0" w:type="dxa"/>
          <w:right w:w="0" w:type="dxa"/>
        </w:tblCellMar>
      </w:tblPr>
      <w:tr>
        <w:trPr>
          <w:trHeight w:val="230"/>
        </w:trPr>
        <w:tc>
          <w:tcPr>
            <w:tcW w:w="2780" w:type="dxa"/>
            <w:vAlign w:val="bottom"/>
          </w:tcPr>
          <w:p>
            <w:pPr>
              <w:jc w:val="center"/>
              <w:ind w:right="928"/>
              <w:spacing w:after="0"/>
              <w:rPr>
                <w:sz w:val="20"/>
                <w:szCs w:val="20"/>
                <w:color w:val="auto"/>
              </w:rPr>
            </w:pPr>
            <w:r>
              <w:rPr>
                <w:rFonts w:ascii="Arial" w:cs="Arial" w:eastAsia="Arial" w:hAnsi="Arial"/>
                <w:sz w:val="18"/>
                <w:szCs w:val="18"/>
                <w:b w:val="1"/>
                <w:bCs w:val="1"/>
                <w:color w:val="auto"/>
                <w:w w:val="98"/>
              </w:rPr>
              <w:t>Delaware</w:t>
            </w:r>
          </w:p>
        </w:tc>
        <w:tc>
          <w:tcPr>
            <w:tcW w:w="3820" w:type="dxa"/>
            <w:vAlign w:val="bottom"/>
          </w:tcPr>
          <w:p>
            <w:pPr>
              <w:jc w:val="center"/>
              <w:ind w:right="28"/>
              <w:spacing w:after="0"/>
              <w:rPr>
                <w:sz w:val="20"/>
                <w:szCs w:val="20"/>
                <w:color w:val="auto"/>
              </w:rPr>
            </w:pPr>
            <w:r>
              <w:rPr>
                <w:rFonts w:ascii="Arial" w:cs="Arial" w:eastAsia="Arial" w:hAnsi="Arial"/>
                <w:sz w:val="18"/>
                <w:szCs w:val="18"/>
                <w:b w:val="1"/>
                <w:bCs w:val="1"/>
                <w:color w:val="auto"/>
                <w:w w:val="99"/>
              </w:rPr>
              <w:t>7372</w:t>
            </w:r>
          </w:p>
        </w:tc>
        <w:tc>
          <w:tcPr>
            <w:tcW w:w="2460" w:type="dxa"/>
            <w:vAlign w:val="bottom"/>
          </w:tcPr>
          <w:p>
            <w:pPr>
              <w:jc w:val="center"/>
              <w:ind w:left="1028"/>
              <w:spacing w:after="0"/>
              <w:rPr>
                <w:sz w:val="20"/>
                <w:szCs w:val="20"/>
                <w:color w:val="auto"/>
              </w:rPr>
            </w:pPr>
            <w:r>
              <w:rPr>
                <w:rFonts w:ascii="Arial" w:cs="Arial" w:eastAsia="Arial" w:hAnsi="Arial"/>
                <w:sz w:val="18"/>
                <w:szCs w:val="18"/>
                <w:b w:val="1"/>
                <w:bCs w:val="1"/>
                <w:color w:val="auto"/>
                <w:w w:val="99"/>
              </w:rPr>
              <w:t>47-3424780</w:t>
            </w:r>
          </w:p>
        </w:tc>
      </w:tr>
      <w:tr>
        <w:trPr>
          <w:trHeight w:val="126"/>
        </w:trPr>
        <w:tc>
          <w:tcPr>
            <w:tcW w:w="2780" w:type="dxa"/>
            <w:vAlign w:val="bottom"/>
          </w:tcPr>
          <w:p>
            <w:pPr>
              <w:jc w:val="center"/>
              <w:ind w:right="928"/>
              <w:spacing w:after="0" w:line="126" w:lineRule="exact"/>
              <w:rPr>
                <w:sz w:val="20"/>
                <w:szCs w:val="20"/>
                <w:color w:val="auto"/>
              </w:rPr>
            </w:pPr>
            <w:r>
              <w:rPr>
                <w:rFonts w:ascii="Arial" w:cs="Arial" w:eastAsia="Arial" w:hAnsi="Arial"/>
                <w:sz w:val="13"/>
                <w:szCs w:val="13"/>
                <w:b w:val="1"/>
                <w:bCs w:val="1"/>
                <w:color w:val="auto"/>
                <w:w w:val="97"/>
              </w:rPr>
              <w:t>(State or other jurisdiction of</w:t>
            </w:r>
          </w:p>
        </w:tc>
        <w:tc>
          <w:tcPr>
            <w:tcW w:w="3820" w:type="dxa"/>
            <w:vAlign w:val="bottom"/>
          </w:tcPr>
          <w:p>
            <w:pPr>
              <w:jc w:val="center"/>
              <w:ind w:right="48"/>
              <w:spacing w:after="0" w:line="126" w:lineRule="exact"/>
              <w:rPr>
                <w:sz w:val="20"/>
                <w:szCs w:val="20"/>
                <w:color w:val="auto"/>
              </w:rPr>
            </w:pPr>
            <w:r>
              <w:rPr>
                <w:rFonts w:ascii="Arial" w:cs="Arial" w:eastAsia="Arial" w:hAnsi="Arial"/>
                <w:sz w:val="13"/>
                <w:szCs w:val="13"/>
                <w:b w:val="1"/>
                <w:bCs w:val="1"/>
                <w:color w:val="auto"/>
                <w:w w:val="97"/>
              </w:rPr>
              <w:t>(Primary Standard Industrial</w:t>
            </w:r>
          </w:p>
        </w:tc>
        <w:tc>
          <w:tcPr>
            <w:tcW w:w="2460" w:type="dxa"/>
            <w:vAlign w:val="bottom"/>
          </w:tcPr>
          <w:p>
            <w:pPr>
              <w:jc w:val="center"/>
              <w:ind w:left="1028"/>
              <w:spacing w:after="0" w:line="126"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2780" w:type="dxa"/>
            <w:vAlign w:val="bottom"/>
          </w:tcPr>
          <w:p>
            <w:pPr>
              <w:jc w:val="center"/>
              <w:ind w:right="908"/>
              <w:spacing w:after="0"/>
              <w:rPr>
                <w:sz w:val="20"/>
                <w:szCs w:val="20"/>
                <w:color w:val="auto"/>
              </w:rPr>
            </w:pPr>
            <w:r>
              <w:rPr>
                <w:rFonts w:ascii="Arial" w:cs="Arial" w:eastAsia="Arial" w:hAnsi="Arial"/>
                <w:sz w:val="13"/>
                <w:szCs w:val="13"/>
                <w:b w:val="1"/>
                <w:bCs w:val="1"/>
                <w:color w:val="auto"/>
                <w:w w:val="96"/>
              </w:rPr>
              <w:t>incorporation or organization)</w:t>
            </w:r>
          </w:p>
        </w:tc>
        <w:tc>
          <w:tcPr>
            <w:tcW w:w="3820" w:type="dxa"/>
            <w:vAlign w:val="bottom"/>
          </w:tcPr>
          <w:p>
            <w:pPr>
              <w:jc w:val="center"/>
              <w:ind w:right="48"/>
              <w:spacing w:after="0"/>
              <w:rPr>
                <w:sz w:val="20"/>
                <w:szCs w:val="20"/>
                <w:color w:val="auto"/>
              </w:rPr>
            </w:pPr>
            <w:r>
              <w:rPr>
                <w:rFonts w:ascii="Arial" w:cs="Arial" w:eastAsia="Arial" w:hAnsi="Arial"/>
                <w:sz w:val="13"/>
                <w:szCs w:val="13"/>
                <w:b w:val="1"/>
                <w:bCs w:val="1"/>
                <w:color w:val="auto"/>
                <w:w w:val="97"/>
              </w:rPr>
              <w:t>Classification Code Number)</w:t>
            </w:r>
          </w:p>
        </w:tc>
        <w:tc>
          <w:tcPr>
            <w:tcW w:w="2460" w:type="dxa"/>
            <w:vAlign w:val="bottom"/>
          </w:tcPr>
          <w:p>
            <w:pPr>
              <w:jc w:val="center"/>
              <w:ind w:left="1048"/>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19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3045 Park Boulevard</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Palo Alto, California 94306</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(888) 505-8747</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104"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Ariel Cohen</w:t>
      </w:r>
    </w:p>
    <w:p>
      <w:pPr>
        <w:spacing w:after="0" w:line="29"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Chairperson of the Board of Directors and Chief Executive Officer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Navan, Inc.</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3045 Park Boulevard</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Palo Alto, California 94306</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(888) 505-8747</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182"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100" w:type="dxa"/>
            <w:vAlign w:val="bottom"/>
          </w:tcPr>
          <w:p>
            <w:pPr>
              <w:jc w:val="center"/>
              <w:ind w:right="208"/>
              <w:spacing w:after="0"/>
              <w:rPr>
                <w:sz w:val="20"/>
                <w:szCs w:val="20"/>
                <w:color w:val="auto"/>
              </w:rPr>
            </w:pPr>
            <w:r>
              <w:rPr>
                <w:rFonts w:ascii="Arial" w:cs="Arial" w:eastAsia="Arial" w:hAnsi="Arial"/>
                <w:sz w:val="14"/>
                <w:szCs w:val="14"/>
                <w:b w:val="1"/>
                <w:bCs w:val="1"/>
                <w:color w:val="auto"/>
              </w:rPr>
              <w:t>John T. McKenna</w:t>
            </w:r>
          </w:p>
        </w:tc>
        <w:tc>
          <w:tcPr>
            <w:tcW w:w="5020" w:type="dxa"/>
            <w:vAlign w:val="bottom"/>
          </w:tcPr>
          <w:p>
            <w:pPr>
              <w:jc w:val="center"/>
              <w:ind w:left="10"/>
              <w:spacing w:after="0"/>
              <w:rPr>
                <w:sz w:val="20"/>
                <w:szCs w:val="20"/>
                <w:color w:val="auto"/>
              </w:rPr>
            </w:pPr>
            <w:r>
              <w:rPr>
                <w:rFonts w:ascii="Arial" w:cs="Arial" w:eastAsia="Arial" w:hAnsi="Arial"/>
                <w:sz w:val="14"/>
                <w:szCs w:val="14"/>
                <w:b w:val="1"/>
                <w:bCs w:val="1"/>
                <w:color w:val="auto"/>
              </w:rPr>
              <w:t>Howard Baik</w:t>
            </w:r>
          </w:p>
        </w:tc>
        <w:tc>
          <w:tcPr>
            <w:tcW w:w="2380" w:type="dxa"/>
            <w:vAlign w:val="bottom"/>
          </w:tcPr>
          <w:p>
            <w:pPr>
              <w:jc w:val="center"/>
              <w:ind w:left="108"/>
              <w:spacing w:after="0"/>
              <w:rPr>
                <w:sz w:val="20"/>
                <w:szCs w:val="20"/>
                <w:color w:val="auto"/>
              </w:rPr>
            </w:pPr>
            <w:r>
              <w:rPr>
                <w:rFonts w:ascii="Arial" w:cs="Arial" w:eastAsia="Arial" w:hAnsi="Arial"/>
                <w:sz w:val="14"/>
                <w:szCs w:val="14"/>
                <w:b w:val="1"/>
                <w:bCs w:val="1"/>
                <w:color w:val="auto"/>
              </w:rPr>
              <w:t>Ran D. Ben-Tzur</w:t>
            </w:r>
          </w:p>
        </w:tc>
      </w:tr>
      <w:tr>
        <w:trPr>
          <w:trHeight w:val="139"/>
        </w:trPr>
        <w:tc>
          <w:tcPr>
            <w:tcW w:w="2100" w:type="dxa"/>
            <w:vAlign w:val="bottom"/>
          </w:tcPr>
          <w:p>
            <w:pPr>
              <w:jc w:val="center"/>
              <w:ind w:right="208"/>
              <w:spacing w:after="0" w:line="139" w:lineRule="exact"/>
              <w:rPr>
                <w:sz w:val="20"/>
                <w:szCs w:val="20"/>
                <w:color w:val="auto"/>
              </w:rPr>
            </w:pPr>
            <w:r>
              <w:rPr>
                <w:rFonts w:ascii="Arial" w:cs="Arial" w:eastAsia="Arial" w:hAnsi="Arial"/>
                <w:sz w:val="14"/>
                <w:szCs w:val="14"/>
                <w:b w:val="1"/>
                <w:bCs w:val="1"/>
                <w:color w:val="auto"/>
              </w:rPr>
              <w:t>Rachel Proffitt</w:t>
            </w:r>
          </w:p>
        </w:tc>
        <w:tc>
          <w:tcPr>
            <w:tcW w:w="5020" w:type="dxa"/>
            <w:vAlign w:val="bottom"/>
          </w:tcPr>
          <w:p>
            <w:pPr>
              <w:jc w:val="center"/>
              <w:ind w:left="10"/>
              <w:spacing w:after="0" w:line="139" w:lineRule="exact"/>
              <w:rPr>
                <w:sz w:val="20"/>
                <w:szCs w:val="20"/>
                <w:color w:val="auto"/>
              </w:rPr>
            </w:pPr>
            <w:r>
              <w:rPr>
                <w:rFonts w:ascii="Arial" w:cs="Arial" w:eastAsia="Arial" w:hAnsi="Arial"/>
                <w:sz w:val="14"/>
                <w:szCs w:val="14"/>
                <w:b w:val="1"/>
                <w:bCs w:val="1"/>
                <w:color w:val="auto"/>
              </w:rPr>
              <w:t>General Counsel and Secretary</w:t>
            </w:r>
          </w:p>
        </w:tc>
        <w:tc>
          <w:tcPr>
            <w:tcW w:w="2380" w:type="dxa"/>
            <w:vAlign w:val="bottom"/>
          </w:tcPr>
          <w:p>
            <w:pPr>
              <w:jc w:val="center"/>
              <w:ind w:left="128"/>
              <w:spacing w:after="0" w:line="139" w:lineRule="exact"/>
              <w:rPr>
                <w:sz w:val="20"/>
                <w:szCs w:val="20"/>
                <w:color w:val="auto"/>
              </w:rPr>
            </w:pPr>
            <w:r>
              <w:rPr>
                <w:rFonts w:ascii="Arial" w:cs="Arial" w:eastAsia="Arial" w:hAnsi="Arial"/>
                <w:sz w:val="14"/>
                <w:szCs w:val="14"/>
                <w:b w:val="1"/>
                <w:bCs w:val="1"/>
                <w:color w:val="auto"/>
              </w:rPr>
              <w:t>Cynthia C. Hess</w:t>
            </w:r>
          </w:p>
        </w:tc>
      </w:tr>
      <w:tr>
        <w:trPr>
          <w:trHeight w:val="148"/>
        </w:trPr>
        <w:tc>
          <w:tcPr>
            <w:tcW w:w="21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Jon C. Avina</w:t>
            </w:r>
          </w:p>
        </w:tc>
        <w:tc>
          <w:tcPr>
            <w:tcW w:w="5020" w:type="dxa"/>
            <w:vAlign w:val="bottom"/>
          </w:tcPr>
          <w:p>
            <w:pPr>
              <w:jc w:val="center"/>
              <w:ind w:left="30"/>
              <w:spacing w:after="0" w:line="149" w:lineRule="exact"/>
              <w:rPr>
                <w:sz w:val="20"/>
                <w:szCs w:val="20"/>
                <w:color w:val="auto"/>
              </w:rPr>
            </w:pPr>
            <w:r>
              <w:rPr>
                <w:rFonts w:ascii="Arial" w:cs="Arial" w:eastAsia="Arial" w:hAnsi="Arial"/>
                <w:sz w:val="14"/>
                <w:szCs w:val="14"/>
                <w:b w:val="1"/>
                <w:bCs w:val="1"/>
                <w:color w:val="auto"/>
              </w:rPr>
              <w:t>Navan, Inc.</w:t>
            </w:r>
          </w:p>
        </w:tc>
        <w:tc>
          <w:tcPr>
            <w:tcW w:w="23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Jennifer J. Hitchcock</w:t>
            </w:r>
          </w:p>
        </w:tc>
      </w:tr>
      <w:tr>
        <w:trPr>
          <w:trHeight w:val="144"/>
        </w:trPr>
        <w:tc>
          <w:tcPr>
            <w:tcW w:w="21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Milson C. Yu</w:t>
            </w:r>
          </w:p>
        </w:tc>
        <w:tc>
          <w:tcPr>
            <w:tcW w:w="5020" w:type="dxa"/>
            <w:vAlign w:val="bottom"/>
          </w:tcPr>
          <w:p>
            <w:pPr>
              <w:jc w:val="center"/>
              <w:ind w:left="10"/>
              <w:spacing w:after="0" w:line="145" w:lineRule="exact"/>
              <w:rPr>
                <w:sz w:val="20"/>
                <w:szCs w:val="20"/>
                <w:color w:val="auto"/>
              </w:rPr>
            </w:pPr>
            <w:r>
              <w:rPr>
                <w:rFonts w:ascii="Arial" w:cs="Arial" w:eastAsia="Arial" w:hAnsi="Arial"/>
                <w:sz w:val="14"/>
                <w:szCs w:val="14"/>
                <w:b w:val="1"/>
                <w:bCs w:val="1"/>
                <w:color w:val="auto"/>
              </w:rPr>
              <w:t>3045 Park Boulevard</w:t>
            </w:r>
          </w:p>
        </w:tc>
        <w:tc>
          <w:tcPr>
            <w:tcW w:w="238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Aman D. Singh</w:t>
            </w:r>
          </w:p>
        </w:tc>
      </w:tr>
      <w:tr>
        <w:trPr>
          <w:trHeight w:val="139"/>
        </w:trPr>
        <w:tc>
          <w:tcPr>
            <w:tcW w:w="2100" w:type="dxa"/>
            <w:vAlign w:val="bottom"/>
          </w:tcPr>
          <w:p>
            <w:pPr>
              <w:jc w:val="center"/>
              <w:ind w:right="208"/>
              <w:spacing w:after="0" w:line="139" w:lineRule="exact"/>
              <w:rPr>
                <w:sz w:val="20"/>
                <w:szCs w:val="20"/>
                <w:color w:val="auto"/>
              </w:rPr>
            </w:pPr>
            <w:r>
              <w:rPr>
                <w:rFonts w:ascii="Arial" w:cs="Arial" w:eastAsia="Arial" w:hAnsi="Arial"/>
                <w:sz w:val="14"/>
                <w:szCs w:val="14"/>
                <w:b w:val="1"/>
                <w:bCs w:val="1"/>
                <w:color w:val="auto"/>
              </w:rPr>
              <w:t>Cooley LLP</w:t>
            </w:r>
          </w:p>
        </w:tc>
        <w:tc>
          <w:tcPr>
            <w:tcW w:w="5020" w:type="dxa"/>
            <w:vAlign w:val="bottom"/>
          </w:tcPr>
          <w:p>
            <w:pPr>
              <w:jc w:val="center"/>
              <w:ind w:left="10"/>
              <w:spacing w:after="0" w:line="139" w:lineRule="exact"/>
              <w:rPr>
                <w:sz w:val="20"/>
                <w:szCs w:val="20"/>
                <w:color w:val="auto"/>
              </w:rPr>
            </w:pPr>
            <w:r>
              <w:rPr>
                <w:rFonts w:ascii="Arial" w:cs="Arial" w:eastAsia="Arial" w:hAnsi="Arial"/>
                <w:sz w:val="14"/>
                <w:szCs w:val="14"/>
                <w:b w:val="1"/>
                <w:bCs w:val="1"/>
                <w:color w:val="auto"/>
              </w:rPr>
              <w:t>Palo Alto, California 94306</w:t>
            </w:r>
          </w:p>
        </w:tc>
        <w:tc>
          <w:tcPr>
            <w:tcW w:w="2380" w:type="dxa"/>
            <w:vAlign w:val="bottom"/>
          </w:tcPr>
          <w:p>
            <w:pPr>
              <w:jc w:val="center"/>
              <w:ind w:left="108"/>
              <w:spacing w:after="0" w:line="139" w:lineRule="exact"/>
              <w:rPr>
                <w:sz w:val="20"/>
                <w:szCs w:val="20"/>
                <w:color w:val="auto"/>
              </w:rPr>
            </w:pPr>
            <w:r>
              <w:rPr>
                <w:rFonts w:ascii="Arial" w:cs="Arial" w:eastAsia="Arial" w:hAnsi="Arial"/>
                <w:sz w:val="14"/>
                <w:szCs w:val="14"/>
                <w:b w:val="1"/>
                <w:bCs w:val="1"/>
                <w:color w:val="auto"/>
              </w:rPr>
              <w:t>Fenwick &amp; West LLP</w:t>
            </w:r>
          </w:p>
        </w:tc>
      </w:tr>
      <w:tr>
        <w:trPr>
          <w:trHeight w:val="148"/>
        </w:trPr>
        <w:tc>
          <w:tcPr>
            <w:tcW w:w="21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3175 Hanover Street</w:t>
            </w:r>
          </w:p>
        </w:tc>
        <w:tc>
          <w:tcPr>
            <w:tcW w:w="5020" w:type="dxa"/>
            <w:vAlign w:val="bottom"/>
          </w:tcPr>
          <w:p>
            <w:pPr>
              <w:jc w:val="center"/>
              <w:ind w:left="10"/>
              <w:spacing w:after="0" w:line="149" w:lineRule="exact"/>
              <w:rPr>
                <w:sz w:val="20"/>
                <w:szCs w:val="20"/>
                <w:color w:val="auto"/>
              </w:rPr>
            </w:pPr>
            <w:r>
              <w:rPr>
                <w:rFonts w:ascii="Arial" w:cs="Arial" w:eastAsia="Arial" w:hAnsi="Arial"/>
                <w:sz w:val="14"/>
                <w:szCs w:val="14"/>
                <w:b w:val="1"/>
                <w:bCs w:val="1"/>
                <w:color w:val="auto"/>
              </w:rPr>
              <w:t>(888) 505-8747</w:t>
            </w:r>
          </w:p>
        </w:tc>
        <w:tc>
          <w:tcPr>
            <w:tcW w:w="23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801 California Street</w:t>
            </w:r>
          </w:p>
        </w:tc>
      </w:tr>
      <w:tr>
        <w:trPr>
          <w:trHeight w:val="144"/>
        </w:trPr>
        <w:tc>
          <w:tcPr>
            <w:tcW w:w="21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Palo Alto, California 94304</w:t>
            </w:r>
          </w:p>
        </w:tc>
        <w:tc>
          <w:tcPr>
            <w:tcW w:w="5020" w:type="dxa"/>
            <w:vAlign w:val="bottom"/>
          </w:tcPr>
          <w:p>
            <w:pPr>
              <w:spacing w:after="0"/>
              <w:rPr>
                <w:sz w:val="12"/>
                <w:szCs w:val="12"/>
                <w:color w:val="auto"/>
              </w:rPr>
            </w:pPr>
          </w:p>
        </w:tc>
        <w:tc>
          <w:tcPr>
            <w:tcW w:w="238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Mountain View, California 94041</w:t>
            </w:r>
          </w:p>
        </w:tc>
      </w:tr>
      <w:tr>
        <w:trPr>
          <w:trHeight w:val="196"/>
        </w:trPr>
        <w:tc>
          <w:tcPr>
            <w:tcW w:w="2100" w:type="dxa"/>
            <w:vAlign w:val="bottom"/>
          </w:tcPr>
          <w:p>
            <w:pPr>
              <w:jc w:val="center"/>
              <w:ind w:right="208"/>
              <w:spacing w:after="0"/>
              <w:rPr>
                <w:sz w:val="20"/>
                <w:szCs w:val="20"/>
                <w:color w:val="auto"/>
              </w:rPr>
            </w:pPr>
            <w:r>
              <w:rPr>
                <w:rFonts w:ascii="Arial" w:cs="Arial" w:eastAsia="Arial" w:hAnsi="Arial"/>
                <w:sz w:val="14"/>
                <w:szCs w:val="14"/>
                <w:b w:val="1"/>
                <w:bCs w:val="1"/>
                <w:color w:val="auto"/>
              </w:rPr>
              <w:t>(650) 843-5000</w:t>
            </w:r>
          </w:p>
        </w:tc>
        <w:tc>
          <w:tcPr>
            <w:tcW w:w="5020" w:type="dxa"/>
            <w:vAlign w:val="bottom"/>
          </w:tcPr>
          <w:p>
            <w:pPr>
              <w:spacing w:after="0"/>
              <w:rPr>
                <w:sz w:val="17"/>
                <w:szCs w:val="17"/>
                <w:color w:val="auto"/>
              </w:rPr>
            </w:pPr>
          </w:p>
        </w:tc>
        <w:tc>
          <w:tcPr>
            <w:tcW w:w="2380" w:type="dxa"/>
            <w:vAlign w:val="bottom"/>
          </w:tcPr>
          <w:p>
            <w:pPr>
              <w:jc w:val="center"/>
              <w:ind w:left="128"/>
              <w:spacing w:after="0"/>
              <w:rPr>
                <w:sz w:val="20"/>
                <w:szCs w:val="20"/>
                <w:color w:val="auto"/>
              </w:rPr>
            </w:pPr>
            <w:r>
              <w:rPr>
                <w:rFonts w:ascii="Arial" w:cs="Arial" w:eastAsia="Arial" w:hAnsi="Arial"/>
                <w:sz w:val="14"/>
                <w:szCs w:val="14"/>
                <w:b w:val="1"/>
                <w:bCs w:val="1"/>
                <w:color w:val="auto"/>
              </w:rPr>
              <w:t>(650) 988-8500</w:t>
            </w:r>
          </w:p>
        </w:tc>
      </w:tr>
      <w:tr>
        <w:trPr>
          <w:trHeight w:val="326"/>
        </w:trPr>
        <w:tc>
          <w:tcPr>
            <w:tcW w:w="2100" w:type="dxa"/>
            <w:vAlign w:val="bottom"/>
          </w:tcPr>
          <w:p>
            <w:pPr>
              <w:spacing w:after="0"/>
              <w:rPr>
                <w:sz w:val="24"/>
                <w:szCs w:val="24"/>
                <w:color w:val="auto"/>
              </w:rPr>
            </w:pPr>
          </w:p>
        </w:tc>
        <w:tc>
          <w:tcPr>
            <w:tcW w:w="5020" w:type="dxa"/>
            <w:vAlign w:val="bottom"/>
          </w:tcPr>
          <w:p>
            <w:pPr>
              <w:jc w:val="center"/>
              <w:ind w:left="30"/>
              <w:spacing w:after="0"/>
              <w:rPr>
                <w:sz w:val="20"/>
                <w:szCs w:val="20"/>
                <w:color w:val="auto"/>
              </w:rPr>
            </w:pPr>
            <w:r>
              <w:rPr>
                <w:rFonts w:ascii="Arial" w:cs="Arial" w:eastAsia="Arial" w:hAnsi="Arial"/>
                <w:sz w:val="13"/>
                <w:szCs w:val="13"/>
                <w:b w:val="1"/>
                <w:bCs w:val="1"/>
                <w:color w:val="auto"/>
                <w:w w:val="96"/>
              </w:rPr>
              <w:t>Approximate date of commencement of proposed sale to the public:</w:t>
            </w:r>
          </w:p>
        </w:tc>
        <w:tc>
          <w:tcPr>
            <w:tcW w:w="2380" w:type="dxa"/>
            <w:vAlign w:val="bottom"/>
          </w:tcPr>
          <w:p>
            <w:pPr>
              <w:spacing w:after="0"/>
              <w:rPr>
                <w:sz w:val="24"/>
                <w:szCs w:val="24"/>
                <w:color w:val="auto"/>
              </w:rPr>
            </w:pPr>
          </w:p>
        </w:tc>
      </w:tr>
      <w:tr>
        <w:trPr>
          <w:trHeight w:val="172"/>
        </w:trPr>
        <w:tc>
          <w:tcPr>
            <w:tcW w:w="2100" w:type="dxa"/>
            <w:vAlign w:val="bottom"/>
          </w:tcPr>
          <w:p>
            <w:pPr>
              <w:spacing w:after="0"/>
              <w:rPr>
                <w:sz w:val="14"/>
                <w:szCs w:val="14"/>
                <w:color w:val="auto"/>
              </w:rPr>
            </w:pPr>
          </w:p>
        </w:tc>
        <w:tc>
          <w:tcPr>
            <w:tcW w:w="5020" w:type="dxa"/>
            <w:vAlign w:val="bottom"/>
          </w:tcPr>
          <w:p>
            <w:pPr>
              <w:jc w:val="center"/>
              <w:ind w:left="30"/>
              <w:spacing w:after="0"/>
              <w:rPr>
                <w:sz w:val="20"/>
                <w:szCs w:val="20"/>
                <w:color w:val="auto"/>
              </w:rPr>
            </w:pPr>
            <w:r>
              <w:rPr>
                <w:rFonts w:ascii="Arial" w:cs="Arial" w:eastAsia="Arial" w:hAnsi="Arial"/>
                <w:sz w:val="13"/>
                <w:szCs w:val="13"/>
                <w:b w:val="1"/>
                <w:bCs w:val="1"/>
                <w:color w:val="auto"/>
                <w:w w:val="97"/>
              </w:rPr>
              <w:t>As soon as practicable after the effective date of this registration statement.</w:t>
            </w:r>
          </w:p>
        </w:tc>
        <w:tc>
          <w:tcPr>
            <w:tcW w:w="2380" w:type="dxa"/>
            <w:vAlign w:val="bottom"/>
          </w:tcPr>
          <w:p>
            <w:pPr>
              <w:spacing w:after="0"/>
              <w:rPr>
                <w:sz w:val="14"/>
                <w:szCs w:val="14"/>
                <w:color w:val="auto"/>
              </w:rPr>
            </w:pPr>
          </w:p>
        </w:tc>
      </w:tr>
    </w:tbl>
    <w:p>
      <w:pPr>
        <w:spacing w:after="0" w:line="93"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right="320"/>
        <w:spacing w:after="0" w:line="193"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4" w:lineRule="exact"/>
        <w:rPr>
          <w:sz w:val="24"/>
          <w:szCs w:val="24"/>
          <w:color w:val="auto"/>
        </w:rPr>
      </w:pPr>
    </w:p>
    <w:p>
      <w:pPr>
        <w:ind w:right="460"/>
        <w:spacing w:after="0" w:line="19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4" w:lineRule="exact"/>
        <w:rPr>
          <w:sz w:val="24"/>
          <w:szCs w:val="24"/>
          <w:color w:val="auto"/>
        </w:rPr>
      </w:pPr>
    </w:p>
    <w:p>
      <w:pPr>
        <w:ind w:right="440"/>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4" w:lineRule="exact"/>
        <w:rPr>
          <w:sz w:val="24"/>
          <w:szCs w:val="24"/>
          <w:color w:val="auto"/>
        </w:rPr>
      </w:pPr>
    </w:p>
    <w:p>
      <w:pPr>
        <w:ind w:right="440"/>
        <w:spacing w:after="0" w:line="28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1"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77"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200"/>
          </w:cols>
          <w:pgMar w:left="320" w:top="684" w:right="379" w:bottom="144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 w:lineRule="exact"/>
        <w:rPr>
          <w:sz w:val="20"/>
          <w:szCs w:val="20"/>
          <w:color w:val="auto"/>
        </w:rPr>
      </w:pPr>
    </w:p>
    <w:tbl>
      <w:tblPr>
        <w:tblLayout w:type="fixed"/>
        <w:tblInd w:w="3960" w:type="dxa"/>
        <w:tblCellMar>
          <w:top w:w="0" w:type="dxa"/>
          <w:left w:w="0" w:type="dxa"/>
          <w:bottom w:w="0" w:type="dxa"/>
          <w:right w:w="0" w:type="dxa"/>
        </w:tblCellMar>
      </w:tblPr>
      <w:tr>
        <w:trPr>
          <w:trHeight w:val="218"/>
        </w:trPr>
        <w:tc>
          <w:tcPr>
            <w:tcW w:w="256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780" w:type="dxa"/>
            <w:vAlign w:val="bottom"/>
          </w:tcPr>
          <w:p>
            <w:pPr>
              <w:jc w:val="right"/>
              <w:spacing w:after="0"/>
              <w:rPr>
                <w:sz w:val="20"/>
                <w:szCs w:val="20"/>
                <w:color w:val="auto"/>
              </w:rPr>
            </w:pPr>
            <w:r>
              <w:rPr>
                <w:rFonts w:ascii="Arial" w:cs="Arial" w:eastAsia="Arial" w:hAnsi="Arial"/>
                <w:sz w:val="18"/>
                <w:szCs w:val="18"/>
                <w:color w:val="DE1A1E"/>
              </w:rPr>
              <w:t>, 2025.</w:t>
            </w:r>
          </w:p>
        </w:tc>
      </w:tr>
    </w:tbl>
    <w:p>
      <w:pPr>
        <w:ind w:left="558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5080</wp:posOffset>
            </wp:positionV>
            <wp:extent cx="2700020" cy="676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002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Navan, Inc.</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22225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4" w:lineRule="exact"/>
        <w:rPr>
          <w:sz w:val="20"/>
          <w:szCs w:val="20"/>
          <w:color w:val="auto"/>
        </w:rPr>
      </w:pPr>
    </w:p>
    <w:p>
      <w:pPr>
        <w:ind w:right="200" w:firstLine="324"/>
        <w:spacing w:after="0" w:line="261" w:lineRule="auto"/>
        <w:rPr>
          <w:sz w:val="20"/>
          <w:szCs w:val="20"/>
          <w:color w:val="auto"/>
        </w:rPr>
      </w:pPr>
      <w:r>
        <w:rPr>
          <w:rFonts w:ascii="Arial" w:cs="Arial" w:eastAsia="Arial" w:hAnsi="Arial"/>
          <w:sz w:val="14"/>
          <w:szCs w:val="14"/>
          <w:color w:val="auto"/>
        </w:rPr>
        <w:t>This is the initial public offering of shares of Class A common stock of Navan, Inc. We are offering shares of our Class A common stock in this offering. The selling stockholders identified in this prospectus are offering an additional shares of Class A common stock. We will not receive any proceeds from the sale of shares of Class A common stock by the selling stockholders.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per share of our Class A</w:t>
      </w:r>
    </w:p>
    <w:p>
      <w:pPr>
        <w:spacing w:after="0" w:line="15" w:lineRule="exact"/>
        <w:rPr>
          <w:sz w:val="20"/>
          <w:szCs w:val="20"/>
          <w:color w:val="auto"/>
        </w:rPr>
      </w:pPr>
    </w:p>
    <w:p>
      <w:pPr>
        <w:spacing w:after="0"/>
        <w:tabs>
          <w:tab w:leader="none" w:pos="2260" w:val="left"/>
          <w:tab w:leader="none" w:pos="2940" w:val="left"/>
        </w:tabs>
        <w:rPr>
          <w:sz w:val="20"/>
          <w:szCs w:val="20"/>
          <w:color w:val="auto"/>
        </w:rPr>
      </w:pPr>
      <w:r>
        <w:rPr>
          <w:rFonts w:ascii="Arial" w:cs="Arial" w:eastAsia="Arial" w:hAnsi="Arial"/>
          <w:sz w:val="14"/>
          <w:szCs w:val="14"/>
          <w:color w:val="auto"/>
        </w:rPr>
        <w:t>common stock will be between $</w:t>
        <w:tab/>
        <w:t>and $</w:t>
      </w:r>
      <w:r>
        <w:rPr>
          <w:sz w:val="20"/>
          <w:szCs w:val="20"/>
          <w:color w:val="auto"/>
        </w:rPr>
        <w:tab/>
      </w:r>
      <w:r>
        <w:rPr>
          <w:rFonts w:ascii="Arial" w:cs="Arial" w:eastAsia="Arial" w:hAnsi="Arial"/>
          <w:sz w:val="14"/>
          <w:szCs w:val="14"/>
          <w:color w:val="auto"/>
        </w:rPr>
        <w:t>.</w:t>
      </w:r>
    </w:p>
    <w:p>
      <w:pPr>
        <w:spacing w:after="0" w:line="15" w:lineRule="exact"/>
        <w:rPr>
          <w:sz w:val="20"/>
          <w:szCs w:val="20"/>
          <w:color w:val="auto"/>
        </w:rPr>
      </w:pPr>
    </w:p>
    <w:p>
      <w:pPr>
        <w:ind w:right="400" w:firstLine="324"/>
        <w:spacing w:after="0" w:line="251" w:lineRule="auto"/>
        <w:rPr>
          <w:sz w:val="20"/>
          <w:szCs w:val="20"/>
          <w:color w:val="auto"/>
        </w:rPr>
      </w:pPr>
      <w:r>
        <w:rPr>
          <w:rFonts w:ascii="Arial" w:cs="Arial" w:eastAsia="Arial" w:hAnsi="Arial"/>
          <w:sz w:val="14"/>
          <w:szCs w:val="14"/>
          <w:color w:val="auto"/>
        </w:rPr>
        <w:t>We intend to apply to list our Class A common stock on the Nasdaq Global Select Market, or Nasdaq, under the symbol “NAVN.” This offering is contingent upon final approval of our listing of our Class A common stock on Nasdaq.</w:t>
      </w:r>
    </w:p>
    <w:p>
      <w:pPr>
        <w:spacing w:after="0" w:line="1" w:lineRule="exact"/>
        <w:rPr>
          <w:sz w:val="20"/>
          <w:szCs w:val="20"/>
          <w:color w:val="auto"/>
        </w:rPr>
      </w:pPr>
    </w:p>
    <w:p>
      <w:pPr>
        <w:ind w:right="280" w:firstLine="324"/>
        <w:spacing w:after="0" w:line="261" w:lineRule="auto"/>
        <w:rPr>
          <w:sz w:val="20"/>
          <w:szCs w:val="20"/>
          <w:color w:val="auto"/>
        </w:rPr>
      </w:pPr>
      <w:r>
        <w:rPr>
          <w:rFonts w:ascii="Arial" w:cs="Arial" w:eastAsia="Arial" w:hAnsi="Arial"/>
          <w:sz w:val="14"/>
          <w:szCs w:val="14"/>
          <w:color w:val="auto"/>
        </w:rPr>
        <w:t>Following this offering, we will have two classes of authorized common stock, Class A common stock and Class B common stock. The rights of the holders of Class A common stock and Class B common stock are identical, except with respect to voting and conversion rights. Each share of Class A common stock is entitled to one vote per</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share. Each share of Class B common stock is entitled to votes per share and is convertible into one share of Class A common stock. Immediately following the completion of this offering, and assuming no exercise of the underwriters’ option to purchase additional shares, Ariel Cohen, our co-founder, Chief Executive Officer, and chairperson of our board of directors will hold or have the ability to control approximately % of the voting power of our outstanding capital stock, and Ilan Twig, our co-founder, Chief Technology Officer, and a member of our board of directors, and together with Mr. Cohen, our co-founders, will hold or have the ability to control approximately % of the voting power of our outstanding capital stock, which voting power may increase over time upon the exercise or settlement and exchange of equity awards held by our co-founders pursuant to their equity exchange rights, as described further under the section titled “Prospectus Summary—The Offering.” As a result, our co-founders, together, may have significant influence over the outcome of matters submitted to our stockholders for approval, including the election of our directors and the approval of any change of control transaction.</w:t>
      </w:r>
    </w:p>
    <w:p>
      <w:pPr>
        <w:spacing w:after="0" w:line="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3810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17" w:lineRule="exact"/>
        <w:rPr>
          <w:sz w:val="20"/>
          <w:szCs w:val="20"/>
          <w:color w:val="auto"/>
        </w:rPr>
      </w:pPr>
    </w:p>
    <w:p>
      <w:pPr>
        <w:ind w:right="600" w:firstLine="324"/>
        <w:spacing w:after="0" w:line="294" w:lineRule="auto"/>
        <w:rPr>
          <w:sz w:val="20"/>
          <w:szCs w:val="20"/>
          <w:color w:val="auto"/>
        </w:rPr>
      </w:pPr>
      <w:r>
        <w:rPr>
          <w:rFonts w:ascii="Arial" w:cs="Arial" w:eastAsia="Arial" w:hAnsi="Arial"/>
          <w:sz w:val="18"/>
          <w:szCs w:val="18"/>
          <w:b w:val="1"/>
          <w:bCs w:val="1"/>
          <w:i w:val="1"/>
          <w:iCs w:val="1"/>
          <w:color w:val="auto"/>
        </w:rPr>
        <w:t>See “</w:t>
      </w:r>
      <w:r>
        <w:rPr>
          <w:rFonts w:ascii="Arial" w:cs="Arial" w:eastAsia="Arial" w:hAnsi="Arial"/>
          <w:sz w:val="18"/>
          <w:szCs w:val="18"/>
          <w:b w:val="1"/>
          <w:bCs w:val="1"/>
          <w:i w:val="1"/>
          <w:iCs w:val="1"/>
          <w:u w:val="single" w:color="auto"/>
          <w:color w:val="0000FF"/>
        </w:rPr>
        <w:t>Risk Factors</w:t>
      </w:r>
      <w:r>
        <w:rPr>
          <w:rFonts w:ascii="Arial" w:cs="Arial" w:eastAsia="Arial" w:hAnsi="Arial"/>
          <w:sz w:val="18"/>
          <w:szCs w:val="18"/>
          <w:b w:val="1"/>
          <w:bCs w:val="1"/>
          <w:i w:val="1"/>
          <w:iCs w:val="1"/>
          <w:color w:val="auto"/>
        </w:rPr>
        <w:t xml:space="preserve">” beginning on page </w:t>
      </w:r>
      <w:r>
        <w:rPr>
          <w:rFonts w:ascii="Arial" w:cs="Arial" w:eastAsia="Arial" w:hAnsi="Arial"/>
          <w:sz w:val="18"/>
          <w:szCs w:val="18"/>
          <w:b w:val="1"/>
          <w:bCs w:val="1"/>
          <w:i w:val="1"/>
          <w:iCs w:val="1"/>
          <w:u w:val="single" w:color="auto"/>
          <w:color w:val="0000FF"/>
        </w:rPr>
        <w:t>19</w:t>
      </w:r>
      <w:r>
        <w:rPr>
          <w:rFonts w:ascii="Arial" w:cs="Arial" w:eastAsia="Arial" w:hAnsi="Arial"/>
          <w:sz w:val="18"/>
          <w:szCs w:val="18"/>
          <w:b w:val="1"/>
          <w:bCs w:val="1"/>
          <w:i w:val="1"/>
          <w:iCs w:val="1"/>
          <w:color w:val="auto"/>
        </w:rPr>
        <w:t xml:space="preserve">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-19050</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78" w:lineRule="exact"/>
        <w:rPr>
          <w:sz w:val="20"/>
          <w:szCs w:val="20"/>
          <w:color w:val="auto"/>
        </w:rPr>
      </w:pPr>
    </w:p>
    <w:p>
      <w:pPr>
        <w:ind w:right="260" w:firstLine="324"/>
        <w:spacing w:after="0" w:line="328"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-34925</wp:posOffset>
            </wp:positionV>
            <wp:extent cx="1311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Initial public offering price</w:t>
            </w: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r>
      <w:tr>
        <w:trPr>
          <w:trHeight w:val="215"/>
        </w:trPr>
        <w:tc>
          <w:tcPr>
            <w:tcW w:w="8440" w:type="dxa"/>
            <w:vAlign w:val="bottom"/>
          </w:tcPr>
          <w:p>
            <w:pPr>
              <w:ind w:left="20"/>
              <w:spacing w:after="0"/>
              <w:rPr>
                <w:sz w:val="20"/>
                <w:szCs w:val="20"/>
                <w:color w:val="auto"/>
              </w:rPr>
            </w:pPr>
            <w:r>
              <w:rPr>
                <w:rFonts w:ascii="Arial" w:cs="Arial" w:eastAsia="Arial" w:hAnsi="Arial"/>
                <w:sz w:val="14"/>
                <w:szCs w:val="14"/>
                <w:color w:val="auto"/>
              </w:rPr>
              <w:t>Underwriting discount</w:t>
            </w:r>
            <w:r>
              <w:rPr>
                <w:rFonts w:ascii="Arial" w:cs="Arial" w:eastAsia="Arial" w:hAnsi="Arial"/>
                <w:sz w:val="18"/>
                <w:szCs w:val="18"/>
                <w:color w:val="auto"/>
                <w:vertAlign w:val="superscript"/>
              </w:rPr>
              <w:t>(1)</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Proceeds, before expenses, to us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r>
        <w:trPr>
          <w:trHeight w:val="203"/>
        </w:trPr>
        <w:tc>
          <w:tcPr>
            <w:tcW w:w="8440" w:type="dxa"/>
            <w:vAlign w:val="bottom"/>
          </w:tcPr>
          <w:p>
            <w:pPr>
              <w:ind w:left="20"/>
              <w:spacing w:after="0"/>
              <w:rPr>
                <w:sz w:val="20"/>
                <w:szCs w:val="20"/>
                <w:color w:val="auto"/>
              </w:rPr>
            </w:pPr>
            <w:r>
              <w:rPr>
                <w:rFonts w:ascii="Arial" w:cs="Arial" w:eastAsia="Arial" w:hAnsi="Arial"/>
                <w:sz w:val="14"/>
                <w:szCs w:val="14"/>
                <w:color w:val="auto"/>
              </w:rPr>
              <w:t>Proceeds, before expenses, to the selling stockholders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r>
        <w:trPr>
          <w:trHeight w:val="286"/>
        </w:trPr>
        <w:tc>
          <w:tcPr>
            <w:tcW w:w="8440" w:type="dxa"/>
            <w:vAlign w:val="bottom"/>
          </w:tcPr>
          <w:p>
            <w:pPr>
              <w:spacing w:after="0"/>
              <w:rPr>
                <w:sz w:val="20"/>
                <w:szCs w:val="20"/>
                <w:color w:val="auto"/>
              </w:rPr>
            </w:pPr>
            <w:r>
              <w:rPr>
                <w:rFonts w:ascii="Arial" w:cs="Arial" w:eastAsia="Arial" w:hAnsi="Arial"/>
                <w:sz w:val="16"/>
                <w:szCs w:val="16"/>
                <w:color w:val="auto"/>
              </w:rPr>
              <w:t>_______________</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the section titled “Underwriting” for a description of the compensation payable to the underwriters.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gridSpan w:val="3"/>
          </w:tcPr>
          <w:p>
            <w:pPr>
              <w:ind w:left="340"/>
              <w:spacing w:after="0"/>
              <w:rPr>
                <w:sz w:val="20"/>
                <w:szCs w:val="20"/>
                <w:color w:val="auto"/>
              </w:rPr>
            </w:pPr>
            <w:r>
              <w:rPr>
                <w:rFonts w:ascii="Arial" w:cs="Arial" w:eastAsia="Arial" w:hAnsi="Arial"/>
                <w:sz w:val="14"/>
                <w:szCs w:val="14"/>
                <w:color w:val="auto"/>
              </w:rPr>
              <w:t>The underwriters have the option for a period of 30 days to purchase up to an additional</w:t>
            </w:r>
          </w:p>
        </w:tc>
        <w:tc>
          <w:tcPr>
            <w:tcW w:w="5140" w:type="dxa"/>
            <w:vAlign w:val="bottom"/>
            <w:gridSpan w:val="3"/>
          </w:tcPr>
          <w:p>
            <w:pPr>
              <w:ind w:left="160"/>
              <w:spacing w:after="0"/>
              <w:rPr>
                <w:sz w:val="20"/>
                <w:szCs w:val="20"/>
                <w:color w:val="auto"/>
              </w:rPr>
            </w:pPr>
            <w:r>
              <w:rPr>
                <w:rFonts w:ascii="Arial" w:cs="Arial" w:eastAsia="Arial" w:hAnsi="Arial"/>
                <w:sz w:val="14"/>
                <w:szCs w:val="14"/>
                <w:color w:val="auto"/>
              </w:rPr>
              <w:t>shares of Class A common stock from us at the initial public offering price less</w:t>
            </w: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underwriting discount.</w:t>
            </w:r>
          </w:p>
        </w:tc>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90"/>
        </w:trPr>
        <w:tc>
          <w:tcPr>
            <w:tcW w:w="8820" w:type="dxa"/>
            <w:vAlign w:val="bottom"/>
            <w:gridSpan w:val="5"/>
          </w:tcPr>
          <w:p>
            <w:pPr>
              <w:ind w:left="340"/>
              <w:spacing w:after="0"/>
              <w:rPr>
                <w:sz w:val="20"/>
                <w:szCs w:val="20"/>
                <w:color w:val="auto"/>
              </w:rPr>
            </w:pPr>
            <w:r>
              <w:rPr>
                <w:rFonts w:ascii="Arial" w:cs="Arial" w:eastAsia="Arial" w:hAnsi="Arial"/>
                <w:sz w:val="14"/>
                <w:szCs w:val="14"/>
                <w:color w:val="auto"/>
              </w:rPr>
              <w:t>The underwriters expect to deliver the shares of Class A common stock against payment in New York, New York on, 2025.</w:t>
            </w:r>
          </w:p>
        </w:tc>
        <w:tc>
          <w:tcPr>
            <w:tcW w:w="2400" w:type="dxa"/>
            <w:vAlign w:val="bottom"/>
          </w:tcPr>
          <w:p>
            <w:pPr>
              <w:spacing w:after="0"/>
              <w:rPr>
                <w:sz w:val="16"/>
                <w:szCs w:val="16"/>
                <w:color w:val="auto"/>
              </w:rPr>
            </w:pPr>
          </w:p>
        </w:tc>
      </w:tr>
      <w:tr>
        <w:trPr>
          <w:trHeight w:val="22"/>
        </w:trPr>
        <w:tc>
          <w:tcPr>
            <w:tcW w:w="4860" w:type="dxa"/>
            <w:vAlign w:val="bottom"/>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32"/>
        </w:trPr>
        <w:tc>
          <w:tcPr>
            <w:tcW w:w="6080" w:type="dxa"/>
            <w:vAlign w:val="bottom"/>
            <w:gridSpan w:val="3"/>
          </w:tcPr>
          <w:p>
            <w:pPr>
              <w:ind w:left="20"/>
              <w:spacing w:after="0"/>
              <w:rPr>
                <w:sz w:val="20"/>
                <w:szCs w:val="20"/>
                <w:color w:val="auto"/>
              </w:rPr>
            </w:pPr>
            <w:r>
              <w:rPr>
                <w:rFonts w:ascii="Arial" w:cs="Arial" w:eastAsia="Arial" w:hAnsi="Arial"/>
                <w:sz w:val="29"/>
                <w:szCs w:val="29"/>
                <w:b w:val="1"/>
                <w:bCs w:val="1"/>
                <w:color w:val="auto"/>
              </w:rPr>
              <w:t>Goldman Sachs &amp; Co. LLC</w:t>
            </w: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0" w:type="dxa"/>
            <w:vAlign w:val="bottom"/>
          </w:tcPr>
          <w:p>
            <w:pPr>
              <w:ind w:left="1120"/>
              <w:spacing w:after="0"/>
              <w:rPr>
                <w:sz w:val="20"/>
                <w:szCs w:val="20"/>
                <w:color w:val="auto"/>
              </w:rPr>
            </w:pPr>
            <w:r>
              <w:rPr>
                <w:rFonts w:ascii="Arial" w:cs="Arial" w:eastAsia="Arial" w:hAnsi="Arial"/>
                <w:sz w:val="29"/>
                <w:szCs w:val="29"/>
                <w:b w:val="1"/>
                <w:bCs w:val="1"/>
                <w:color w:val="auto"/>
                <w:w w:val="97"/>
              </w:rPr>
              <w:t>Citigroup</w:t>
            </w:r>
          </w:p>
        </w:tc>
      </w:tr>
      <w:tr>
        <w:trPr>
          <w:trHeight w:val="488"/>
        </w:trPr>
        <w:tc>
          <w:tcPr>
            <w:tcW w:w="2780" w:type="dxa"/>
            <w:vAlign w:val="bottom"/>
          </w:tcPr>
          <w:p>
            <w:pPr>
              <w:ind w:left="1360"/>
              <w:spacing w:after="0"/>
              <w:rPr>
                <w:sz w:val="20"/>
                <w:szCs w:val="20"/>
                <w:color w:val="auto"/>
              </w:rPr>
            </w:pPr>
            <w:r>
              <w:rPr>
                <w:rFonts w:ascii="Arial" w:cs="Arial" w:eastAsia="Arial" w:hAnsi="Arial"/>
                <w:sz w:val="25"/>
                <w:szCs w:val="25"/>
                <w:b w:val="1"/>
                <w:bCs w:val="1"/>
                <w:color w:val="auto"/>
              </w:rPr>
              <w:t>Jefferies</w:t>
            </w: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25"/>
                <w:szCs w:val="25"/>
                <w:b w:val="1"/>
                <w:bCs w:val="1"/>
                <w:color w:val="auto"/>
              </w:rPr>
              <w:t>Mizuho</w:t>
            </w:r>
          </w:p>
        </w:tc>
      </w:tr>
      <w:tr>
        <w:trPr>
          <w:trHeight w:val="398"/>
        </w:trPr>
        <w:tc>
          <w:tcPr>
            <w:tcW w:w="2780" w:type="dxa"/>
            <w:vAlign w:val="bottom"/>
          </w:tcPr>
          <w:p>
            <w:pPr>
              <w:ind w:left="360"/>
              <w:spacing w:after="0"/>
              <w:rPr>
                <w:sz w:val="20"/>
                <w:szCs w:val="20"/>
                <w:color w:val="auto"/>
              </w:rPr>
            </w:pPr>
            <w:r>
              <w:rPr>
                <w:rFonts w:ascii="Arial" w:cs="Arial" w:eastAsia="Arial" w:hAnsi="Arial"/>
                <w:sz w:val="20"/>
                <w:szCs w:val="20"/>
                <w:b w:val="1"/>
                <w:bCs w:val="1"/>
                <w:color w:val="auto"/>
              </w:rPr>
              <w:t>BNP PARIBAS</w:t>
            </w:r>
          </w:p>
        </w:tc>
        <w:tc>
          <w:tcPr>
            <w:tcW w:w="3300" w:type="dxa"/>
            <w:vAlign w:val="bottom"/>
            <w:gridSpan w:val="2"/>
          </w:tcPr>
          <w:p>
            <w:pPr>
              <w:ind w:left="360"/>
              <w:spacing w:after="0"/>
              <w:rPr>
                <w:sz w:val="20"/>
                <w:szCs w:val="20"/>
                <w:color w:val="auto"/>
              </w:rPr>
            </w:pPr>
            <w:r>
              <w:rPr>
                <w:rFonts w:ascii="Arial" w:cs="Arial" w:eastAsia="Arial" w:hAnsi="Arial"/>
                <w:sz w:val="20"/>
                <w:szCs w:val="20"/>
                <w:b w:val="1"/>
                <w:bCs w:val="1"/>
                <w:color w:val="auto"/>
              </w:rPr>
              <w:t>Citizens Capital Markets</w:t>
            </w:r>
          </w:p>
        </w:tc>
        <w:tc>
          <w:tcPr>
            <w:tcW w:w="320" w:type="dxa"/>
            <w:vAlign w:val="bottom"/>
          </w:tcPr>
          <w:p>
            <w:pPr>
              <w:spacing w:after="0"/>
              <w:rPr>
                <w:sz w:val="24"/>
                <w:szCs w:val="24"/>
                <w:color w:val="auto"/>
              </w:rPr>
            </w:pPr>
          </w:p>
        </w:tc>
        <w:tc>
          <w:tcPr>
            <w:tcW w:w="2420" w:type="dxa"/>
            <w:vAlign w:val="bottom"/>
          </w:tcPr>
          <w:p>
            <w:pPr>
              <w:jc w:val="right"/>
              <w:ind w:right="1"/>
              <w:spacing w:after="0"/>
              <w:rPr>
                <w:sz w:val="20"/>
                <w:szCs w:val="20"/>
                <w:color w:val="auto"/>
              </w:rPr>
            </w:pPr>
            <w:r>
              <w:rPr>
                <w:rFonts w:ascii="Arial" w:cs="Arial" w:eastAsia="Arial" w:hAnsi="Arial"/>
                <w:sz w:val="20"/>
                <w:szCs w:val="20"/>
                <w:b w:val="1"/>
                <w:bCs w:val="1"/>
                <w:color w:val="auto"/>
              </w:rPr>
              <w:t>Oppenheimer &amp; Co.</w:t>
            </w:r>
          </w:p>
        </w:tc>
        <w:tc>
          <w:tcPr>
            <w:tcW w:w="2400" w:type="dxa"/>
            <w:vAlign w:val="bottom"/>
          </w:tcPr>
          <w:p>
            <w:pPr>
              <w:ind w:left="1760"/>
              <w:spacing w:after="0"/>
              <w:rPr>
                <w:sz w:val="20"/>
                <w:szCs w:val="20"/>
                <w:color w:val="auto"/>
              </w:rPr>
            </w:pPr>
            <w:r>
              <w:rPr>
                <w:rFonts w:ascii="Arial" w:cs="Arial" w:eastAsia="Arial" w:hAnsi="Arial"/>
                <w:sz w:val="20"/>
                <w:szCs w:val="20"/>
                <w:b w:val="1"/>
                <w:bCs w:val="1"/>
                <w:color w:val="auto"/>
              </w:rPr>
              <w:t>MUFG</w:t>
            </w:r>
          </w:p>
        </w:tc>
      </w:tr>
      <w:tr>
        <w:trPr>
          <w:trHeight w:val="291"/>
        </w:trPr>
        <w:tc>
          <w:tcPr>
            <w:tcW w:w="2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48"/>
        </w:trPr>
        <w:tc>
          <w:tcPr>
            <w:tcW w:w="2780" w:type="dxa"/>
            <w:vAlign w:val="bottom"/>
          </w:tcPr>
          <w:p>
            <w:pPr>
              <w:spacing w:after="0"/>
              <w:rPr>
                <w:sz w:val="24"/>
                <w:szCs w:val="24"/>
                <w:color w:val="auto"/>
              </w:rPr>
            </w:pPr>
          </w:p>
        </w:tc>
        <w:tc>
          <w:tcPr>
            <w:tcW w:w="3300" w:type="dxa"/>
            <w:vAlign w:val="bottom"/>
            <w:gridSpan w:val="2"/>
          </w:tcPr>
          <w:p>
            <w:pPr>
              <w:ind w:left="1540"/>
              <w:spacing w:after="0"/>
              <w:rPr>
                <w:sz w:val="20"/>
                <w:szCs w:val="20"/>
                <w:color w:val="auto"/>
              </w:rPr>
            </w:pPr>
            <w:r>
              <w:rPr>
                <w:rFonts w:ascii="Arial" w:cs="Arial" w:eastAsia="Arial" w:hAnsi="Arial"/>
                <w:sz w:val="18"/>
                <w:szCs w:val="18"/>
                <w:color w:val="auto"/>
              </w:rPr>
              <w:t>Prospectus dated</w:t>
            </w:r>
          </w:p>
        </w:tc>
        <w:tc>
          <w:tcPr>
            <w:tcW w:w="2740" w:type="dxa"/>
            <w:vAlign w:val="bottom"/>
            <w:gridSpan w:val="2"/>
          </w:tcPr>
          <w:p>
            <w:pPr>
              <w:jc w:val="right"/>
              <w:ind w:right="1801"/>
              <w:spacing w:after="0"/>
              <w:rPr>
                <w:sz w:val="20"/>
                <w:szCs w:val="20"/>
                <w:color w:val="auto"/>
              </w:rPr>
            </w:pPr>
            <w:r>
              <w:rPr>
                <w:rFonts w:ascii="Arial" w:cs="Arial" w:eastAsia="Arial" w:hAnsi="Arial"/>
                <w:sz w:val="18"/>
                <w:szCs w:val="18"/>
                <w:color w:val="auto"/>
              </w:rPr>
              <w:t>, 2025.</w:t>
            </w:r>
          </w:p>
        </w:tc>
        <w:tc>
          <w:tcPr>
            <w:tcW w:w="2400" w:type="dxa"/>
            <w:vAlign w:val="bottom"/>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40" w:type="dxa"/>
            <w:vAlign w:val="bottom"/>
            <w:gridSpan w:val="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440"/>
        </w:trPr>
        <w:tc>
          <w:tcPr>
            <w:tcW w:w="1980" w:type="dxa"/>
            <w:vAlign w:val="bottom"/>
            <w:gridSpan w:val="8"/>
          </w:tcPr>
          <w:p>
            <w:pPr>
              <w:spacing w:after="0"/>
              <w:rPr>
                <w:sz w:val="20"/>
                <w:szCs w:val="20"/>
                <w:color w:val="auto"/>
              </w:rPr>
            </w:pPr>
            <w:r>
              <w:rPr>
                <w:rFonts w:ascii="Arial" w:cs="Arial" w:eastAsia="Arial" w:hAnsi="Arial"/>
                <w:sz w:val="18"/>
                <w:szCs w:val="18"/>
                <w:color w:val="0000FF"/>
                <w:w w:val="99"/>
              </w:rPr>
              <w:t>GLOSSARY OF TERMS</w:t>
            </w:r>
          </w:p>
        </w:tc>
        <w:tc>
          <w:tcPr>
            <w:tcW w:w="10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0000FF"/>
                <w:w w:val="70"/>
              </w:rPr>
              <w:t>iii</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120" w:type="dxa"/>
            <w:vAlign w:val="bottom"/>
            <w:gridSpan w:val="13"/>
          </w:tcPr>
          <w:p>
            <w:pPr>
              <w:spacing w:after="0"/>
              <w:rPr>
                <w:sz w:val="20"/>
                <w:szCs w:val="20"/>
                <w:color w:val="auto"/>
              </w:rPr>
            </w:pPr>
            <w:r>
              <w:rPr>
                <w:rFonts w:ascii="Arial" w:cs="Arial" w:eastAsia="Arial" w:hAnsi="Arial"/>
                <w:sz w:val="18"/>
                <w:szCs w:val="18"/>
                <w:color w:val="0000FF"/>
                <w:w w:val="99"/>
              </w:rPr>
              <w:t>LETTER FROM OUR CO-FOUNDERS</w:t>
            </w:r>
          </w:p>
        </w:tc>
        <w:tc>
          <w:tcPr>
            <w:tcW w:w="7240" w:type="dxa"/>
            <w:vAlign w:val="bottom"/>
            <w:gridSpan w:val="13"/>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0000FF"/>
                <w:w w:val="73"/>
              </w:rPr>
              <w:t>vi</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20" w:type="dxa"/>
            <w:vAlign w:val="bottom"/>
            <w:gridSpan w:val="9"/>
          </w:tcPr>
          <w:p>
            <w:pPr>
              <w:spacing w:after="0"/>
              <w:rPr>
                <w:sz w:val="20"/>
                <w:szCs w:val="20"/>
                <w:color w:val="auto"/>
              </w:rPr>
            </w:pPr>
            <w:r>
              <w:rPr>
                <w:rFonts w:ascii="Arial" w:cs="Arial" w:eastAsia="Arial" w:hAnsi="Arial"/>
                <w:sz w:val="18"/>
                <w:szCs w:val="18"/>
                <w:color w:val="0000FF"/>
                <w:w w:val="99"/>
              </w:rPr>
              <w:t>PROSPECTUS SUMMARY</w:t>
            </w:r>
          </w:p>
        </w:tc>
        <w:tc>
          <w:tcPr>
            <w:tcW w:w="76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3"/>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20" w:type="dxa"/>
            <w:vAlign w:val="bottom"/>
            <w:gridSpan w:val="9"/>
          </w:tcPr>
          <w:p>
            <w:pPr>
              <w:spacing w:after="0"/>
              <w:rPr>
                <w:sz w:val="20"/>
                <w:szCs w:val="20"/>
                <w:color w:val="auto"/>
              </w:rPr>
            </w:pPr>
            <w:r>
              <w:rPr>
                <w:rFonts w:ascii="Arial" w:cs="Arial" w:eastAsia="Arial" w:hAnsi="Arial"/>
                <w:sz w:val="18"/>
                <w:szCs w:val="18"/>
                <w:color w:val="0000FF"/>
              </w:rPr>
              <w:t>RISK FACTORS</w:t>
            </w:r>
          </w:p>
        </w:tc>
        <w:tc>
          <w:tcPr>
            <w:tcW w:w="76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0000FF"/>
              </w:rPr>
              <w:t>19</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540" w:type="dxa"/>
            <w:vAlign w:val="bottom"/>
            <w:gridSpan w:val="20"/>
          </w:tcPr>
          <w:p>
            <w:pPr>
              <w:spacing w:after="0"/>
              <w:rPr>
                <w:sz w:val="20"/>
                <w:szCs w:val="20"/>
                <w:color w:val="auto"/>
              </w:rPr>
            </w:pPr>
            <w:r>
              <w:rPr>
                <w:rFonts w:ascii="Arial" w:cs="Arial" w:eastAsia="Arial" w:hAnsi="Arial"/>
                <w:sz w:val="18"/>
                <w:szCs w:val="18"/>
                <w:color w:val="0000FF"/>
                <w:w w:val="99"/>
              </w:rPr>
              <w:t>SPECIAL NOTE REGARDING FORWARD-LOOKING STATEMENTS</w:t>
            </w:r>
          </w:p>
        </w:tc>
        <w:tc>
          <w:tcPr>
            <w:tcW w:w="4820" w:type="dxa"/>
            <w:vAlign w:val="bottom"/>
            <w:gridSpan w:val="6"/>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73</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660" w:type="dxa"/>
            <w:vAlign w:val="bottom"/>
            <w:gridSpan w:val="11"/>
          </w:tcPr>
          <w:p>
            <w:pPr>
              <w:spacing w:after="0"/>
              <w:rPr>
                <w:sz w:val="20"/>
                <w:szCs w:val="20"/>
                <w:color w:val="auto"/>
              </w:rPr>
            </w:pPr>
            <w:r>
              <w:rPr>
                <w:rFonts w:ascii="Arial" w:cs="Arial" w:eastAsia="Arial" w:hAnsi="Arial"/>
                <w:sz w:val="18"/>
                <w:szCs w:val="18"/>
                <w:color w:val="0000FF"/>
                <w:w w:val="98"/>
              </w:rPr>
              <w:t>INDUSTRY AND MARKET DATA</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75</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740" w:type="dxa"/>
            <w:vAlign w:val="bottom"/>
            <w:gridSpan w:val="7"/>
          </w:tcPr>
          <w:p>
            <w:pPr>
              <w:spacing w:after="0"/>
              <w:rPr>
                <w:sz w:val="20"/>
                <w:szCs w:val="20"/>
                <w:color w:val="auto"/>
              </w:rPr>
            </w:pPr>
            <w:r>
              <w:rPr>
                <w:rFonts w:ascii="Arial" w:cs="Arial" w:eastAsia="Arial" w:hAnsi="Arial"/>
                <w:sz w:val="18"/>
                <w:szCs w:val="18"/>
                <w:color w:val="0000FF"/>
                <w:w w:val="99"/>
              </w:rPr>
              <w:t>USE OF PROCEEDS</w:t>
            </w:r>
          </w:p>
        </w:tc>
        <w:tc>
          <w:tcPr>
            <w:tcW w:w="920" w:type="dxa"/>
            <w:vAlign w:val="bottom"/>
            <w:gridSpan w:val="4"/>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76</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580" w:type="dxa"/>
            <w:vAlign w:val="bottom"/>
            <w:gridSpan w:val="6"/>
          </w:tcPr>
          <w:p>
            <w:pPr>
              <w:spacing w:after="0"/>
              <w:rPr>
                <w:sz w:val="20"/>
                <w:szCs w:val="20"/>
                <w:color w:val="auto"/>
              </w:rPr>
            </w:pPr>
            <w:r>
              <w:rPr>
                <w:rFonts w:ascii="Arial" w:cs="Arial" w:eastAsia="Arial" w:hAnsi="Arial"/>
                <w:sz w:val="18"/>
                <w:szCs w:val="18"/>
                <w:color w:val="0000FF"/>
                <w:w w:val="99"/>
              </w:rPr>
              <w:t>DIVIDEND POLICY</w:t>
            </w:r>
          </w:p>
        </w:tc>
        <w:tc>
          <w:tcPr>
            <w:tcW w:w="160" w:type="dxa"/>
            <w:vAlign w:val="bottom"/>
          </w:tcPr>
          <w:p>
            <w:pPr>
              <w:spacing w:after="0"/>
              <w:rPr>
                <w:sz w:val="22"/>
                <w:szCs w:val="22"/>
                <w:color w:val="auto"/>
              </w:rPr>
            </w:pPr>
          </w:p>
        </w:tc>
        <w:tc>
          <w:tcPr>
            <w:tcW w:w="1240" w:type="dxa"/>
            <w:vAlign w:val="bottom"/>
            <w:gridSpan w:val="5"/>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78</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20" w:type="dxa"/>
            <w:vAlign w:val="bottom"/>
            <w:gridSpan w:val="4"/>
          </w:tcPr>
          <w:p>
            <w:pPr>
              <w:spacing w:after="0"/>
              <w:rPr>
                <w:sz w:val="20"/>
                <w:szCs w:val="20"/>
                <w:color w:val="auto"/>
              </w:rPr>
            </w:pPr>
            <w:r>
              <w:rPr>
                <w:rFonts w:ascii="Arial" w:cs="Arial" w:eastAsia="Arial" w:hAnsi="Arial"/>
                <w:sz w:val="18"/>
                <w:szCs w:val="18"/>
                <w:color w:val="0000FF"/>
                <w:w w:val="94"/>
              </w:rPr>
              <w:t>CAPITALIZATION</w:t>
            </w:r>
          </w:p>
        </w:tc>
        <w:tc>
          <w:tcPr>
            <w:tcW w:w="160" w:type="dxa"/>
            <w:vAlign w:val="bottom"/>
            <w:gridSpan w:val="2"/>
          </w:tcPr>
          <w:p>
            <w:pPr>
              <w:spacing w:after="0"/>
              <w:rPr>
                <w:sz w:val="22"/>
                <w:szCs w:val="22"/>
                <w:color w:val="auto"/>
              </w:rPr>
            </w:pPr>
          </w:p>
        </w:tc>
        <w:tc>
          <w:tcPr>
            <w:tcW w:w="1400" w:type="dxa"/>
            <w:vAlign w:val="bottom"/>
            <w:gridSpan w:val="6"/>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79</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0000FF"/>
                <w:w w:val="95"/>
              </w:rPr>
              <w:t>DILUTION</w:t>
            </w:r>
          </w:p>
        </w:tc>
        <w:tc>
          <w:tcPr>
            <w:tcW w:w="580" w:type="dxa"/>
            <w:vAlign w:val="bottom"/>
            <w:gridSpan w:val="3"/>
          </w:tcPr>
          <w:p>
            <w:pPr>
              <w:spacing w:after="0"/>
              <w:rPr>
                <w:sz w:val="22"/>
                <w:szCs w:val="22"/>
                <w:color w:val="auto"/>
              </w:rPr>
            </w:pPr>
          </w:p>
        </w:tc>
        <w:tc>
          <w:tcPr>
            <w:tcW w:w="1560" w:type="dxa"/>
            <w:vAlign w:val="bottom"/>
            <w:gridSpan w:val="8"/>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14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0000FF"/>
              </w:rPr>
              <w:t>85</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0000FF"/>
                <w:w w:val="98"/>
              </w:rPr>
              <w:t>BUSINESS</w:t>
            </w:r>
          </w:p>
        </w:tc>
        <w:tc>
          <w:tcPr>
            <w:tcW w:w="2060" w:type="dxa"/>
            <w:vAlign w:val="bottom"/>
            <w:gridSpan w:val="10"/>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0000FF"/>
              </w:rPr>
              <w:t>110</w:t>
            </w: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MANAGEMENT</w:t>
            </w:r>
          </w:p>
        </w:tc>
        <w:tc>
          <w:tcPr>
            <w:tcW w:w="1660" w:type="dxa"/>
            <w:vAlign w:val="bottom"/>
            <w:gridSpan w:val="9"/>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137</w:t>
            </w:r>
          </w:p>
        </w:tc>
        <w:tc>
          <w:tcPr>
            <w:tcW w:w="20" w:type="dxa"/>
            <w:vAlign w:val="bottom"/>
          </w:tcPr>
          <w:p>
            <w:pPr>
              <w:spacing w:after="0"/>
              <w:rPr>
                <w:sz w:val="22"/>
                <w:szCs w:val="22"/>
                <w:color w:val="auto"/>
              </w:rPr>
            </w:pPr>
          </w:p>
        </w:tc>
      </w:tr>
      <w:tr>
        <w:trPr>
          <w:trHeight w:val="263"/>
        </w:trPr>
        <w:tc>
          <w:tcPr>
            <w:tcW w:w="2980" w:type="dxa"/>
            <w:vAlign w:val="bottom"/>
            <w:gridSpan w:val="12"/>
          </w:tcPr>
          <w:p>
            <w:pPr>
              <w:spacing w:after="0"/>
              <w:rPr>
                <w:sz w:val="20"/>
                <w:szCs w:val="20"/>
                <w:color w:val="auto"/>
              </w:rPr>
            </w:pPr>
            <w:r>
              <w:rPr>
                <w:rFonts w:ascii="Arial" w:cs="Arial" w:eastAsia="Arial" w:hAnsi="Arial"/>
                <w:sz w:val="18"/>
                <w:szCs w:val="18"/>
                <w:color w:val="0000FF"/>
              </w:rPr>
              <w:t>EXECUTIVE COMPENSATION</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146</w:t>
            </w:r>
          </w:p>
        </w:tc>
        <w:tc>
          <w:tcPr>
            <w:tcW w:w="20" w:type="dxa"/>
            <w:vAlign w:val="bottom"/>
          </w:tcPr>
          <w:p>
            <w:pPr>
              <w:spacing w:after="0"/>
              <w:rPr>
                <w:sz w:val="22"/>
                <w:szCs w:val="2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360" w:type="dxa"/>
            <w:vAlign w:val="bottom"/>
            <w:gridSpan w:val="26"/>
          </w:tcPr>
          <w:p>
            <w:pPr>
              <w:spacing w:after="0"/>
              <w:rPr>
                <w:sz w:val="20"/>
                <w:szCs w:val="20"/>
                <w:color w:val="auto"/>
              </w:rPr>
            </w:pPr>
            <w:r>
              <w:rPr>
                <w:rFonts w:ascii="Arial" w:cs="Arial" w:eastAsia="Arial" w:hAnsi="Arial"/>
                <w:sz w:val="18"/>
                <w:szCs w:val="18"/>
                <w:color w:val="0000FF"/>
              </w:rPr>
              <w:t>CERTAIN RELATIONSHIPS AND RELATED PARTY TRANSACTIONS</w:t>
            </w: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163</w:t>
            </w:r>
          </w:p>
        </w:tc>
        <w:tc>
          <w:tcPr>
            <w:tcW w:w="20" w:type="dxa"/>
            <w:vAlign w:val="bottom"/>
          </w:tcPr>
          <w:p>
            <w:pPr>
              <w:spacing w:after="0"/>
              <w:rPr>
                <w:sz w:val="22"/>
                <w:szCs w:val="22"/>
                <w:color w:val="auto"/>
              </w:rPr>
            </w:pPr>
          </w:p>
        </w:tc>
      </w:tr>
      <w:tr>
        <w:trPr>
          <w:trHeight w:val="264"/>
        </w:trPr>
        <w:tc>
          <w:tcPr>
            <w:tcW w:w="3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PRINCIPAL AND SELLING STOCKHOLDERS</w:t>
            </w:r>
          </w:p>
        </w:tc>
        <w:tc>
          <w:tcPr>
            <w:tcW w:w="1920" w:type="dxa"/>
            <w:vAlign w:val="bottom"/>
            <w:tcBorders>
              <w:top w:val="single" w:sz="8" w:color="0000FF"/>
            </w:tcBorders>
            <w:gridSpan w:val="6"/>
          </w:tcPr>
          <w:p>
            <w:pPr>
              <w:spacing w:after="0"/>
              <w:rPr>
                <w:sz w:val="22"/>
                <w:szCs w:val="22"/>
                <w:color w:val="auto"/>
              </w:rPr>
            </w:pPr>
          </w:p>
        </w:tc>
        <w:tc>
          <w:tcPr>
            <w:tcW w:w="4720" w:type="dxa"/>
            <w:vAlign w:val="bottom"/>
            <w:gridSpan w:val="5"/>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167</w:t>
            </w:r>
          </w:p>
        </w:tc>
        <w:tc>
          <w:tcPr>
            <w:tcW w:w="20" w:type="dxa"/>
            <w:vAlign w:val="bottom"/>
          </w:tcPr>
          <w:p>
            <w:pPr>
              <w:spacing w:after="0"/>
              <w:rPr>
                <w:sz w:val="22"/>
                <w:szCs w:val="22"/>
                <w:color w:val="auto"/>
              </w:rPr>
            </w:pPr>
          </w:p>
        </w:tc>
      </w:tr>
      <w:tr>
        <w:trPr>
          <w:trHeight w:val="263"/>
        </w:trPr>
        <w:tc>
          <w:tcPr>
            <w:tcW w:w="10360" w:type="dxa"/>
            <w:vAlign w:val="bottom"/>
            <w:gridSpan w:val="26"/>
          </w:tcPr>
          <w:p>
            <w:pPr>
              <w:spacing w:after="0"/>
              <w:rPr>
                <w:sz w:val="20"/>
                <w:szCs w:val="20"/>
                <w:color w:val="auto"/>
              </w:rPr>
            </w:pPr>
            <w:r>
              <w:rPr>
                <w:rFonts w:ascii="Arial" w:cs="Arial" w:eastAsia="Arial" w:hAnsi="Arial"/>
                <w:sz w:val="18"/>
                <w:szCs w:val="18"/>
                <w:color w:val="0000FF"/>
              </w:rPr>
              <w:t>DESCRIPTION OF MATERIAL INDEBTEDNESS</w:t>
            </w: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171</w:t>
            </w:r>
          </w:p>
        </w:tc>
        <w:tc>
          <w:tcPr>
            <w:tcW w:w="20" w:type="dxa"/>
            <w:vAlign w:val="bottom"/>
          </w:tcPr>
          <w:p>
            <w:pPr>
              <w:spacing w:after="0"/>
              <w:rPr>
                <w:sz w:val="22"/>
                <w:szCs w:val="22"/>
                <w:color w:val="auto"/>
              </w:rPr>
            </w:pPr>
          </w:p>
        </w:tc>
      </w:tr>
      <w:tr>
        <w:trPr>
          <w:trHeight w:val="263"/>
        </w:trPr>
        <w:tc>
          <w:tcPr>
            <w:tcW w:w="29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8"/>
              </w:rPr>
              <w:t>DESCRIPTION OF CAPITAL STOCK</w:t>
            </w:r>
          </w:p>
        </w:tc>
        <w:tc>
          <w:tcPr>
            <w:tcW w:w="1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177</w:t>
            </w:r>
          </w:p>
        </w:tc>
        <w:tc>
          <w:tcPr>
            <w:tcW w:w="20" w:type="dxa"/>
            <w:vAlign w:val="bottom"/>
          </w:tcPr>
          <w:p>
            <w:pPr>
              <w:spacing w:after="0"/>
              <w:rPr>
                <w:sz w:val="22"/>
                <w:szCs w:val="22"/>
                <w:color w:val="auto"/>
              </w:rPr>
            </w:pPr>
          </w:p>
        </w:tc>
      </w:tr>
      <w:tr>
        <w:trPr>
          <w:trHeight w:val="264"/>
        </w:trPr>
        <w:tc>
          <w:tcPr>
            <w:tcW w:w="33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SHARES ELIGIBLE FOR FUTURE SALE</w:t>
            </w:r>
          </w:p>
        </w:tc>
        <w:tc>
          <w:tcPr>
            <w:tcW w:w="7040" w:type="dxa"/>
            <w:vAlign w:val="bottom"/>
            <w:gridSpan w:val="12"/>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185</w:t>
            </w:r>
          </w:p>
        </w:tc>
        <w:tc>
          <w:tcPr>
            <w:tcW w:w="20" w:type="dxa"/>
            <w:vAlign w:val="bottom"/>
          </w:tcPr>
          <w:p>
            <w:pPr>
              <w:spacing w:after="0"/>
              <w:rPr>
                <w:sz w:val="22"/>
                <w:szCs w:val="22"/>
                <w:color w:val="auto"/>
              </w:rPr>
            </w:pPr>
          </w:p>
        </w:tc>
      </w:tr>
      <w:tr>
        <w:trPr>
          <w:trHeight w:val="284"/>
        </w:trPr>
        <w:tc>
          <w:tcPr>
            <w:tcW w:w="10360" w:type="dxa"/>
            <w:vAlign w:val="bottom"/>
            <w:gridSpan w:val="26"/>
          </w:tcPr>
          <w:p>
            <w:pPr>
              <w:spacing w:after="0"/>
              <w:rPr>
                <w:sz w:val="20"/>
                <w:szCs w:val="20"/>
                <w:color w:val="auto"/>
              </w:rPr>
            </w:pPr>
            <w:r>
              <w:rPr>
                <w:rFonts w:ascii="Arial" w:cs="Arial" w:eastAsia="Arial" w:hAnsi="Arial"/>
                <w:sz w:val="18"/>
                <w:szCs w:val="18"/>
                <w:color w:val="0000FF"/>
              </w:rPr>
              <w:t>MATERIAL U.S. FEDERAL INCOME TAX CONSEQUENCES TO NON-U.S. HOLDERS OF OUR CLASS A COMMON STOCK</w:t>
            </w: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187</w:t>
            </w:r>
          </w:p>
        </w:tc>
        <w:tc>
          <w:tcPr>
            <w:tcW w:w="20" w:type="dxa"/>
            <w:vAlign w:val="bottom"/>
          </w:tcPr>
          <w:p>
            <w:pPr>
              <w:spacing w:after="0"/>
              <w:rPr>
                <w:sz w:val="24"/>
                <w:szCs w:val="24"/>
                <w:color w:val="auto"/>
              </w:rPr>
            </w:pPr>
          </w:p>
        </w:tc>
      </w:tr>
      <w:tr>
        <w:trPr>
          <w:trHeight w:val="270"/>
        </w:trPr>
        <w:tc>
          <w:tcPr>
            <w:tcW w:w="29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UNDERWRITING</w:t>
            </w:r>
          </w:p>
        </w:tc>
        <w:tc>
          <w:tcPr>
            <w:tcW w:w="1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64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192</w:t>
            </w:r>
          </w:p>
        </w:tc>
        <w:tc>
          <w:tcPr>
            <w:tcW w:w="20" w:type="dxa"/>
            <w:vAlign w:val="bottom"/>
          </w:tcPr>
          <w:p>
            <w:pPr>
              <w:spacing w:after="0"/>
              <w:rPr>
                <w:sz w:val="23"/>
                <w:szCs w:val="23"/>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980" w:type="dxa"/>
            <w:vAlign w:val="bottom"/>
            <w:gridSpan w:val="12"/>
          </w:tcPr>
          <w:p>
            <w:pPr>
              <w:spacing w:after="0"/>
              <w:rPr>
                <w:sz w:val="20"/>
                <w:szCs w:val="20"/>
                <w:color w:val="auto"/>
              </w:rPr>
            </w:pPr>
            <w:r>
              <w:rPr>
                <w:rFonts w:ascii="Arial" w:cs="Arial" w:eastAsia="Arial" w:hAnsi="Arial"/>
                <w:sz w:val="18"/>
                <w:szCs w:val="18"/>
                <w:color w:val="0000FF"/>
              </w:rPr>
              <w:t>LEGAL MATTERS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200</w:t>
            </w:r>
          </w:p>
        </w:tc>
        <w:tc>
          <w:tcPr>
            <w:tcW w:w="20" w:type="dxa"/>
            <w:vAlign w:val="bottom"/>
          </w:tcPr>
          <w:p>
            <w:pPr>
              <w:spacing w:after="0"/>
              <w:rPr>
                <w:sz w:val="22"/>
                <w:szCs w:val="22"/>
                <w:color w:val="auto"/>
              </w:rPr>
            </w:pPr>
          </w:p>
        </w:tc>
      </w:tr>
      <w:tr>
        <w:trPr>
          <w:trHeight w:val="264"/>
        </w:trPr>
        <w:tc>
          <w:tcPr>
            <w:tcW w:w="14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EXPERTS</w:t>
            </w:r>
          </w:p>
        </w:tc>
        <w:tc>
          <w:tcPr>
            <w:tcW w:w="1500" w:type="dxa"/>
            <w:vAlign w:val="bottom"/>
            <w:gridSpan w:val="7"/>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200</w:t>
            </w:r>
          </w:p>
        </w:tc>
        <w:tc>
          <w:tcPr>
            <w:tcW w:w="20" w:type="dxa"/>
            <w:vAlign w:val="bottom"/>
          </w:tcPr>
          <w:p>
            <w:pPr>
              <w:spacing w:after="0"/>
              <w:rPr>
                <w:sz w:val="22"/>
                <w:szCs w:val="2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14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CHANGES IN INDEPENDENT REGISTERED PUBLIC ACCOUNTING FIRM</w:t>
            </w:r>
          </w:p>
        </w:tc>
        <w:tc>
          <w:tcPr>
            <w:tcW w:w="422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200</w:t>
            </w:r>
          </w:p>
        </w:tc>
        <w:tc>
          <w:tcPr>
            <w:tcW w:w="20" w:type="dxa"/>
            <w:vAlign w:val="bottom"/>
          </w:tcPr>
          <w:p>
            <w:pPr>
              <w:spacing w:after="0"/>
              <w:rPr>
                <w:sz w:val="22"/>
                <w:szCs w:val="22"/>
                <w:color w:val="auto"/>
              </w:rPr>
            </w:pPr>
          </w:p>
        </w:tc>
      </w:tr>
      <w:tr>
        <w:trPr>
          <w:trHeight w:val="264"/>
        </w:trPr>
        <w:tc>
          <w:tcPr>
            <w:tcW w:w="10360" w:type="dxa"/>
            <w:vAlign w:val="bottom"/>
            <w:gridSpan w:val="26"/>
          </w:tcPr>
          <w:p>
            <w:pPr>
              <w:spacing w:after="0"/>
              <w:rPr>
                <w:sz w:val="20"/>
                <w:szCs w:val="20"/>
                <w:color w:val="auto"/>
              </w:rPr>
            </w:pPr>
            <w:r>
              <w:rPr>
                <w:rFonts w:ascii="Arial" w:cs="Arial" w:eastAsia="Arial" w:hAnsi="Arial"/>
                <w:sz w:val="18"/>
                <w:szCs w:val="18"/>
                <w:color w:val="0000FF"/>
              </w:rPr>
              <w:t>WHERE YOU CAN FIND ADDITIONAL INFORMATION</w:t>
            </w:r>
          </w:p>
        </w:tc>
        <w:tc>
          <w:tcPr>
            <w:tcW w:w="840" w:type="dxa"/>
            <w:vAlign w:val="bottom"/>
            <w:gridSpan w:val="4"/>
          </w:tcPr>
          <w:p>
            <w:pPr>
              <w:jc w:val="right"/>
              <w:spacing w:after="0"/>
              <w:rPr>
                <w:sz w:val="20"/>
                <w:szCs w:val="20"/>
                <w:color w:val="auto"/>
              </w:rPr>
            </w:pPr>
            <w:r>
              <w:rPr>
                <w:rFonts w:ascii="Arial" w:cs="Arial" w:eastAsia="Arial" w:hAnsi="Arial"/>
                <w:sz w:val="18"/>
                <w:szCs w:val="18"/>
                <w:color w:val="0000FF"/>
              </w:rPr>
              <w:t>201</w:t>
            </w:r>
          </w:p>
        </w:tc>
        <w:tc>
          <w:tcPr>
            <w:tcW w:w="20" w:type="dxa"/>
            <w:vAlign w:val="bottom"/>
          </w:tcPr>
          <w:p>
            <w:pPr>
              <w:spacing w:after="0"/>
              <w:rPr>
                <w:sz w:val="22"/>
                <w:szCs w:val="22"/>
                <w:color w:val="auto"/>
              </w:rPr>
            </w:pPr>
          </w:p>
        </w:tc>
      </w:tr>
      <w:tr>
        <w:trPr>
          <w:trHeight w:val="20"/>
        </w:trPr>
        <w:tc>
          <w:tcPr>
            <w:tcW w:w="4440" w:type="dxa"/>
            <w:vAlign w:val="bottom"/>
            <w:gridSpan w:val="1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540" w:type="dxa"/>
            <w:vAlign w:val="bottom"/>
            <w:gridSpan w:val="18"/>
          </w:tcPr>
          <w:p>
            <w:pPr>
              <w:spacing w:after="0"/>
              <w:rPr>
                <w:sz w:val="20"/>
                <w:szCs w:val="20"/>
                <w:color w:val="auto"/>
              </w:rPr>
            </w:pPr>
            <w:r>
              <w:rPr>
                <w:rFonts w:ascii="Arial" w:cs="Arial" w:eastAsia="Arial" w:hAnsi="Arial"/>
                <w:sz w:val="18"/>
                <w:szCs w:val="18"/>
                <w:color w:val="0000FF"/>
                <w:w w:val="98"/>
              </w:rPr>
              <w:t>INDEX TO CONSOLIDATED FINANCIAL STATEMENTS</w:t>
            </w:r>
          </w:p>
        </w:tc>
        <w:tc>
          <w:tcPr>
            <w:tcW w:w="5820" w:type="dxa"/>
            <w:vAlign w:val="bottom"/>
            <w:gridSpan w:val="8"/>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88"/>
              </w:rPr>
              <w:t>F-1</w:t>
            </w:r>
          </w:p>
        </w:tc>
      </w:tr>
      <w:tr>
        <w:trPr>
          <w:trHeight w:val="304"/>
        </w:trPr>
        <w:tc>
          <w:tcPr>
            <w:tcW w:w="2980" w:type="dxa"/>
            <w:vAlign w:val="bottom"/>
            <w:tcBorders>
              <w:top w:val="single" w:sz="8" w:color="0000FF"/>
            </w:tcBorders>
            <w:gridSpan w:val="12"/>
          </w:tcPr>
          <w:p>
            <w:pPr>
              <w:spacing w:after="0"/>
              <w:rPr>
                <w:sz w:val="24"/>
                <w:szCs w:val="24"/>
                <w:color w:val="auto"/>
              </w:rPr>
            </w:pPr>
          </w:p>
        </w:tc>
        <w:tc>
          <w:tcPr>
            <w:tcW w:w="1560" w:type="dxa"/>
            <w:vAlign w:val="bottom"/>
            <w:tcBorders>
              <w:top w:val="single" w:sz="8" w:color="0000FF"/>
            </w:tcBorders>
            <w:gridSpan w:val="6"/>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Borders>
              <w:bottom w:val="single" w:sz="8" w:color="auto"/>
            </w:tcBorders>
            <w:gridSpan w:val="4"/>
          </w:tcPr>
          <w:p>
            <w:pPr>
              <w:spacing w:after="0"/>
              <w:rPr>
                <w:sz w:val="24"/>
                <w:szCs w:val="24"/>
                <w:color w:val="auto"/>
              </w:rPr>
            </w:pPr>
          </w:p>
        </w:tc>
        <w:tc>
          <w:tcPr>
            <w:tcW w:w="4440" w:type="dxa"/>
            <w:vAlign w:val="bottom"/>
            <w:gridSpan w:val="4"/>
          </w:tcPr>
          <w:p>
            <w:pPr>
              <w:spacing w:after="0"/>
              <w:rPr>
                <w:sz w:val="24"/>
                <w:szCs w:val="24"/>
                <w:color w:val="auto"/>
              </w:rPr>
            </w:pPr>
          </w:p>
        </w:tc>
        <w:tc>
          <w:tcPr>
            <w:tcW w:w="260" w:type="dxa"/>
            <w:vAlign w:val="bottom"/>
            <w:tcBorders>
              <w:top w:val="single" w:sz="8" w:color="0000FF"/>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492"/>
        </w:trPr>
        <w:tc>
          <w:tcPr>
            <w:tcW w:w="2980" w:type="dxa"/>
            <w:vAlign w:val="bottom"/>
            <w:gridSpan w:val="12"/>
          </w:tcPr>
          <w:p>
            <w:pPr>
              <w:ind w:left="320"/>
              <w:spacing w:after="0"/>
              <w:rPr>
                <w:sz w:val="20"/>
                <w:szCs w:val="20"/>
                <w:color w:val="auto"/>
              </w:rPr>
            </w:pPr>
            <w:r>
              <w:rPr>
                <w:rFonts w:ascii="Arial" w:cs="Arial" w:eastAsia="Arial" w:hAnsi="Arial"/>
                <w:sz w:val="18"/>
                <w:szCs w:val="18"/>
                <w:b w:val="1"/>
                <w:bCs w:val="1"/>
                <w:color w:val="auto"/>
              </w:rPr>
              <w:t>Through and including</w:t>
            </w:r>
          </w:p>
        </w:tc>
        <w:tc>
          <w:tcPr>
            <w:tcW w:w="8240" w:type="dxa"/>
            <w:vAlign w:val="bottom"/>
            <w:gridSpan w:val="19"/>
          </w:tcPr>
          <w:p>
            <w:pPr>
              <w:jc w:val="right"/>
              <w:ind w:right="80"/>
              <w:spacing w:after="0"/>
              <w:rPr>
                <w:sz w:val="20"/>
                <w:szCs w:val="20"/>
                <w:color w:val="auto"/>
              </w:rPr>
            </w:pPr>
            <w:r>
              <w:rPr>
                <w:rFonts w:ascii="Arial" w:cs="Arial" w:eastAsia="Arial" w:hAnsi="Arial"/>
                <w:sz w:val="18"/>
                <w:szCs w:val="18"/>
                <w:b w:val="1"/>
                <w:bCs w:val="1"/>
                <w:color w:val="auto"/>
                <w:w w:val="99"/>
              </w:rPr>
              <w:t>, 2025 (the 25th day after the date of this prospectus), all dealers effecting transactions in these</w:t>
            </w:r>
          </w:p>
        </w:tc>
      </w:tr>
    </w:tbl>
    <w:p>
      <w:pPr>
        <w:ind w:right="380"/>
        <w:spacing w:after="0" w:line="306" w:lineRule="auto"/>
        <w:rPr>
          <w:sz w:val="20"/>
          <w:szCs w:val="20"/>
          <w:color w:val="auto"/>
        </w:rPr>
      </w:pPr>
      <w:r>
        <w:rPr>
          <w:rFonts w:ascii="Arial" w:cs="Arial" w:eastAsia="Arial" w:hAnsi="Arial"/>
          <w:sz w:val="17"/>
          <w:szCs w:val="17"/>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78" w:lineRule="exact"/>
        <w:rPr>
          <w:sz w:val="20"/>
          <w:szCs w:val="20"/>
          <w:color w:val="auto"/>
        </w:rPr>
      </w:pPr>
    </w:p>
    <w:p>
      <w:pPr>
        <w:ind w:right="1040" w:firstLine="324"/>
        <w:spacing w:after="0" w:line="287" w:lineRule="auto"/>
        <w:rPr>
          <w:sz w:val="20"/>
          <w:szCs w:val="20"/>
          <w:color w:val="auto"/>
        </w:rPr>
      </w:pPr>
      <w:r>
        <w:rPr>
          <w:rFonts w:ascii="Arial" w:cs="Arial" w:eastAsia="Arial" w:hAnsi="Arial"/>
          <w:sz w:val="18"/>
          <w:szCs w:val="18"/>
          <w:color w:val="auto"/>
        </w:rPr>
        <w:t>Neither we, the selling stockholders, nor the underwriters have authorized anyone to provide any information or to make any representations other than those contained in this prospectus or in any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3" w:name="page4"/>
    <w:bookmarkEnd w:id="3"/>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writing prospectuses prepared by or on behalf of us or to which we have referred you. Neither we, the selling stockholders, nor the underwriters take any responsibility for, and can provide no assurance as to the reliability of, any other information that others may give you. We and the selling stockholders are offering to sell, and seeking offers to buy, shares of Class A common stock only in jurisdictions where offers and sales are permitted. The information contained in this prospectus is accurate only as of the date of this prospectus, regardless of the time of delivery of this prospectus or of any sale of the shares of Class A common stock. Our business, financial condition, results of operations, and future growth prospects may have changed since that date.</w:t>
      </w:r>
    </w:p>
    <w:p>
      <w:pPr>
        <w:spacing w:after="0" w:line="128"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For investors outside the United States: Neither we, the selling stockholders, nor any of the underwriters have taken any action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2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Unless otherwise indicated, the terms “Navan,” the “company,” “we,” “us,” and “our” refer to Navan, Inc. and its subsidiaries, and references to our “common stock” include our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1440" w:right="45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Bleisure category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 Satisfaction Score (or CSAT score)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booking volume (or GBV)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Distribution System (or GDS)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Low-Cost Carriers (or LCCs)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category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Navan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Navan Connect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GLOSSARY OF TERMS</w:t>
      </w:r>
    </w:p>
    <w:p>
      <w:pPr>
        <w:spacing w:after="0" w:line="21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 customer that has transacted on our platform six or more times in the 12 months preceding the measurement date and that has generated any form of usage-based revenue</w:t>
      </w:r>
    </w:p>
    <w:p>
      <w:pPr>
        <w:spacing w:after="0" w:line="1" w:lineRule="exact"/>
        <w:rPr>
          <w:sz w:val="20"/>
          <w:szCs w:val="20"/>
          <w:color w:val="auto"/>
        </w:rPr>
      </w:pPr>
    </w:p>
    <w:p>
      <w:pPr>
        <w:jc w:val="both"/>
        <w:ind w:right="80"/>
        <w:spacing w:after="0" w:line="221" w:lineRule="auto"/>
        <w:rPr>
          <w:sz w:val="20"/>
          <w:szCs w:val="20"/>
          <w:color w:val="auto"/>
        </w:rPr>
      </w:pPr>
      <w:r>
        <w:rPr>
          <w:rFonts w:ascii="Arial" w:cs="Arial" w:eastAsia="Arial" w:hAnsi="Arial"/>
          <w:sz w:val="17"/>
          <w:szCs w:val="17"/>
          <w:color w:val="auto"/>
        </w:rPr>
        <w:t>from a user’s booking on our platform during this period. A single company or organization with multiple divisions, segments, or subsidiaries is generally counted as a single customer, even though we may enter into agreements with multiple parties within that company or</w:t>
      </w:r>
    </w:p>
    <w:p>
      <w:pPr>
        <w:spacing w:after="0"/>
        <w:rPr>
          <w:sz w:val="20"/>
          <w:szCs w:val="20"/>
          <w:color w:val="auto"/>
        </w:rPr>
      </w:pPr>
      <w:r>
        <w:rPr>
          <w:rFonts w:ascii="Arial" w:cs="Arial" w:eastAsia="Arial" w:hAnsi="Arial"/>
          <w:sz w:val="18"/>
          <w:szCs w:val="18"/>
          <w:color w:val="auto"/>
        </w:rPr>
        <w:t>organization.</w:t>
      </w:r>
    </w:p>
    <w:p>
      <w:pPr>
        <w:spacing w:after="0" w:line="14"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category of the business travel market defined by personal travel booked around or in connection with business travel.</w:t>
      </w:r>
    </w:p>
    <w:p>
      <w:pPr>
        <w:spacing w:after="0" w:line="6"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A company or organization that contracts with us to provide its dedicated users with access to our (i) Travel, Corporate Payments, and Expense Management offerings, and/or (ii) on-</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demand travel management offerings (including our Meetings and Events, VIP, and Bleisure offerings).</w:t>
      </w:r>
    </w:p>
    <w:p>
      <w:pPr>
        <w:spacing w:after="0" w:line="1" w:lineRule="exact"/>
        <w:rPr>
          <w:sz w:val="20"/>
          <w:szCs w:val="20"/>
          <w:color w:val="auto"/>
        </w:rPr>
      </w:pPr>
    </w:p>
    <w:p>
      <w:pPr>
        <w:ind w:right="480"/>
        <w:spacing w:after="0" w:line="216" w:lineRule="auto"/>
        <w:rPr>
          <w:sz w:val="20"/>
          <w:szCs w:val="20"/>
          <w:color w:val="auto"/>
        </w:rPr>
      </w:pPr>
      <w:r>
        <w:rPr>
          <w:rFonts w:ascii="Arial" w:cs="Arial" w:eastAsia="Arial" w:hAnsi="Arial"/>
          <w:sz w:val="18"/>
          <w:szCs w:val="18"/>
          <w:color w:val="auto"/>
        </w:rPr>
        <w:t>A measure of customer satisfaction, collected through post-interaction surveys that we prepare and distribute asking users to rate their experience with Navan's service</w:t>
      </w:r>
    </w:p>
    <w:p>
      <w:pPr>
        <w:spacing w:after="0" w:line="1" w:lineRule="exact"/>
        <w:rPr>
          <w:sz w:val="20"/>
          <w:szCs w:val="20"/>
          <w:color w:val="auto"/>
        </w:rPr>
      </w:pPr>
    </w:p>
    <w:p>
      <w:pPr>
        <w:jc w:val="both"/>
        <w:ind w:right="240"/>
        <w:spacing w:after="0" w:line="221" w:lineRule="auto"/>
        <w:rPr>
          <w:sz w:val="20"/>
          <w:szCs w:val="20"/>
          <w:color w:val="auto"/>
        </w:rPr>
      </w:pPr>
      <w:r>
        <w:rPr>
          <w:rFonts w:ascii="Arial" w:cs="Arial" w:eastAsia="Arial" w:hAnsi="Arial"/>
          <w:sz w:val="18"/>
          <w:szCs w:val="18"/>
          <w:color w:val="auto"/>
        </w:rPr>
        <w:t>consultants on a 5-point scale. CSAT is calculated by dividing the total number of 4 and 5 scores by the total number of responses. Navan uses CSAT to evaluate the quality of our customer support.</w:t>
      </w:r>
    </w:p>
    <w:p>
      <w:pPr>
        <w:spacing w:after="0" w:line="4"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The total amount paid for valid bookings on our platform, measured on a booked basis and inclusive of total price, taxes, and fees, and adjusted for cancellations and refunds. GBV</w:t>
      </w:r>
    </w:p>
    <w:p>
      <w:pPr>
        <w:spacing w:after="0" w:line="1" w:lineRule="exact"/>
        <w:rPr>
          <w:sz w:val="20"/>
          <w:szCs w:val="20"/>
          <w:color w:val="auto"/>
        </w:rPr>
      </w:pPr>
    </w:p>
    <w:p>
      <w:pPr>
        <w:ind w:right="160"/>
        <w:spacing w:after="0" w:line="221" w:lineRule="auto"/>
        <w:rPr>
          <w:sz w:val="20"/>
          <w:szCs w:val="20"/>
          <w:color w:val="auto"/>
        </w:rPr>
      </w:pPr>
      <w:r>
        <w:rPr>
          <w:rFonts w:ascii="Arial" w:cs="Arial" w:eastAsia="Arial" w:hAnsi="Arial"/>
          <w:sz w:val="17"/>
          <w:szCs w:val="17"/>
          <w:color w:val="auto"/>
        </w:rPr>
        <w:t>includes bookings for hotels, flights, cars, and rail, as well as usage of our Meetings and Events, VIP, and Bleisure offerings. See the section titled “Management’s Discussion and Analysis of Financial Condition and Results of Operations–Key Business Metrics” for more</w:t>
      </w:r>
    </w:p>
    <w:p>
      <w:pPr>
        <w:spacing w:after="0"/>
        <w:rPr>
          <w:sz w:val="20"/>
          <w:szCs w:val="20"/>
          <w:color w:val="auto"/>
        </w:rPr>
      </w:pPr>
      <w:r>
        <w:rPr>
          <w:rFonts w:ascii="Arial" w:cs="Arial" w:eastAsia="Arial" w:hAnsi="Arial"/>
          <w:sz w:val="18"/>
          <w:szCs w:val="18"/>
          <w:color w:val="auto"/>
        </w:rPr>
        <w:t>information.</w:t>
      </w:r>
    </w:p>
    <w:p>
      <w:pPr>
        <w:spacing w:after="0" w:line="14" w:lineRule="exact"/>
        <w:rPr>
          <w:sz w:val="20"/>
          <w:szCs w:val="20"/>
          <w:color w:val="auto"/>
        </w:rPr>
      </w:pPr>
    </w:p>
    <w:p>
      <w:pPr>
        <w:ind w:right="320"/>
        <w:spacing w:after="0" w:line="229" w:lineRule="auto"/>
        <w:rPr>
          <w:sz w:val="20"/>
          <w:szCs w:val="20"/>
          <w:color w:val="auto"/>
        </w:rPr>
      </w:pPr>
      <w:r>
        <w:rPr>
          <w:rFonts w:ascii="Arial" w:cs="Arial" w:eastAsia="Arial" w:hAnsi="Arial"/>
          <w:sz w:val="17"/>
          <w:szCs w:val="17"/>
          <w:color w:val="auto"/>
        </w:rPr>
        <w:t>A third-party network operated by global technology providers that aggregates and distributes travel inventory such as flights, hotels, and car rentals from travel suppliers to</w:t>
      </w:r>
    </w:p>
    <w:p>
      <w:pPr>
        <w:spacing w:after="0"/>
        <w:rPr>
          <w:sz w:val="20"/>
          <w:szCs w:val="20"/>
          <w:color w:val="auto"/>
        </w:rPr>
      </w:pPr>
      <w:r>
        <w:rPr>
          <w:rFonts w:ascii="Arial" w:cs="Arial" w:eastAsia="Arial" w:hAnsi="Arial"/>
          <w:sz w:val="18"/>
          <w:szCs w:val="18"/>
          <w:color w:val="auto"/>
        </w:rPr>
        <w:t>travel agencies and booking platforms.</w:t>
      </w:r>
    </w:p>
    <w:p>
      <w:pPr>
        <w:spacing w:after="0" w:line="1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Airlines with no-frills models that are not accessed by traditional GDSs requiring TMCs and travel platforms to establish direct connections.</w:t>
      </w:r>
    </w:p>
    <w:p>
      <w:pPr>
        <w:spacing w:after="0" w:line="6"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category of the business travel market defined by travel activity governed by a formally implemented travel program. These programs are typically administered by a customer</w:t>
      </w:r>
    </w:p>
    <w:p>
      <w:pPr>
        <w:spacing w:after="0" w:line="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through a TMC or a dedicated travel platform, and are characterized by negotiated supplier contracts, documented travel policies, and mandated booking channels.</w:t>
      </w:r>
    </w:p>
    <w:p>
      <w:pPr>
        <w:spacing w:after="0" w:line="1"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Our innovative proprietary AI framework that combines the precision and predictive power of machine learning, or ML, with the reasoning capabilities of large language models. On our</w:t>
      </w:r>
    </w:p>
    <w:p>
      <w:pPr>
        <w:spacing w:after="0" w:line="1" w:lineRule="exact"/>
        <w:rPr>
          <w:sz w:val="20"/>
          <w:szCs w:val="20"/>
          <w:color w:val="auto"/>
        </w:rPr>
      </w:pPr>
    </w:p>
    <w:p>
      <w:pPr>
        <w:ind w:right="380"/>
        <w:spacing w:after="0" w:line="221" w:lineRule="auto"/>
        <w:rPr>
          <w:sz w:val="20"/>
          <w:szCs w:val="20"/>
          <w:color w:val="auto"/>
        </w:rPr>
      </w:pPr>
      <w:r>
        <w:rPr>
          <w:rFonts w:ascii="Arial" w:cs="Arial" w:eastAsia="Arial" w:hAnsi="Arial"/>
          <w:sz w:val="17"/>
          <w:szCs w:val="17"/>
          <w:color w:val="auto"/>
        </w:rPr>
        <w:t>platform, Navan Cognition leverages third-party large language models with our own proprietary, internally developed software to enable us to create, train, deploy, and supervise our specialized virtual agents that can handle many complex tasks previously</w:t>
      </w:r>
    </w:p>
    <w:p>
      <w:pPr>
        <w:ind w:right="340"/>
        <w:spacing w:after="0" w:line="229" w:lineRule="auto"/>
        <w:rPr>
          <w:sz w:val="20"/>
          <w:szCs w:val="20"/>
          <w:color w:val="auto"/>
        </w:rPr>
      </w:pPr>
      <w:r>
        <w:rPr>
          <w:rFonts w:ascii="Arial" w:cs="Arial" w:eastAsia="Arial" w:hAnsi="Arial"/>
          <w:sz w:val="18"/>
          <w:szCs w:val="18"/>
          <w:color w:val="auto"/>
        </w:rPr>
        <w:t>requiring human intervention. See the section titled “Business–Our Solution–Navan Cognition: Our New Paradigm in AI-Powered Travel Management” for more information.</w:t>
      </w:r>
    </w:p>
    <w:p>
      <w:pPr>
        <w:spacing w:after="0" w:line="1" w:lineRule="exact"/>
        <w:rPr>
          <w:sz w:val="20"/>
          <w:szCs w:val="20"/>
          <w:color w:val="auto"/>
        </w:rPr>
      </w:pPr>
    </w:p>
    <w:p>
      <w:pPr>
        <w:ind w:right="580"/>
        <w:spacing w:after="0" w:line="234" w:lineRule="auto"/>
        <w:rPr>
          <w:sz w:val="20"/>
          <w:szCs w:val="20"/>
          <w:color w:val="auto"/>
        </w:rPr>
      </w:pPr>
      <w:r>
        <w:rPr>
          <w:rFonts w:ascii="Arial" w:cs="Arial" w:eastAsia="Arial" w:hAnsi="Arial"/>
          <w:sz w:val="18"/>
          <w:szCs w:val="18"/>
          <w:color w:val="auto"/>
        </w:rPr>
        <w:t>Our open API framework that enables customers to integrate their existing third-party corporate card programs into our Expense Management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iii</w:t>
      </w:r>
    </w:p>
    <w:p>
      <w:pPr>
        <w:sectPr>
          <w:pgSz w:w="11900" w:h="16838" w:orient="portrait"/>
          <w:cols w:equalWidth="0" w:num="2">
            <w:col w:w="3620" w:space="240"/>
            <w:col w:w="7340"/>
          </w:cols>
          <w:pgMar w:left="340" w:top="1440" w:right="359" w:bottom="1440" w:gutter="0" w:footer="0" w:header="0"/>
        </w:sectPr>
      </w:pPr>
    </w:p>
    <w:bookmarkStart w:id="5" w:name="page6"/>
    <w:bookmarkEnd w:id="5"/>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Promoter Score (or NPS)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Distribution Capability (or NDC)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volume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Product-led growth (or PLG)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Sales-led growth (or SLG)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Travel management company (or TMC)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A standardized measure of consumer satisfaction and loyalty that can range from a low of negative 100 to a high of positive 100. To calculate NPS, Navan users receive a survey</w:t>
      </w:r>
    </w:p>
    <w:p>
      <w:pPr>
        <w:spacing w:after="0" w:line="1" w:lineRule="exact"/>
        <w:rPr>
          <w:sz w:val="20"/>
          <w:szCs w:val="20"/>
          <w:color w:val="auto"/>
        </w:rPr>
      </w:pPr>
    </w:p>
    <w:p>
      <w:pPr>
        <w:ind w:right="80"/>
        <w:spacing w:after="0" w:line="208" w:lineRule="auto"/>
        <w:rPr>
          <w:sz w:val="20"/>
          <w:szCs w:val="20"/>
          <w:color w:val="auto"/>
        </w:rPr>
      </w:pPr>
      <w:r>
        <w:rPr>
          <w:rFonts w:ascii="Arial" w:cs="Arial" w:eastAsia="Arial" w:hAnsi="Arial"/>
          <w:sz w:val="18"/>
          <w:szCs w:val="18"/>
          <w:color w:val="auto"/>
        </w:rPr>
        <w:t>asking, “How likely are you to recommend Navan to a friend or colleague?” on a scale from 0 to 10. Respondents are segmented into three groups: Promoters (score of 9 or 10), Passives (score of 7 or 8) and Detractors (score of 6 or less). NPS is then calculated by</w:t>
      </w:r>
    </w:p>
    <w:p>
      <w:pPr>
        <w:spacing w:after="0" w:line="2" w:lineRule="exact"/>
        <w:rPr>
          <w:sz w:val="20"/>
          <w:szCs w:val="20"/>
          <w:color w:val="auto"/>
        </w:rPr>
      </w:pPr>
    </w:p>
    <w:p>
      <w:pPr>
        <w:ind w:right="100"/>
        <w:spacing w:after="0" w:line="221" w:lineRule="auto"/>
        <w:rPr>
          <w:sz w:val="20"/>
          <w:szCs w:val="20"/>
          <w:color w:val="auto"/>
        </w:rPr>
      </w:pPr>
      <w:r>
        <w:rPr>
          <w:rFonts w:ascii="Arial" w:cs="Arial" w:eastAsia="Arial" w:hAnsi="Arial"/>
          <w:sz w:val="17"/>
          <w:szCs w:val="17"/>
          <w:color w:val="auto"/>
        </w:rPr>
        <w:t>subtracting the number of Detractors from the number of Promoters, then dividing that number by the total number of respondents, then multiplying by 100. NPS benchmarks can vary significantly by industry, but a score greater than zero represents a company that has</w:t>
      </w:r>
    </w:p>
    <w:p>
      <w:pPr>
        <w:spacing w:after="0"/>
        <w:rPr>
          <w:sz w:val="20"/>
          <w:szCs w:val="20"/>
          <w:color w:val="auto"/>
        </w:rPr>
      </w:pPr>
      <w:r>
        <w:rPr>
          <w:rFonts w:ascii="Arial" w:cs="Arial" w:eastAsia="Arial" w:hAnsi="Arial"/>
          <w:sz w:val="18"/>
          <w:szCs w:val="18"/>
          <w:color w:val="auto"/>
        </w:rPr>
        <w:t>more promoters than detractors. Our NPS is calculated by us on a third-party platform.</w:t>
      </w:r>
    </w:p>
    <w:p>
      <w:pPr>
        <w:spacing w:after="0" w:line="14"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An International Air Transport Association technical standard that enables airlines to offer dynamically priced fares, ancillary products, and rich content (such as seat maps and</w:t>
      </w:r>
    </w:p>
    <w:p>
      <w:pPr>
        <w:ind w:right="340"/>
        <w:spacing w:after="0" w:line="229" w:lineRule="auto"/>
        <w:rPr>
          <w:sz w:val="20"/>
          <w:szCs w:val="20"/>
          <w:color w:val="auto"/>
        </w:rPr>
      </w:pPr>
      <w:r>
        <w:rPr>
          <w:rFonts w:ascii="Arial" w:cs="Arial" w:eastAsia="Arial" w:hAnsi="Arial"/>
          <w:sz w:val="18"/>
          <w:szCs w:val="18"/>
          <w:color w:val="auto"/>
        </w:rPr>
        <w:t>branded fares) through application programming interfaces, or APIs, that bypass certain legacy limitations of GDS.</w:t>
      </w:r>
    </w:p>
    <w:p>
      <w:pPr>
        <w:spacing w:after="0" w:line="1" w:lineRule="exact"/>
        <w:rPr>
          <w:sz w:val="20"/>
          <w:szCs w:val="20"/>
          <w:color w:val="auto"/>
        </w:rPr>
      </w:pPr>
    </w:p>
    <w:p>
      <w:pPr>
        <w:ind w:right="360"/>
        <w:spacing w:after="0" w:line="216" w:lineRule="auto"/>
        <w:rPr>
          <w:sz w:val="20"/>
          <w:szCs w:val="20"/>
          <w:color w:val="auto"/>
        </w:rPr>
      </w:pPr>
      <w:r>
        <w:rPr>
          <w:rFonts w:ascii="Arial" w:cs="Arial" w:eastAsia="Arial" w:hAnsi="Arial"/>
          <w:sz w:val="18"/>
          <w:szCs w:val="18"/>
          <w:color w:val="auto"/>
        </w:rPr>
        <w:t>The suite of integrated products and services available on our platform. These offerings currently consist of Travel, Corporate Payments, Expense Management, Meetings and</w:t>
      </w:r>
    </w:p>
    <w:p>
      <w:pPr>
        <w:spacing w:after="0" w:line="1" w:lineRule="exact"/>
        <w:rPr>
          <w:sz w:val="20"/>
          <w:szCs w:val="20"/>
          <w:color w:val="auto"/>
        </w:rPr>
      </w:pPr>
    </w:p>
    <w:p>
      <w:pPr>
        <w:jc w:val="both"/>
        <w:ind w:right="100"/>
        <w:spacing w:after="0" w:line="221" w:lineRule="auto"/>
        <w:rPr>
          <w:sz w:val="20"/>
          <w:szCs w:val="20"/>
          <w:color w:val="auto"/>
        </w:rPr>
      </w:pPr>
      <w:r>
        <w:rPr>
          <w:rFonts w:ascii="Arial" w:cs="Arial" w:eastAsia="Arial" w:hAnsi="Arial"/>
          <w:sz w:val="18"/>
          <w:szCs w:val="18"/>
          <w:color w:val="auto"/>
        </w:rPr>
        <w:t>Events, VIP, and Bleisure. These offerings are accessible through our platform and may be adopted individually or in combination by our customers. See the section titled “Business— Our Offerings” for more information.</w:t>
      </w:r>
    </w:p>
    <w:p>
      <w:pPr>
        <w:spacing w:after="0" w:line="4"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The aggregate dollar amount of spend through Navan issued cards, settled during a given period and net of any chargebacks, cancellations, or refunds. See the section titled</w:t>
      </w:r>
    </w:p>
    <w:p>
      <w:pPr>
        <w:spacing w:after="0" w:line="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“Management’s Discussion and Analysis of Financial Condition and Results of Operations– Key Business Metrics” for more information.</w:t>
      </w:r>
    </w:p>
    <w:p>
      <w:pPr>
        <w:spacing w:after="0" w:line="1" w:lineRule="exact"/>
        <w:rPr>
          <w:sz w:val="20"/>
          <w:szCs w:val="20"/>
          <w:color w:val="auto"/>
        </w:rPr>
      </w:pPr>
    </w:p>
    <w:p>
      <w:pPr>
        <w:ind w:right="480"/>
        <w:spacing w:after="0" w:line="216" w:lineRule="auto"/>
        <w:rPr>
          <w:sz w:val="20"/>
          <w:szCs w:val="20"/>
          <w:color w:val="auto"/>
        </w:rPr>
      </w:pPr>
      <w:r>
        <w:rPr>
          <w:rFonts w:ascii="Arial" w:cs="Arial" w:eastAsia="Arial" w:hAnsi="Arial"/>
          <w:sz w:val="18"/>
          <w:szCs w:val="18"/>
          <w:color w:val="auto"/>
        </w:rPr>
        <w:t>Our go-to-market strategy in which our platform and our suite of offerings serve as the primary drivers of customer acquisition, expansion, and retention. In our PLG model,</w:t>
      </w:r>
    </w:p>
    <w:p>
      <w:pPr>
        <w:spacing w:after="0" w:line="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customers typically discover, sign up for, and begin using our offerings through our website or application, often with limited involvement from a sales representative.</w:t>
      </w:r>
    </w:p>
    <w:p>
      <w:pPr>
        <w:spacing w:after="0" w:line="1"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Our go-to-market strategy in which qualified sales professionals actively identify, engage, and support prospective customers through the evaluation and purchasing process. In our</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SLG model, sales representatives directly prospect, engage, and guide potential customers through a structured and consultative buying process.</w:t>
      </w:r>
    </w:p>
    <w:p>
      <w:pPr>
        <w:spacing w:after="0" w:line="1" w:lineRule="exact"/>
        <w:rPr>
          <w:sz w:val="20"/>
          <w:szCs w:val="20"/>
          <w:color w:val="auto"/>
        </w:rPr>
      </w:pPr>
    </w:p>
    <w:p>
      <w:pPr>
        <w:ind w:right="500"/>
        <w:spacing w:after="0" w:line="216" w:lineRule="auto"/>
        <w:rPr>
          <w:sz w:val="20"/>
          <w:szCs w:val="20"/>
          <w:color w:val="auto"/>
        </w:rPr>
      </w:pPr>
      <w:r>
        <w:rPr>
          <w:rFonts w:ascii="Arial" w:cs="Arial" w:eastAsia="Arial" w:hAnsi="Arial"/>
          <w:sz w:val="18"/>
          <w:szCs w:val="18"/>
          <w:color w:val="auto"/>
        </w:rPr>
        <w:t>A third-party provider of travel inventory or distribution services, including commercial airlines, low-cost carriers, hotel operators, lodging aggregators, rail carriers, car rental</w:t>
      </w:r>
    </w:p>
    <w:p>
      <w:pPr>
        <w:spacing w:after="0" w:line="1"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companies, black car or ground transportation providers, and operators of GDSs. Suppliers contract with us to make their inventory available for booking by customers and users on our platform and may compensate us through commissions, incentives, or transactional fee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arrangements.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Travel and expense.</w:t>
      </w:r>
    </w:p>
    <w:p>
      <w:pPr>
        <w:spacing w:after="0" w:line="23"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A travel agency or organization that provides businesses with managed travel services such as offline booking support, policy compliance, duty-of-care assistance, and supplier</w:t>
      </w:r>
    </w:p>
    <w:p>
      <w:pPr>
        <w:spacing w:after="0" w:line="1"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negotiations. TMCs may access travel content through GDSs, direct supplier connections, or other distribution mechanisms, and typically earn revenue from supplier commissions, client service fees, and ancillary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iv</w:t>
      </w:r>
    </w:p>
    <w:p>
      <w:pPr>
        <w:sectPr>
          <w:pgSz w:w="11900" w:h="16838" w:orient="portrait"/>
          <w:cols w:equalWidth="0" w:num="2">
            <w:col w:w="3140" w:space="720"/>
            <w:col w:w="7320"/>
          </w:cols>
          <w:pgMar w:left="340" w:top="1440" w:right="379" w:bottom="1440" w:gutter="0" w:footer="0" w:header="0"/>
        </w:sectPr>
      </w:pPr>
    </w:p>
    <w:bookmarkStart w:id="6" w:name="page7"/>
    <w:bookmarkEnd w:id="6"/>
    <w:p>
      <w:pPr>
        <w:spacing w:after="0" w:line="2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Travel Management offerings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540"/>
        <w:spacing w:after="0" w:line="254" w:lineRule="auto"/>
        <w:rPr>
          <w:sz w:val="20"/>
          <w:szCs w:val="20"/>
          <w:color w:val="auto"/>
        </w:rPr>
      </w:pPr>
      <w:r>
        <w:rPr>
          <w:rFonts w:ascii="Arial" w:cs="Arial" w:eastAsia="Arial" w:hAnsi="Arial"/>
          <w:sz w:val="17"/>
          <w:szCs w:val="17"/>
          <w:color w:val="auto"/>
        </w:rPr>
        <w:t>A category of offerings available through our platform that includes our Meetings and Events, VIP, and Bleisure offerings, in addition to our Travel offering. These additional</w:t>
      </w:r>
    </w:p>
    <w:p>
      <w:pPr>
        <w:spacing w:after="0" w:line="1" w:lineRule="exact"/>
        <w:rPr>
          <w:sz w:val="20"/>
          <w:szCs w:val="20"/>
          <w:color w:val="auto"/>
        </w:rPr>
      </w:pPr>
    </w:p>
    <w:p>
      <w:pPr>
        <w:sectPr>
          <w:pgSz w:w="11900" w:h="16838" w:orient="portrait"/>
          <w:cols w:equalWidth="0" w:num="2">
            <w:col w:w="3140" w:space="720"/>
            <w:col w:w="7340"/>
          </w:cols>
          <w:pgMar w:left="340" w:top="1440" w:right="359" w:bottom="1440" w:gutter="0" w:footer="0" w:header="0"/>
        </w:sectPr>
      </w:pPr>
    </w:p>
    <w:p>
      <w:pPr>
        <w:jc w:val="both"/>
        <w:ind w:left="3860" w:right="540"/>
        <w:spacing w:after="0" w:line="208" w:lineRule="auto"/>
        <w:rPr>
          <w:sz w:val="20"/>
          <w:szCs w:val="20"/>
          <w:color w:val="auto"/>
        </w:rPr>
      </w:pPr>
      <w:r>
        <w:rPr>
          <w:rFonts w:ascii="Arial" w:cs="Arial" w:eastAsia="Arial" w:hAnsi="Arial"/>
          <w:sz w:val="18"/>
          <w:szCs w:val="18"/>
          <w:color w:val="auto"/>
        </w:rPr>
        <w:t>offerings are designed to support more complex or personalized travel needs beyond standard business travel, such as executive itineraries, group travel coordination, and personal travel booked in connection with business trips.</w:t>
      </w:r>
    </w:p>
    <w:p>
      <w:pPr>
        <w:sectPr>
          <w:pgSz w:w="11900" w:h="16838" w:orient="portrait"/>
          <w:cols w:equalWidth="0" w:num="1">
            <w:col w:w="11200"/>
          </w:cols>
          <w:pgMar w:left="340" w:top="1440"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Unmanaged category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category of the business travel market defined by business travel that is not subject to a formal travel program or mandated booking channel. In an unmanaged environment,</w:t>
      </w:r>
    </w:p>
    <w:p>
      <w:pPr>
        <w:spacing w:after="0" w:line="1" w:lineRule="exact"/>
        <w:rPr>
          <w:sz w:val="20"/>
          <w:szCs w:val="20"/>
          <w:color w:val="auto"/>
        </w:rPr>
      </w:pPr>
    </w:p>
    <w:p>
      <w:pPr>
        <w:sectPr>
          <w:pgSz w:w="11900" w:h="16838" w:orient="portrait"/>
          <w:cols w:equalWidth="0" w:num="2">
            <w:col w:w="3140" w:space="720"/>
            <w:col w:w="7340"/>
          </w:cols>
          <w:pgMar w:left="340" w:top="1440" w:right="359" w:bottom="1440" w:gutter="0" w:footer="0" w:header="0"/>
          <w:type w:val="continuous"/>
        </w:sectPr>
      </w:pPr>
    </w:p>
    <w:p>
      <w:pPr>
        <w:ind w:left="3860" w:right="780"/>
        <w:spacing w:after="0" w:line="211" w:lineRule="auto"/>
        <w:rPr>
          <w:sz w:val="20"/>
          <w:szCs w:val="20"/>
          <w:color w:val="auto"/>
        </w:rPr>
      </w:pPr>
      <w:r>
        <w:rPr>
          <w:rFonts w:ascii="Arial" w:cs="Arial" w:eastAsia="Arial" w:hAnsi="Arial"/>
          <w:sz w:val="18"/>
          <w:szCs w:val="18"/>
          <w:color w:val="auto"/>
        </w:rPr>
        <w:t>individual employees or teams arrange travel independently, often using consumer channels.</w:t>
      </w:r>
    </w:p>
    <w:p>
      <w:pPr>
        <w:sectPr>
          <w:pgSz w:w="11900" w:h="16838" w:orient="portrait"/>
          <w:cols w:equalWidth="0" w:num="1">
            <w:col w:w="11200"/>
          </w:cols>
          <w:pgMar w:left="340" w:top="1440" w:right="3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User</w:t>
      </w:r>
    </w:p>
    <w:p>
      <w:pPr>
        <w:spacing w:after="0" w:line="20" w:lineRule="exact"/>
        <w:rPr>
          <w:sz w:val="20"/>
          <w:szCs w:val="20"/>
          <w:color w:val="auto"/>
        </w:rPr>
      </w:pPr>
      <w:r>
        <w:rPr>
          <w:sz w:val="20"/>
          <w:szCs w:val="20"/>
          <w:color w:val="auto"/>
        </w:rPr>
        <w:br w:type="column"/>
      </w:r>
    </w:p>
    <w:p>
      <w:pPr>
        <w:ind w:right="60"/>
        <w:spacing w:after="0" w:line="234" w:lineRule="auto"/>
        <w:rPr>
          <w:sz w:val="20"/>
          <w:szCs w:val="20"/>
          <w:color w:val="auto"/>
        </w:rPr>
      </w:pPr>
      <w:r>
        <w:rPr>
          <w:rFonts w:ascii="Arial" w:cs="Arial" w:eastAsia="Arial" w:hAnsi="Arial"/>
          <w:sz w:val="18"/>
          <w:szCs w:val="18"/>
          <w:color w:val="auto"/>
        </w:rPr>
        <w:t>Any individual authorized by a customer to access and use our platform. Users may include business travelers, executive assistants, travel coordinators, finance, accounting, or human</w:t>
      </w:r>
    </w:p>
    <w:p>
      <w:pPr>
        <w:spacing w:after="0" w:line="1" w:lineRule="exact"/>
        <w:rPr>
          <w:sz w:val="20"/>
          <w:szCs w:val="20"/>
          <w:color w:val="auto"/>
        </w:rPr>
      </w:pPr>
    </w:p>
    <w:p>
      <w:pPr>
        <w:sectPr>
          <w:pgSz w:w="11900" w:h="16838" w:orient="portrait"/>
          <w:cols w:equalWidth="0" w:num="2">
            <w:col w:w="3140" w:space="720"/>
            <w:col w:w="7340"/>
          </w:cols>
          <w:pgMar w:left="340" w:top="1440" w:right="359" w:bottom="1440" w:gutter="0" w:footer="0" w:header="0"/>
          <w:type w:val="continuous"/>
        </w:sectPr>
      </w:pPr>
    </w:p>
    <w:p>
      <w:pPr>
        <w:ind w:left="3860" w:right="240"/>
        <w:spacing w:after="0" w:line="207" w:lineRule="auto"/>
        <w:rPr>
          <w:sz w:val="20"/>
          <w:szCs w:val="20"/>
          <w:color w:val="auto"/>
        </w:rPr>
      </w:pPr>
      <w:r>
        <w:rPr>
          <w:rFonts w:ascii="Arial" w:cs="Arial" w:eastAsia="Arial" w:hAnsi="Arial"/>
          <w:sz w:val="17"/>
          <w:szCs w:val="17"/>
          <w:color w:val="auto"/>
        </w:rPr>
        <w:t>resources personnel, and travel and expense administrators. Depending on their role and permissions, users may book or modify travel itineraries, initiate or reconcile expenses, transact using our corporate card solutions, or configure and manage customer-specific</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travel, payment, or expense policies within the platform’s administrative modules.</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1200"/>
          </w:cols>
          <w:pgMar w:left="340" w:top="1440" w:right="359" w:bottom="1440" w:gutter="0" w:footer="0" w:header="0"/>
          <w:type w:val="continuous"/>
        </w:sectPr>
      </w:pPr>
    </w:p>
    <w:bookmarkStart w:id="7" w:name="page8"/>
    <w:bookmarkEnd w:id="7"/>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 FROM OUR CO-FOUNDERS</w:t>
      </w:r>
    </w:p>
    <w:p>
      <w:pPr>
        <w:spacing w:after="0" w:line="17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all know: Business travelers want to focus on being there, not getting there. Their time is valuable. Their time is money. And, in an era where AI can supercharge their productivity, as well as the efficiency of the companies they work for, only technologies that amplify their success have a place.</w:t>
      </w:r>
    </w:p>
    <w:p>
      <w:pPr>
        <w:spacing w:after="0" w:line="117"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My personal “business travel is broken” moment happened in 2013. I had landed in Odesa, Ukraine, on a freezing-cold night, exhausted and needing to prepare for the next day’s meetings. My hotel reservation had gone missing. No one could fix the problem because the travel agency I booked through was closed for the night, and my booking tool was useless.</w:t>
      </w:r>
    </w:p>
    <w:p>
      <w:pPr>
        <w:spacing w:after="0" w:line="117" w:lineRule="exact"/>
        <w:rPr>
          <w:sz w:val="20"/>
          <w:szCs w:val="20"/>
          <w:color w:val="auto"/>
        </w:rPr>
      </w:pPr>
    </w:p>
    <w:p>
      <w:pPr>
        <w:jc w:val="both"/>
        <w:ind w:right="180" w:firstLine="324"/>
        <w:spacing w:after="0" w:line="262" w:lineRule="auto"/>
        <w:rPr>
          <w:sz w:val="20"/>
          <w:szCs w:val="20"/>
          <w:color w:val="auto"/>
        </w:rPr>
      </w:pPr>
      <w:r>
        <w:rPr>
          <w:rFonts w:ascii="Arial" w:cs="Arial" w:eastAsia="Arial" w:hAnsi="Arial"/>
          <w:sz w:val="18"/>
          <w:szCs w:val="18"/>
          <w:color w:val="auto"/>
        </w:rPr>
        <w:t>Meanwhile, the digital world was booming: Food delivery and rideshares were available on demand and 24/7. But corporate T&amp;E was stuck in an analog world of endless wait times, email chains, and receipts. Despite being one of the most costly line items for a business, it was completely broken. I didn’t know anyone who actually liked their T&amp;E solution or talked about getting good service from their corporate travel agency. Travelers, businesses, and the industry were all losing.</w:t>
      </w:r>
    </w:p>
    <w:p>
      <w:pPr>
        <w:spacing w:after="0" w:line="12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Out of our frustration, a vision was born. We knew that we could build a tireless, super intelligent travel agent that never slept, understood our needs, and treated us perfectly so we started Navan to combine comprehensive travel inventory with cutting-edge technology. We recognized that the future of travel wasn’t just about digitizing the old ways, but about fundamentally reimagining the entire experience through the lens of artificial intelligence.</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Navan, we are the champions of frequent travelers and everyone that supports them. We champion the people who can’t spend hours searching for flights and hotels, sitting on hold with support agents, and inputting expenses into a spreadsheet. Stakeholders, from CFOs, to travel managers, to admins and accountants need visibility and control over spend, but they don’t have time to approve every small purchase request. Suppliers want to move inventory — flights, hotels, cars, rail — and build relationships directly with their customers and travelers. All of them want technology to drive change and momentum, but that’s nearly impossible when outdated technology is still standard. At Navan, we make sure that the frequent traveler can focus on being there and not on getting there.</w:t>
      </w:r>
    </w:p>
    <w:p>
      <w:pPr>
        <w:spacing w:after="0" w:line="12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 xml:space="preserve">A successful T&amp;E solution gives all three groups the tools to win. But primarily offline legacy solutions weren’t helping </w:t>
      </w:r>
      <w:r>
        <w:rPr>
          <w:rFonts w:ascii="Arial" w:cs="Arial" w:eastAsia="Arial" w:hAnsi="Arial"/>
          <w:sz w:val="18"/>
          <w:szCs w:val="18"/>
          <w:i w:val="1"/>
          <w:iCs w:val="1"/>
          <w:color w:val="auto"/>
        </w:rPr>
        <w:t>anyone</w:t>
      </w:r>
      <w:r>
        <w:rPr>
          <w:rFonts w:ascii="Arial" w:cs="Arial" w:eastAsia="Arial" w:hAnsi="Arial"/>
          <w:sz w:val="18"/>
          <w:szCs w:val="18"/>
          <w:color w:val="auto"/>
        </w:rPr>
        <w:t xml:space="preserve"> win. They still don’t.</w:t>
      </w:r>
    </w:p>
    <w:p>
      <w:pPr>
        <w:spacing w:after="0" w:line="99"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 T&amp;E world needed to be modernized and digitized because employees need to travel for companies to thrive. Sure, video meetings have their place. But, as frequent travelers ourselves, we’ve personally experienced just how critical it is to shake a hand, share a meal, and brainstorm face-to-face. Business travel is foundational for retaining clients. For team-building. For the future of the business world.</w:t>
      </w:r>
    </w:p>
    <w:p>
      <w:pPr>
        <w:spacing w:after="0" w:line="117"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That’s something that will never change, because personal connections make us who we are. Connections require travel. And making travel business-friendly means making it time- and cost-efficient.</w:t>
      </w:r>
    </w:p>
    <w:p>
      <w:pPr>
        <w:spacing w:after="0" w:line="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decades, legacy T&amp;E solutions have simply maintained the status quo while raking in huge fees. Their travelers still have to spend hours on basic logistics; admins still have to waste time with busywork, such as manually inputting receipts and filling expense reports; suppliers still have to work with legacy travel management companies that often don’t represent their products well or even display their “full” inventory. It’s no wonder these solutions have left armies of frustrated road warriors in their wake and are causing businesses to waste time and money.</w:t>
      </w:r>
    </w:p>
    <w:p>
      <w:pPr>
        <w:spacing w:after="0" w:line="125"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 xml:space="preserve">So, in our reinvention, Navan had to do </w:t>
      </w:r>
      <w:r>
        <w:rPr>
          <w:rFonts w:ascii="Arial" w:cs="Arial" w:eastAsia="Arial" w:hAnsi="Arial"/>
          <w:sz w:val="18"/>
          <w:szCs w:val="18"/>
          <w:i w:val="1"/>
          <w:iCs w:val="1"/>
          <w:color w:val="auto"/>
        </w:rPr>
        <w:t>everything</w:t>
      </w:r>
      <w:r>
        <w:rPr>
          <w:rFonts w:ascii="Arial" w:cs="Arial" w:eastAsia="Arial" w:hAnsi="Arial"/>
          <w:sz w:val="18"/>
          <w:szCs w:val="18"/>
          <w:color w:val="auto"/>
        </w:rPr>
        <w:t xml:space="preserve"> differently. And we started with a simple idea: Make life easier for everyone in the network, especially the frequent business traveler. Bring business travel into the 21st century.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00"/>
          </w:cols>
          <w:pgMar w:left="320" w:top="1440" w:right="379" w:bottom="1440" w:gutter="0" w:footer="0" w:header="0"/>
        </w:sectPr>
      </w:pPr>
    </w:p>
    <w:bookmarkStart w:id="8" w:name="page9"/>
    <w:bookmarkEnd w:id="8"/>
    <w:p>
      <w:pPr>
        <w:spacing w:after="0" w:line="24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Navan was engineered from the ground up with AI at its core, guiding our platform’s development to create a seamless and intelligent experience. This approach anticipates user needs and streamlines every aspect of business travel, setting us apart from solutions that treat AI as an afterthought.</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have built a new category of business software designed for people, recruiting top talent in engineering, product, and UX design, and fostering a self-directed company culture. With the freedom to build from scratch, we leapfrogged antiquated infrastructure to deliver a modern and delightful T&amp;E solution, ensuring AI empowers a personalized and intuitive travel experience.</w:t>
      </w:r>
    </w:p>
    <w:p>
      <w:pPr>
        <w:spacing w:after="0" w:line="11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With Navan, the entire network wins. Travelers book trips easily and quickly, skip tedious receipt-tracking, benefit from fast, friendly, and accurate support, and earn rewards for saving their companies money, which they can redeem for personal travel on Navan. Admins avoid an inbox of petty approval requests, cut down significantly on accounting work, and use real-time data to head off spending issues before they become problems. And our extensive inventory, at some of the best prices, is packaged in a beautiful interface.</w:t>
      </w:r>
    </w:p>
    <w:p>
      <w:pPr>
        <w:spacing w:after="0" w:line="1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So it’s no surprise that we’ve amassed tons of dedicated customers and millions of passionate fans. From small startups to Fortune 500 companies, businesses have partnered with us to make their employees’ lives easier through tech-enabled, hyper-efficient management of travel, expenses, and payments. Once they get a taste of what the T&amp;E process can be, they never want to go back. We’ve grown along with them, entering new markets and completing acquisitions to expand our suite of offerings.</w:t>
      </w:r>
    </w:p>
    <w:p>
      <w:pPr>
        <w:spacing w:after="0" w:line="1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found out just how resilient we are during the pandemic, when travel, and our revenue, went to zero. But our belief in the power of in-person connections runs so deep that we knew travel would return. So we doubled down. Even at peak pandemic, we enriched our offerings and added customers who were fed-up with the high cost and limited functionality of their legacy solutions. We knew we’d built the travel, expense, and payments platform for the future of business travel, enabled by AI and resilient in the face of technological advancements.</w:t>
      </w:r>
    </w:p>
    <w:p>
      <w:pPr>
        <w:spacing w:after="0" w:line="122"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color w:val="auto"/>
        </w:rPr>
        <w:t>We also supercharged customer choice and savings with even more NDC connections. And we opened our automated expense management platform to companies without them having to switch credit cards, something said to be impossible.</w:t>
      </w:r>
    </w:p>
    <w:p>
      <w:pPr>
        <w:spacing w:after="0" w:line="99"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color w:val="auto"/>
        </w:rPr>
        <w:t>We've built a cutting-edge travel platform that was founded with AI at its core and that has been all-in on generative AI. We now deliver trip options so personalized that the average booking time is seven minutes, compared to the industry average of 45. And we created an AI-enabled support agent that acts as a personal concierge, helping travelers make changes on the fly, collect receipts, and call hotels to notify them of late check-ins or ensure payment methods are on file.</w:t>
      </w:r>
    </w:p>
    <w:p>
      <w:pPr>
        <w:spacing w:after="0" w:line="122"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Today, Navan has become synonymous with smarter and modern T&amp;E. Our winning network has seen significant increases in adoption rates, savings, and satisfaction, along with huge declines in the time required for booking trips, managing expenses, and closing the books. And our travelers know that each part of the travel experience will be better with the Navan touch. Every hour of every day, our sophisticated solution delivers on our straightforward mission: Make travel easy for every frequent traveler.</w:t>
      </w:r>
    </w:p>
    <w:p>
      <w:pPr>
        <w:spacing w:after="0" w:line="122"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And we’re just getting started. Business needs change, technology evolves, and we will evolve with it as the leading all-in-one T&amp;E solution, surprising users with new features and tackling future obstacles before they even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00"/>
          </w:cols>
          <w:pgMar w:left="320" w:top="1440" w:right="379" w:bottom="1440" w:gutter="0" w:footer="0" w:header="0"/>
        </w:sectPr>
      </w:pPr>
    </w:p>
    <w:bookmarkStart w:id="9" w:name="page10"/>
    <w:bookmarkEnd w:id="9"/>
    <w:p>
      <w:pPr>
        <w:spacing w:after="0" w:line="24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T&amp;E is where we started, but it’s just the beginning. We’re thinking big. Really big. And we’re grateful that you’re considering an investment with us as part of our public offering. You’re investing in a team that rushes toward hard problems with powerful technology to forge a world without limits.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you on the road.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Ariel Cohen and Ilan Twig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0860"/>
          </w:cols>
          <w:pgMar w:left="320" w:top="1440" w:right="7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The following summary highlights selected information that is presented in greater detail elsewhere in this prospectus. This summary does not contain all the information you should consider before investing in our Class A common stock. You should carefully read this prospectus in its entirety before investing in our Class A common stock, including the sections titled “Risk Factors,” “Special Note Regarding Forward-Looking Statements,” “Management’s Discussion and Analysis of Financial Condition and Results of Operations,” and our consolidated financial statements and the accompanying notes included elsewhere in this prospectus. Our fiscal year end is January 31, and our fiscal quarters end on April 30, July 31, October 31, and January 31. Our fiscal years ended January 31, 2025 and 2024 are referred to herein as fiscal 2025 and fiscal 2024,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Travel is more than just getting from point A to point B; it's the lifeblood of connection in the modern business world. It's about forging those critical in-person relationships with clients and partners, sparking innovation through team collaboration, and empowering employees to grow and succeed. These moments matter, and they demand a travel experience worthy of their importance. We built Navan for the road warriors, for CEOs and CFOs who understand travel’s critical importance to their strategy, the finance teams who demand precision and control, the executive assistants juggling itineraries, and the program admins ensuring seamless events.</w:t>
      </w:r>
    </w:p>
    <w:p>
      <w:pPr>
        <w:spacing w:after="0" w:line="12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Navan is an end-to-end, AI-powered software platform built to simplify the global business T&amp;E experience, benefiting users, customers, and suppliers. </w:t>
      </w:r>
      <w:r>
        <w:rPr>
          <w:rFonts w:ascii="Arial" w:cs="Arial" w:eastAsia="Arial" w:hAnsi="Arial"/>
          <w:sz w:val="18"/>
          <w:szCs w:val="18"/>
          <w:color w:val="auto"/>
          <w:highlight w:val="white"/>
        </w:rPr>
        <w:t>From day one, we leveraged technology to reimagine business travel. We built a</w:t>
      </w:r>
      <w:r>
        <w:rPr>
          <w:rFonts w:ascii="Arial" w:cs="Arial" w:eastAsia="Arial" w:hAnsi="Arial"/>
          <w:sz w:val="18"/>
          <w:szCs w:val="18"/>
          <w:color w:val="auto"/>
        </w:rPr>
        <w:t xml:space="preserve"> </w:t>
      </w:r>
      <w:r>
        <w:rPr>
          <w:rFonts w:ascii="Arial" w:cs="Arial" w:eastAsia="Arial" w:hAnsi="Arial"/>
          <w:sz w:val="18"/>
          <w:szCs w:val="18"/>
          <w:color w:val="auto"/>
          <w:highlight w:val="white"/>
        </w:rPr>
        <w:t>comprehensive platform that serves as the foundation for further disruption. We deliver delightful, personalized experiences for users, efficiency and control for customers, and direct market access for suppliers—all powered by our proprietary AI framework, Navan Cognition.</w:t>
      </w:r>
    </w:p>
    <w:p>
      <w:pPr>
        <w:spacing w:after="0" w:line="1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saw firsthand the frustration of clunky, outdated systems. Travelers were forced to cobble together solutions, wait for hours on hold to book or change travel, and negotiate with travel agents. They struggled to adhere to company policies, with little visibility into those policies, and after all that, they spent even more time on tedious expense reports after a trip. We felt the pain of finance teams struggling to gain visibility into fragmented travel spending and to enforce policies, and the frustration of suppliers unable to connect directly with the high-value business travelers they sought to serve.</w:t>
      </w:r>
    </w:p>
    <w:p>
      <w:pPr>
        <w:spacing w:after="0" w:line="125" w:lineRule="exact"/>
        <w:rPr>
          <w:sz w:val="20"/>
          <w:szCs w:val="20"/>
          <w:color w:val="auto"/>
        </w:rPr>
      </w:pPr>
    </w:p>
    <w:p>
      <w:pPr>
        <w:jc w:val="both"/>
        <w:ind w:right="120" w:firstLine="324"/>
        <w:spacing w:after="0" w:line="272" w:lineRule="auto"/>
        <w:rPr>
          <w:sz w:val="20"/>
          <w:szCs w:val="20"/>
          <w:color w:val="auto"/>
        </w:rPr>
      </w:pPr>
      <w:r>
        <w:rPr>
          <w:rFonts w:ascii="Arial" w:cs="Arial" w:eastAsia="Arial" w:hAnsi="Arial"/>
          <w:sz w:val="17"/>
          <w:szCs w:val="17"/>
          <w:color w:val="auto"/>
        </w:rPr>
        <w:t>Navan challenges this status quo by putting all three constituents—users, customers, and suppliers—at the heart of an integrated global platform. With Navan, users enjoy intuitive, AI-powered booking that anticipates users’ needs and takes a fraction of the time of legacy booking systems. Users also get expense management and clear policy guidance built-in.</w:t>
      </w:r>
    </w:p>
    <w:p>
      <w:pPr>
        <w:spacing w:after="0" w:line="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Customers gain real-time visibility, cost control, and safety oversight, and suppliers gain direct access to the customers who matter most. Instead of having to compromise, every group benefits, and the whole network becomes greater than the sum of its parts.</w:t>
      </w:r>
    </w:p>
    <w:p>
      <w:pPr>
        <w:spacing w:after="0" w:line="12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Navan was built on the premise that to win, all players in the ecosystem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its cohesive offering, Navan is unlocking a smarter, more rewarding future for travel—one where everyone wins.</w:t>
      </w:r>
    </w:p>
    <w:p>
      <w:pPr>
        <w:spacing w:after="0" w:line="122"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CSAT score of</w:t>
      </w:r>
    </w:p>
    <w:p>
      <w:pPr>
        <w:spacing w:after="0" w:line="1" w:lineRule="exact"/>
        <w:rPr>
          <w:sz w:val="20"/>
          <w:szCs w:val="20"/>
          <w:color w:val="auto"/>
        </w:rPr>
      </w:pPr>
    </w:p>
    <w:p>
      <w:pPr>
        <w:ind w:right="100" w:firstLine="350"/>
        <w:spacing w:after="0" w:line="258" w:lineRule="auto"/>
        <w:rPr>
          <w:sz w:val="20"/>
          <w:szCs w:val="20"/>
          <w:color w:val="auto"/>
        </w:rPr>
      </w:pPr>
      <w:r>
        <w:rPr>
          <w:rFonts w:ascii="Arial" w:cs="Arial" w:eastAsia="Arial" w:hAnsi="Arial"/>
          <w:sz w:val="18"/>
          <w:szCs w:val="18"/>
          <w:color w:val="auto"/>
        </w:rPr>
        <w:t>, our virtual agent CSAT score of , and NPS of , each as of , 2025. When frequent travelers have a positive, efficient experience and earn rewards, they are more likely to use Navan. The increased adoption gives the customer greater visibility into spending, stronger policy control, and cost savings, making them more invested in the</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860"/>
          </w:cols>
          <w:pgMar w:left="1000" w:top="1440" w:right="10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6990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11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 deploy, and supervise specialized virtual agents that can handle many complex tasks previously requiring human intervention. We make every step of the pre-booking, in-travel, and post-trip process as delightful and automated as possible. In fiscal 2025, % of bookings were made online or through mobile applications on the Navan platform. Our users on average are able to book a trip in seven minutes, far faster than the industry average of 45 minutes. And, in the majority of cases, users can resolve trip changes with a virtual agent, which Navan was one of the first in its industry to offer.</w:t>
      </w:r>
    </w:p>
    <w:p>
      <w:pPr>
        <w:spacing w:after="0" w:line="13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strategy is to land a customer with our Travel offering, delight our users and customers, broaden their engagement with Navan, and seek to manage all of their payments, expenses, VIP needs, meetings and events, and bleisure travel on</w:t>
      </w:r>
    </w:p>
    <w:p>
      <w:pPr>
        <w:jc w:val="both"/>
        <w:spacing w:after="0" w:line="254" w:lineRule="auto"/>
        <w:rPr>
          <w:sz w:val="20"/>
          <w:szCs w:val="20"/>
          <w:color w:val="auto"/>
        </w:rPr>
      </w:pPr>
      <w:r>
        <w:rPr>
          <w:rFonts w:ascii="Arial" w:cs="Arial" w:eastAsia="Arial" w:hAnsi="Arial"/>
          <w:sz w:val="18"/>
          <w:szCs w:val="18"/>
          <w:color w:val="auto"/>
        </w:rPr>
        <w:t>our platform. As of , 2025, % of customers attached to three or more offerings.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1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platform is easy-to-use, yet powerful enough to address customers of all sizes across any industry vertical. As of January 31, 2025, we had over 10,000 active customers up 27% from over 8,000 active customers as of fiscal 2024. Our revenue grew 33% year-over-year from $402 million in fiscal 2024 to $ 537 million in fiscal 2025. Our gross booking volume grew 32% year-over-year from $5.0 billion in fiscal 2024 to $6.6 billion in fiscal 2025. Our payment volume grew 35% year-over-year from $2.7 billion in fiscal 2024 to $3.7 billion in fiscal 2025.</w:t>
      </w:r>
    </w:p>
    <w:p>
      <w:pPr>
        <w:spacing w:after="0" w:line="1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proprietary AI framework, Navan Cognition, significantly enhances support capabilities and has improved our gross margins, while leveraging powerful technology capabilities across our platform, making Navan an increasingly formidable competitor. For example, our AI-powered virtual agent chatbot, Ava, was capable of effectively handling % of customer</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interactions as of , 2025. Our U.S. Generally Accepted Accounting Principles, or GAAP, gross margin improved from 60% in fiscal 2024 to 68% in fiscal 2025. Our non-GAAP gross margin improved from 62% in fiscal 2024 to 69% in fiscal 2025. See the section titled “Management’s Discussion and Analysis of Financial Condition and Results of Operations— Non-GAAP Financial Measures” for information regarding our use of non-GAAP gross margin and a reconciliation of gross margin to non-GAAP gross margin.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Solutions for Key Stakeholders in Business Travel</w:t>
      </w:r>
    </w:p>
    <w:p>
      <w:pPr>
        <w:spacing w:after="0" w:line="171" w:lineRule="exact"/>
        <w:rPr>
          <w:sz w:val="20"/>
          <w:szCs w:val="20"/>
          <w:color w:val="auto"/>
        </w:rPr>
      </w:pPr>
    </w:p>
    <w:p>
      <w:pPr>
        <w:ind w:left="640" w:right="200" w:hanging="322"/>
        <w:spacing w:after="0" w:line="256"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For Travelers</w:t>
      </w:r>
      <w:r>
        <w:rPr>
          <w:rFonts w:ascii="Arial" w:cs="Arial" w:eastAsia="Arial" w:hAnsi="Arial"/>
          <w:sz w:val="18"/>
          <w:szCs w:val="18"/>
          <w:color w:val="auto"/>
        </w:rPr>
        <w:t>: When working with legacy solutions, users are forced to navigate a global web of challenging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interfaces that present limited booking options and offer little guidance on company travel and expense policy. It is difficult to assess which travel options are compliant with company policy, especially as users rely heavily on live booking agents to assist. Additionally, travelers are tasked with the frustrating process of tracking and uploading receipts, filling out cumbersome forms, and often needing to front personal dollars for their company spend. Travelers who book outside of approved systems can also miss critical travel alerts and support services provided by corporate programs.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80"/>
          </w:cols>
          <w:pgMar w:left="1000" w:top="1440" w:right="101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299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hanging="322"/>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Companies</w:t>
      </w:r>
      <w:r>
        <w:rPr>
          <w:rFonts w:ascii="Arial" w:cs="Arial" w:eastAsia="Arial" w:hAnsi="Arial"/>
          <w:sz w:val="18"/>
          <w:szCs w:val="18"/>
          <w:color w:val="auto"/>
        </w:rPr>
        <w:t>: Frustration with limited booking options, siloed systems, and poor user experience can often lead to</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adoption of systems by travelers. Existing solutions may require travelers to book or modify travel through a travel agent, resulting in the company paying additional fees. Companies also lose the cost-saving benefits from negotiated corporate discounts and volume commitments, increasing overall travel costs. Without centralized booking, companies also struggle to track and manage travel spend effectively, undermining budget control and forecasting. Low adoption of T&amp;E solutions also impairs a company’s ability to locate and assist travelers during emergencies, such as natural disasters or geopolitical crises, exposing companies to legal and reputational risks.</w:t>
      </w:r>
    </w:p>
    <w:p>
      <w:pPr>
        <w:spacing w:after="0" w:line="128" w:lineRule="exact"/>
        <w:rPr>
          <w:rFonts w:ascii="Arial" w:cs="Arial" w:eastAsia="Arial" w:hAnsi="Arial"/>
          <w:sz w:val="18"/>
          <w:szCs w:val="18"/>
          <w:color w:val="auto"/>
        </w:rPr>
      </w:pPr>
    </w:p>
    <w:p>
      <w:pPr>
        <w:ind w:left="640" w:right="100" w:hanging="322"/>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Suppliers</w:t>
      </w:r>
      <w:r>
        <w:rPr>
          <w:rFonts w:ascii="Arial" w:cs="Arial" w:eastAsia="Arial" w:hAnsi="Arial"/>
          <w:sz w:val="18"/>
          <w:szCs w:val="18"/>
          <w:color w:val="auto"/>
        </w:rPr>
        <w:t>: Fragmented, legacy travel infrastructure makes it more challenging for suppliers to consistently</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 large base of frequent travelers given user dissatisfaction and frequency of off-platform spend. Travel infrastructure providers may not have invested in their technology to enable suppliers to present their inventory in a way that differentiates their offerings, including more granular details about class fares, seating options, description of amenities, and other benefits. In addition, legacy players can lack brand experience, preventing suppliers from showcasing unique products, building loyalty with frequent travelers, or facilitating the opportunity to upsell additional products and services for suppliers.</w:t>
      </w:r>
    </w:p>
    <w:p>
      <w:pPr>
        <w:spacing w:after="0" w:line="12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These disjointed steps to book business travel and manage expenses are not designed with the user in mind, resulting in inefficiencies, frustration, data silos, lack of convenience, and flexibility, and limited spend control and policy enforcement. We believe that traditional T&amp;E platforms have limited adoption in the market because they are expensive and have significant implementation requirements that limit their feasibility. Navan was built to solve these challenges.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end-to-end, AI-powered software platform is purpose-built to deliver a personalized global travel booking experience for our users, combined with next-generation expense management and payments solutions that provide real-time visibility and control over T&amp;E spend.</w:t>
      </w:r>
    </w:p>
    <w:p>
      <w:pPr>
        <w:spacing w:after="0" w:line="117" w:lineRule="exact"/>
        <w:rPr>
          <w:sz w:val="20"/>
          <w:szCs w:val="20"/>
          <w:color w:val="auto"/>
        </w:rPr>
      </w:pPr>
    </w:p>
    <w:p>
      <w:pPr>
        <w:ind w:left="640" w:right="20" w:hanging="322"/>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Navan Cloud—The Infrastructure of Our Travel Experience</w:t>
      </w:r>
      <w:r>
        <w:rPr>
          <w:rFonts w:ascii="Arial" w:cs="Arial" w:eastAsia="Arial" w:hAnsi="Arial"/>
          <w:sz w:val="18"/>
          <w:szCs w:val="18"/>
          <w:color w:val="auto"/>
        </w:rPr>
        <w:t>: We built our proprietary technology and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from the ground up to provide a global, real-time inventory that maximizes choice for our users. Our platform is truly global, with broad inventory including smaller suppliers, and our human and virtual agents have access to all of the bookings on our platform, globally. Acting as a proprietary, in-house aggregator platform, our highly scalable Navan Cloud aggregates and dynamically accesses our broad inventory through direct relationships, API integrations, and partnerships to provide high levels of choice. Our direct connections and integrations give us access to sell over 600 airlines via GDSs, NDC, and LCCs, and over two million individual lodging properties through our platform globally. We have connections to over 200 banks and partnerships with multiple issuing partners in Navan Cloud.</w:t>
      </w:r>
    </w:p>
    <w:p>
      <w:pPr>
        <w:spacing w:after="0" w:line="126" w:lineRule="exact"/>
        <w:rPr>
          <w:rFonts w:ascii="Arial" w:cs="Arial" w:eastAsia="Arial" w:hAnsi="Arial"/>
          <w:sz w:val="18"/>
          <w:szCs w:val="18"/>
          <w:color w:val="auto"/>
        </w:rPr>
      </w:pPr>
    </w:p>
    <w:p>
      <w:pPr>
        <w:ind w:left="640" w:right="160" w:hanging="322"/>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Navan Cognition—Our New Paradigm in AI-Powered Travel Management</w:t>
      </w:r>
      <w:r>
        <w:rPr>
          <w:rFonts w:ascii="Arial" w:cs="Arial" w:eastAsia="Arial" w:hAnsi="Arial"/>
          <w:sz w:val="18"/>
          <w:szCs w:val="18"/>
          <w:color w:val="auto"/>
        </w:rPr>
        <w:t>: Navan Cognition is our third-generation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proprietary AI framework that combines the precision and predictive power of ML with the reasoning capabilities of large language models, or LLMs. Navan Cognition is designed to leverage third-party LLMs in combination with our own proprietary, internally developed software to operate a modular framework of virtual agents using a graph-based workflow. On our platform, Navan Cognition enables us to create, train, deploy, and supervise our specialized virtual agents that can handle many complex tasks previously requiring human intervention. Designed with built-in safeguards and real-time oversight, Navan Cognition works to ensure that AI-driven actions are reliable, secure, and aligned with enterprise needs.</w:t>
      </w:r>
    </w:p>
    <w:p>
      <w:pPr>
        <w:spacing w:after="0" w:line="130" w:lineRule="exact"/>
        <w:rPr>
          <w:rFonts w:ascii="Arial" w:cs="Arial" w:eastAsia="Arial" w:hAnsi="Arial"/>
          <w:sz w:val="18"/>
          <w:szCs w:val="18"/>
          <w:color w:val="auto"/>
        </w:rPr>
      </w:pPr>
    </w:p>
    <w:p>
      <w:pPr>
        <w:ind w:left="640" w:right="180" w:hanging="322"/>
        <w:spacing w:after="0" w:line="26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Navan Native Apps and Enterprise Integrations</w:t>
      </w:r>
      <w:r>
        <w:rPr>
          <w:rFonts w:ascii="Arial" w:cs="Arial" w:eastAsia="Arial" w:hAnsi="Arial"/>
          <w:sz w:val="18"/>
          <w:szCs w:val="18"/>
          <w:color w:val="auto"/>
        </w:rPr>
        <w:t>: We have developed simple and intuitive front-end experiences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travel, payments, and expense management. Users can interface with our platform through web and mobile applications, omnichannel support, and white label travel</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880"/>
          </w:cols>
          <w:pgMar w:left="1000" w:top="1440" w:right="10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676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solutions. We also offer deep enterprise integrations with leading human resource information systems, enterprise resource planning systems, and financial systems, which enable real-time syncing of employee directories, expense categories, and policy controls. This seamless connection also allows customers to streamline onboarding, enforce compliance automatically, and accelerate month-end reconciliation. By embedding Navan into existing enterprise infrastructure, finance and HR teams can maintain a single source of truth across systems and significantly reduce the operational burden of manual data entry and cross-platform coordination.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Platform</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users experience the following key benefits:</w:t>
      </w:r>
    </w:p>
    <w:p>
      <w:pPr>
        <w:spacing w:after="0" w:line="171" w:lineRule="exact"/>
        <w:rPr>
          <w:sz w:val="20"/>
          <w:szCs w:val="20"/>
          <w:color w:val="auto"/>
        </w:rPr>
      </w:pPr>
    </w:p>
    <w:p>
      <w:pPr>
        <w:ind w:left="640" w:right="40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Highly personalized experience</w:t>
      </w:r>
      <w:r>
        <w:rPr>
          <w:rFonts w:ascii="Arial" w:cs="Arial" w:eastAsia="Arial" w:hAnsi="Arial"/>
          <w:sz w:val="18"/>
          <w:szCs w:val="18"/>
          <w:color w:val="auto"/>
        </w:rPr>
        <w:t>. Our AI capabilities enable us to curate results based on the user’s past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trips, and travel. The more a user spends on our platform, the more we can deliver a personalized experience.</w:t>
      </w:r>
    </w:p>
    <w:p>
      <w:pPr>
        <w:spacing w:after="0" w:line="116" w:lineRule="exact"/>
        <w:rPr>
          <w:rFonts w:ascii="Arial" w:cs="Arial" w:eastAsia="Arial" w:hAnsi="Arial"/>
          <w:sz w:val="18"/>
          <w:szCs w:val="18"/>
          <w:color w:val="auto"/>
        </w:rPr>
      </w:pPr>
    </w:p>
    <w:p>
      <w:pPr>
        <w:ind w:left="640" w:right="16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Centralized platform for user needs</w:t>
      </w:r>
      <w:r>
        <w:rPr>
          <w:rFonts w:ascii="Arial" w:cs="Arial" w:eastAsia="Arial" w:hAnsi="Arial"/>
          <w:sz w:val="18"/>
          <w:szCs w:val="18"/>
          <w:color w:val="auto"/>
        </w:rPr>
        <w:t>. Previously, users relied on a fragmented set of point solutions that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users to toggle between multiple applications. With Navan, users can find what they need all in one place. In fiscal 2025, % of bookings were made online or through mobile applications on our platform.</w:t>
      </w:r>
    </w:p>
    <w:p>
      <w:pPr>
        <w:spacing w:after="0" w:line="116" w:lineRule="exact"/>
        <w:rPr>
          <w:rFonts w:ascii="Arial" w:cs="Arial" w:eastAsia="Arial" w:hAnsi="Arial"/>
          <w:sz w:val="18"/>
          <w:szCs w:val="18"/>
          <w:color w:val="auto"/>
        </w:rPr>
      </w:pPr>
    </w:p>
    <w:p>
      <w:pPr>
        <w:ind w:left="640" w:right="40" w:hanging="322"/>
        <w:spacing w:after="0" w:line="26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Differentiated support experience</w:t>
      </w:r>
      <w:r>
        <w:rPr>
          <w:rFonts w:ascii="Arial" w:cs="Arial" w:eastAsia="Arial" w:hAnsi="Arial"/>
          <w:sz w:val="18"/>
          <w:szCs w:val="18"/>
          <w:color w:val="auto"/>
        </w:rPr>
        <w:t>. We offer an exceptional support experience that combines our self-serve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tools with 24/7 live service through chat or phone. Users can select from three different levels of support, typically connecting with a dedicated agent within minutes. More than % of interactions were being handled without live agent intervention as of , 2025.</w:t>
      </w:r>
    </w:p>
    <w:p>
      <w:pPr>
        <w:spacing w:after="0" w:line="122" w:lineRule="exact"/>
        <w:rPr>
          <w:rFonts w:ascii="Arial" w:cs="Arial" w:eastAsia="Arial" w:hAnsi="Arial"/>
          <w:sz w:val="18"/>
          <w:szCs w:val="18"/>
          <w:color w:val="auto"/>
        </w:rPr>
      </w:pPr>
    </w:p>
    <w:p>
      <w:pPr>
        <w:ind w:left="640" w:right="140" w:hanging="322"/>
        <w:spacing w:after="0" w:line="26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Increased productivity. </w:t>
      </w:r>
      <w:r>
        <w:rPr>
          <w:rFonts w:ascii="Arial" w:cs="Arial" w:eastAsia="Arial" w:hAnsi="Arial"/>
          <w:sz w:val="18"/>
          <w:szCs w:val="18"/>
          <w:color w:val="auto"/>
        </w:rPr>
        <w:t>Our platform makes changes simple and fast. Users receive timely notifications as a trip</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and our AI-powered virtual agent chatbot, Ava, can make trip changes directly without involving a live agent. With Navan, the average time to book a trip is seven minutes, compared with 45 minutes through outside channels.</w:t>
      </w:r>
    </w:p>
    <w:p>
      <w:pPr>
        <w:spacing w:after="0" w:line="122" w:lineRule="exact"/>
        <w:rPr>
          <w:rFonts w:ascii="Arial" w:cs="Arial" w:eastAsia="Arial" w:hAnsi="Arial"/>
          <w:sz w:val="18"/>
          <w:szCs w:val="18"/>
          <w:color w:val="auto"/>
        </w:rPr>
      </w:pPr>
    </w:p>
    <w:p>
      <w:pPr>
        <w:ind w:left="640" w:right="100" w:hanging="322"/>
        <w:spacing w:after="0" w:line="26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Ability to share in rewards</w:t>
      </w:r>
      <w:r>
        <w:rPr>
          <w:rFonts w:ascii="Arial" w:cs="Arial" w:eastAsia="Arial" w:hAnsi="Arial"/>
          <w:sz w:val="18"/>
          <w:szCs w:val="18"/>
          <w:color w:val="auto"/>
        </w:rPr>
        <w:t>. Our rewards program allows users to share in a portion of the savings realized by their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Our platform gives users a “price to beat,” designed to incentivize users to save money by focusing on what a booking should reasonably cost. Users can redeem rewards for personal travel, travel upgrades, or gift cards.</w:t>
      </w:r>
    </w:p>
    <w:p>
      <w:pPr>
        <w:spacing w:after="0" w:line="122" w:lineRule="exact"/>
        <w:rPr>
          <w:rFonts w:ascii="Arial" w:cs="Arial" w:eastAsia="Arial" w:hAnsi="Arial"/>
          <w:sz w:val="18"/>
          <w:szCs w:val="18"/>
          <w:color w:val="auto"/>
        </w:rPr>
      </w:pPr>
    </w:p>
    <w:p>
      <w:pPr>
        <w:ind w:left="640" w:right="18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Real-time visibility into expenses and faster reimbursement process. </w:t>
      </w:r>
      <w:r>
        <w:rPr>
          <w:rFonts w:ascii="Arial" w:cs="Arial" w:eastAsia="Arial" w:hAnsi="Arial"/>
          <w:sz w:val="18"/>
          <w:szCs w:val="18"/>
          <w:color w:val="auto"/>
        </w:rPr>
        <w:t>Users are able to track expenses in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can easily check spend relative to per diems. Navan also streamlines the reimbursement process to enable users to get paid back faster.</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Customers experience the following key benefits:</w:t>
      </w:r>
    </w:p>
    <w:p>
      <w:pPr>
        <w:spacing w:after="0" w:line="171" w:lineRule="exact"/>
        <w:rPr>
          <w:sz w:val="20"/>
          <w:szCs w:val="20"/>
          <w:color w:val="auto"/>
        </w:rPr>
      </w:pPr>
    </w:p>
    <w:p>
      <w:pPr>
        <w:ind w:left="640" w:right="60" w:hanging="322"/>
        <w:spacing w:after="0" w:line="26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Unified platform experience. </w:t>
      </w:r>
      <w:r>
        <w:rPr>
          <w:rFonts w:ascii="Arial" w:cs="Arial" w:eastAsia="Arial" w:hAnsi="Arial"/>
          <w:sz w:val="18"/>
          <w:szCs w:val="18"/>
          <w:color w:val="auto"/>
        </w:rPr>
        <w:t>Our intuitive interface and dedicated customer success teams simplify adoption across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Flexible payment options through Navan Connect, and our partnerships give customers the ability to choose their preferred mechanisms, making our platform intuitive and delightful to both travelers and administrators alike.</w:t>
      </w:r>
    </w:p>
    <w:p>
      <w:pPr>
        <w:spacing w:after="0" w:line="122" w:lineRule="exact"/>
        <w:rPr>
          <w:rFonts w:ascii="Arial" w:cs="Arial" w:eastAsia="Arial" w:hAnsi="Arial"/>
          <w:sz w:val="18"/>
          <w:szCs w:val="18"/>
          <w:color w:val="auto"/>
        </w:rPr>
      </w:pPr>
    </w:p>
    <w:p>
      <w:pPr>
        <w:ind w:left="640" w:right="260" w:hanging="322"/>
        <w:spacing w:after="0" w:line="26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Increased user adoption of our platform for all travel, payments, and expense management needs. </w:t>
      </w:r>
      <w:r>
        <w:rPr>
          <w:rFonts w:ascii="Arial" w:cs="Arial" w:eastAsia="Arial" w:hAnsi="Arial"/>
          <w:sz w:val="18"/>
          <w:szCs w:val="18"/>
          <w:color w:val="auto"/>
        </w:rPr>
        <w:t>By enabling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ramp faster and incentivizing users to increase spend on our platform, we create visibility and cost savings for customers. We also allow companies to maintain their duty of care for users such as providing critical travel alerts or locating and assisting travelers during emergencies.</w:t>
      </w:r>
    </w:p>
    <w:p>
      <w:pPr>
        <w:spacing w:after="0" w:line="122" w:lineRule="exact"/>
        <w:rPr>
          <w:rFonts w:ascii="Arial" w:cs="Arial" w:eastAsia="Arial" w:hAnsi="Arial"/>
          <w:sz w:val="18"/>
          <w:szCs w:val="18"/>
          <w:color w:val="auto"/>
        </w:rPr>
      </w:pPr>
    </w:p>
    <w:p>
      <w:pPr>
        <w:ind w:left="640" w:right="280" w:hanging="322"/>
        <w:spacing w:after="0" w:line="268"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Real-time visibility into spend trends and ability to forecast costs</w:t>
      </w:r>
      <w:r>
        <w:rPr>
          <w:rFonts w:ascii="Arial" w:cs="Arial" w:eastAsia="Arial" w:hAnsi="Arial"/>
          <w:sz w:val="18"/>
          <w:szCs w:val="18"/>
          <w:color w:val="auto"/>
        </w:rPr>
        <w:t>. Our dashboards include company-specific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benchmarks and trend analysis across trips and travelers, enabling visibility into total and per-user spend in real-time. These reporting capabilities support proactive</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60"/>
          </w:cols>
          <w:pgMar w:left="1000" w:top="1440" w:right="10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162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budgeting, save company cost, improve forecasting accuracy, and streamline reporting workflows.</w:t>
      </w:r>
    </w:p>
    <w:p>
      <w:pPr>
        <w:spacing w:after="0" w:line="171" w:lineRule="exact"/>
        <w:rPr>
          <w:sz w:val="20"/>
          <w:szCs w:val="20"/>
          <w:color w:val="auto"/>
        </w:rPr>
      </w:pPr>
    </w:p>
    <w:p>
      <w:pPr>
        <w:ind w:left="640" w:right="140" w:hanging="322"/>
        <w:spacing w:after="0" w:line="26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Automated expense management. </w:t>
      </w:r>
      <w:r>
        <w:rPr>
          <w:rFonts w:ascii="Arial" w:cs="Arial" w:eastAsia="Arial" w:hAnsi="Arial"/>
          <w:sz w:val="18"/>
          <w:szCs w:val="18"/>
          <w:color w:val="auto"/>
        </w:rPr>
        <w:t>Navan automates the entire expense workflow, aiming to eliminate the need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front personal money, chase down receipts, or fill out forms, while giving finance teams real-time visibility into spend, faster month-end close, and direct ERP integrations.</w:t>
      </w:r>
    </w:p>
    <w:p>
      <w:pPr>
        <w:spacing w:after="0" w:line="116" w:lineRule="exact"/>
        <w:rPr>
          <w:rFonts w:ascii="Arial" w:cs="Arial" w:eastAsia="Arial" w:hAnsi="Arial"/>
          <w:sz w:val="18"/>
          <w:szCs w:val="18"/>
          <w:color w:val="auto"/>
        </w:rPr>
      </w:pPr>
    </w:p>
    <w:p>
      <w:pPr>
        <w:ind w:left="640" w:right="240" w:hanging="322"/>
        <w:spacing w:after="0" w:line="26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Deepest range of content on the market. </w:t>
      </w:r>
      <w:r>
        <w:rPr>
          <w:rFonts w:ascii="Arial" w:cs="Arial" w:eastAsia="Arial" w:hAnsi="Arial"/>
          <w:sz w:val="18"/>
          <w:szCs w:val="18"/>
          <w:color w:val="auto"/>
        </w:rPr>
        <w:t>Navan has direct connections and integrations with over 600 airlines via</w:t>
      </w:r>
      <w:r>
        <w:rPr>
          <w:rFonts w:ascii="Arial" w:cs="Arial" w:eastAsia="Arial" w:hAnsi="Arial"/>
          <w:sz w:val="18"/>
          <w:szCs w:val="18"/>
          <w:i w:val="1"/>
          <w:iCs w:val="1"/>
          <w:color w:val="auto"/>
        </w:rPr>
        <w:t xml:space="preserve"> </w:t>
      </w:r>
      <w:r>
        <w:rPr>
          <w:rFonts w:ascii="Arial" w:cs="Arial" w:eastAsia="Arial" w:hAnsi="Arial"/>
          <w:sz w:val="18"/>
          <w:szCs w:val="18"/>
          <w:color w:val="auto"/>
        </w:rPr>
        <w:t>GDSs, NDC, and LCCs and over two million lodging properties, which provide our customers with access to dynamic pricing and ultimately cost savings.</w:t>
      </w:r>
    </w:p>
    <w:p>
      <w:pPr>
        <w:spacing w:after="0" w:line="116" w:lineRule="exact"/>
        <w:rPr>
          <w:rFonts w:ascii="Arial" w:cs="Arial" w:eastAsia="Arial" w:hAnsi="Arial"/>
          <w:sz w:val="18"/>
          <w:szCs w:val="18"/>
          <w:color w:val="auto"/>
        </w:rPr>
      </w:pPr>
    </w:p>
    <w:p>
      <w:pPr>
        <w:ind w:left="640" w:right="240" w:hanging="322"/>
        <w:spacing w:after="0" w:line="259"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Cost savings and reduced administrative burden. </w:t>
      </w:r>
      <w:r>
        <w:rPr>
          <w:rFonts w:ascii="Arial" w:cs="Arial" w:eastAsia="Arial" w:hAnsi="Arial"/>
          <w:sz w:val="18"/>
          <w:szCs w:val="18"/>
          <w:color w:val="auto"/>
        </w:rPr>
        <w:t>Cost savings from automation and operational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reduce administrative burden and enable customers to close their books faster. Customers using our platform have recognized up to 15% savings on travel compared to their prior legacy solution or unmanaged environment, with even greater value unlocked through time savings and reduced overhead, delivering a step change in total T&amp;E efficiency.</w:t>
      </w:r>
    </w:p>
    <w:p>
      <w:pPr>
        <w:spacing w:after="0" w:line="125"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Our global platform provides the following key benefits to our key categories of supplier partners (such as inventory suppliers and GDSs):</w:t>
      </w:r>
    </w:p>
    <w:p>
      <w:pPr>
        <w:spacing w:after="0" w:line="99" w:lineRule="exact"/>
        <w:rPr>
          <w:sz w:val="20"/>
          <w:szCs w:val="20"/>
          <w:color w:val="auto"/>
        </w:rPr>
      </w:pPr>
    </w:p>
    <w:p>
      <w:pPr>
        <w:jc w:val="both"/>
        <w:ind w:left="640" w:hanging="322"/>
        <w:spacing w:after="0" w:line="26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Direct access to high-value travelers. </w:t>
      </w:r>
      <w:r>
        <w:rPr>
          <w:rFonts w:ascii="Arial" w:cs="Arial" w:eastAsia="Arial" w:hAnsi="Arial"/>
          <w:sz w:val="18"/>
          <w:szCs w:val="18"/>
          <w:color w:val="auto"/>
        </w:rPr>
        <w:t>We give suppliers access to a large and highly engaged user base of frequent</w:t>
      </w:r>
      <w:r>
        <w:rPr>
          <w:rFonts w:ascii="Arial" w:cs="Arial" w:eastAsia="Arial" w:hAnsi="Arial"/>
          <w:sz w:val="18"/>
          <w:szCs w:val="18"/>
          <w:i w:val="1"/>
          <w:iCs w:val="1"/>
          <w:color w:val="auto"/>
        </w:rPr>
        <w:t xml:space="preserve"> </w:t>
      </w:r>
      <w:r>
        <w:rPr>
          <w:rFonts w:ascii="Arial" w:cs="Arial" w:eastAsia="Arial" w:hAnsi="Arial"/>
          <w:sz w:val="18"/>
          <w:szCs w:val="18"/>
          <w:color w:val="auto"/>
        </w:rPr>
        <w:t>travelers, enabling them to reach premium, high-margin customers in a consistent and repeatable way. This helps to drive better yield and more strategic distribution compared to fragmented legacy platforms.</w:t>
      </w:r>
    </w:p>
    <w:p>
      <w:pPr>
        <w:spacing w:after="0" w:line="116" w:lineRule="exact"/>
        <w:rPr>
          <w:rFonts w:ascii="Arial" w:cs="Arial" w:eastAsia="Arial" w:hAnsi="Arial"/>
          <w:sz w:val="18"/>
          <w:szCs w:val="18"/>
          <w:color w:val="auto"/>
        </w:rPr>
      </w:pPr>
    </w:p>
    <w:p>
      <w:pPr>
        <w:ind w:left="640" w:right="140" w:hanging="322"/>
        <w:spacing w:after="0" w:line="26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Flexible retailing and brand control. </w:t>
      </w:r>
      <w:r>
        <w:rPr>
          <w:rFonts w:ascii="Arial" w:cs="Arial" w:eastAsia="Arial" w:hAnsi="Arial"/>
          <w:sz w:val="18"/>
          <w:szCs w:val="18"/>
          <w:color w:val="auto"/>
        </w:rPr>
        <w:t>We provide a single, integrated system where suppliers can showcase brand-forward content, control fare and ancillary pricing, and iterate on their merchandising strategy in real-time. This allows suppliers to differentiate their offerings, adjust to market dynamics, and align their retail goals with how their products are discovered and booked by end users.</w:t>
      </w:r>
    </w:p>
    <w:p>
      <w:pPr>
        <w:spacing w:after="0" w:line="122" w:lineRule="exact"/>
        <w:rPr>
          <w:rFonts w:ascii="Arial" w:cs="Arial" w:eastAsia="Arial" w:hAnsi="Arial"/>
          <w:sz w:val="18"/>
          <w:szCs w:val="18"/>
          <w:color w:val="auto"/>
        </w:rPr>
      </w:pPr>
    </w:p>
    <w:p>
      <w:pPr>
        <w:ind w:left="640" w:right="260" w:hanging="322"/>
        <w:spacing w:after="0" w:line="26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Accelerated innovation through collaborative distribution. </w:t>
      </w:r>
      <w:r>
        <w:rPr>
          <w:rFonts w:ascii="Arial" w:cs="Arial" w:eastAsia="Arial" w:hAnsi="Arial"/>
          <w:sz w:val="18"/>
          <w:szCs w:val="18"/>
          <w:color w:val="auto"/>
        </w:rPr>
        <w:t>Our NDC enables us to have swift access to updates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travel distribution ecosystem and positions us as a partner to these suppliers. Suppliers can test, launch, and evolve their offerings in a controlled and collaborative environment, unlocking speed-to-market and visibility that legacy intermediaries often cannot provide.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Navan addresses a large, growing, and global total addressable market, or TAM, by providing an all-in-one software platform for customers of all sizes. Our TAM spans travel management, both managed and traditionally unmanaged, as well as expense management and payments. We estimate the TAM for the services we offer today to be approximately $185 billion globally. To estimate our total TAM, we identified four categories of market opportunities: (1) managed and unmanaged business travel management, referred to as the managed and unmanaged categories, (2) bleisure, (3) expense management, and (4) payments.</w:t>
      </w:r>
    </w:p>
    <w:p>
      <w:pPr>
        <w:spacing w:after="0" w:line="128" w:lineRule="exact"/>
        <w:rPr>
          <w:sz w:val="20"/>
          <w:szCs w:val="20"/>
          <w:color w:val="auto"/>
        </w:rPr>
      </w:pPr>
    </w:p>
    <w:p>
      <w:pPr>
        <w:jc w:val="both"/>
        <w:ind w:left="640" w:right="180" w:hanging="322"/>
        <w:spacing w:after="0" w:line="268"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Business Travel Management. </w:t>
      </w:r>
      <w:r>
        <w:rPr>
          <w:rFonts w:ascii="Arial" w:cs="Arial" w:eastAsia="Arial" w:hAnsi="Arial"/>
          <w:sz w:val="18"/>
          <w:szCs w:val="18"/>
          <w:color w:val="auto"/>
        </w:rPr>
        <w:t>We estimate our revenue opportunity in the business travel management category</w:t>
      </w:r>
      <w:r>
        <w:rPr>
          <w:rFonts w:ascii="Arial" w:cs="Arial" w:eastAsia="Arial" w:hAnsi="Arial"/>
          <w:sz w:val="18"/>
          <w:szCs w:val="18"/>
          <w:i w:val="1"/>
          <w:iCs w:val="1"/>
          <w:color w:val="auto"/>
        </w:rPr>
        <w:t xml:space="preserve"> </w:t>
      </w:r>
      <w:r>
        <w:rPr>
          <w:rFonts w:ascii="Arial" w:cs="Arial" w:eastAsia="Arial" w:hAnsi="Arial"/>
          <w:sz w:val="18"/>
          <w:szCs w:val="18"/>
          <w:color w:val="auto"/>
        </w:rPr>
        <w:t>today to be approximately $86 billion globally across both the managed and unmanaged categories, based on our own monetization of business travel.</w:t>
      </w:r>
    </w:p>
    <w:p>
      <w:pPr>
        <w:spacing w:after="0" w:line="116" w:lineRule="exact"/>
        <w:rPr>
          <w:rFonts w:ascii="Arial" w:cs="Arial" w:eastAsia="Arial" w:hAnsi="Arial"/>
          <w:sz w:val="18"/>
          <w:szCs w:val="18"/>
          <w:color w:val="auto"/>
        </w:rPr>
      </w:pPr>
    </w:p>
    <w:p>
      <w:pPr>
        <w:ind w:left="640" w:right="20" w:hanging="322"/>
        <w:spacing w:after="0" w:line="268"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Bleisure</w:t>
      </w:r>
      <w:r>
        <w:rPr>
          <w:rFonts w:ascii="Arial" w:cs="Arial" w:eastAsia="Arial" w:hAnsi="Arial"/>
          <w:sz w:val="18"/>
          <w:szCs w:val="18"/>
          <w:color w:val="auto"/>
        </w:rPr>
        <w:t>. We estimate our revenue opportunity in the bleisure category today to be approximately $24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 Euromonitor report commissioned by us, the bleisure serviceable addressable market was estimated to be $324 billion in 2024, which when multiplied by our usage</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60"/>
          </w:cols>
          <w:pgMar w:left="1000" w:top="1440" w:right="10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299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340"/>
        <w:spacing w:after="0" w:line="287" w:lineRule="auto"/>
        <w:rPr>
          <w:sz w:val="20"/>
          <w:szCs w:val="20"/>
          <w:color w:val="auto"/>
        </w:rPr>
      </w:pPr>
      <w:r>
        <w:rPr>
          <w:rFonts w:ascii="Arial" w:cs="Arial" w:eastAsia="Arial" w:hAnsi="Arial"/>
          <w:sz w:val="18"/>
          <w:szCs w:val="18"/>
          <w:color w:val="auto"/>
        </w:rPr>
        <w:t>yield of approximately 7% for fiscal 2025 results in a revenue opportunity of $24 billion. We currently penetrate a small portion of this category.</w:t>
      </w:r>
    </w:p>
    <w:p>
      <w:pPr>
        <w:spacing w:after="0" w:line="99" w:lineRule="exact"/>
        <w:rPr>
          <w:sz w:val="20"/>
          <w:szCs w:val="20"/>
          <w:color w:val="auto"/>
        </w:rPr>
      </w:pPr>
    </w:p>
    <w:p>
      <w:pPr>
        <w:ind w:left="640" w:right="140" w:hanging="322"/>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We estimate the revenue opportunity in the expense management category today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$39 billion globally. Our Expense Management offering is a software-driven expense and payments management system, and we calculate the $39 billion global addressable market by multiplying the total number of small-and-medium-sized businesses, according to FactSet data, by our internal estimate of average revenue per customer.</w:t>
      </w:r>
    </w:p>
    <w:p>
      <w:pPr>
        <w:spacing w:after="0" w:line="125" w:lineRule="exact"/>
        <w:rPr>
          <w:rFonts w:ascii="Arial" w:cs="Arial" w:eastAsia="Arial" w:hAnsi="Arial"/>
          <w:sz w:val="18"/>
          <w:szCs w:val="18"/>
          <w:color w:val="auto"/>
        </w:rPr>
      </w:pPr>
    </w:p>
    <w:p>
      <w:pPr>
        <w:ind w:left="640" w:right="240" w:hanging="322"/>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We estimate the revenue opportunity in the payments category based on total spending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$37 billion for fiscal 2025 globally. According to Euromonitor, commercial charge and credit card spend is estimated to be $3.1 trillion by the end of 2025. To calculate our addressable market in the payments category, we multiplied the total spend by our internal estimate of net interchange. We believe we have significant room to grow our relationship with partners and expand in the corporate card market opportunity.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growth strategy include the following:</w:t>
      </w:r>
    </w:p>
    <w:p>
      <w:pPr>
        <w:spacing w:after="0" w:line="171" w:lineRule="exact"/>
        <w:rPr>
          <w:sz w:val="20"/>
          <w:szCs w:val="20"/>
          <w:color w:val="auto"/>
        </w:rPr>
      </w:pPr>
    </w:p>
    <w:p>
      <w:pPr>
        <w:ind w:left="640" w:right="80" w:hanging="322"/>
        <w:spacing w:after="0" w:line="25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Add new customers to the Navan platform</w:t>
      </w:r>
      <w:r>
        <w:rPr>
          <w:rFonts w:ascii="Arial" w:cs="Arial" w:eastAsia="Arial" w:hAnsi="Arial"/>
          <w:sz w:val="18"/>
          <w:szCs w:val="18"/>
          <w:color w:val="auto"/>
        </w:rPr>
        <w:t>. We believe the market for our solutions is large. Our platform is intuitive</w:t>
      </w:r>
      <w:r>
        <w:rPr>
          <w:rFonts w:ascii="Arial" w:cs="Arial" w:eastAsia="Arial" w:hAnsi="Arial"/>
          <w:sz w:val="18"/>
          <w:szCs w:val="18"/>
          <w:i w:val="1"/>
          <w:iCs w:val="1"/>
          <w:color w:val="auto"/>
        </w:rPr>
        <w:t xml:space="preserve"> </w:t>
      </w:r>
      <w:r>
        <w:rPr>
          <w:rFonts w:ascii="Arial" w:cs="Arial" w:eastAsia="Arial" w:hAnsi="Arial"/>
          <w:sz w:val="18"/>
          <w:szCs w:val="18"/>
          <w:color w:val="auto"/>
        </w:rPr>
        <w:t>to use and scalable for customers of all sizes across industries and geographies. We believe that customers with travel and expense systems today (managed customers) are underserved by existing vendors and frustrated by the fragmented experience that they face via these solutions. In addition to this managed category of the market, we believe there is sizable greenfield opportunity in helping manage travel and expense spend across customers who do not have a travel and expense platform today. We believe our end-to-end, intuitive, and easy to implement solution is well positioned to meet the needs of both the managed and unmanaged categories, and we have successfully grown to have over 10,000 active customers as of January 31, 2025.</w:t>
      </w:r>
    </w:p>
    <w:p>
      <w:pPr>
        <w:spacing w:after="0" w:line="130" w:lineRule="exact"/>
        <w:rPr>
          <w:rFonts w:ascii="Arial" w:cs="Arial" w:eastAsia="Arial" w:hAnsi="Arial"/>
          <w:sz w:val="18"/>
          <w:szCs w:val="18"/>
          <w:color w:val="auto"/>
        </w:rPr>
      </w:pPr>
    </w:p>
    <w:p>
      <w:pPr>
        <w:ind w:left="640" w:hanging="322"/>
        <w:spacing w:after="0" w:line="25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Drive higher penetration and adoption across our existing customers</w:t>
      </w:r>
      <w:r>
        <w:rPr>
          <w:rFonts w:ascii="Arial" w:cs="Arial" w:eastAsia="Arial" w:hAnsi="Arial"/>
          <w:sz w:val="18"/>
          <w:szCs w:val="18"/>
          <w:color w:val="auto"/>
        </w:rPr>
        <w:t>. We are focused on continuing to expand our</w:t>
      </w:r>
      <w:r>
        <w:rPr>
          <w:rFonts w:ascii="Arial" w:cs="Arial" w:eastAsia="Arial" w:hAnsi="Arial"/>
          <w:sz w:val="18"/>
          <w:szCs w:val="18"/>
          <w:i w:val="1"/>
          <w:iCs w:val="1"/>
          <w:color w:val="auto"/>
        </w:rPr>
        <w:t xml:space="preserve"> </w:t>
      </w:r>
      <w:r>
        <w:rPr>
          <w:rFonts w:ascii="Arial" w:cs="Arial" w:eastAsia="Arial" w:hAnsi="Arial"/>
          <w:sz w:val="18"/>
          <w:szCs w:val="18"/>
          <w:color w:val="auto"/>
        </w:rPr>
        <w:t>wallet share across existing customer relationships by driving cross-sell and increasing platform adoption. We typically land our customers with our Travel offering. We then help customers integrate additional offerings across our platform such as Corporate Payments, Expense Management, and VIP, based on the customer’s evolving needs, especially as the customer continues to grow and scale their own business and employee base. Our Bleisure capability expands this potential by enabling employees to seamlessly add personal travel to business trips, further deepening adoption and increasing engagement. This cross-sell motion remains a significant whitespace opportunity for us to grow within our customer base. In addition to benefiting from continued underlying growth in business travel spend, we also see significant opportunity for growth alongside our customers as they scale their underlying business and increase their investment in T&amp;E to support their growth. We also see opportunities to increase platform adoption across the existing user base for our customers.</w:t>
      </w:r>
    </w:p>
    <w:p>
      <w:pPr>
        <w:spacing w:after="0" w:line="128" w:lineRule="exact"/>
        <w:rPr>
          <w:rFonts w:ascii="Arial" w:cs="Arial" w:eastAsia="Arial" w:hAnsi="Arial"/>
          <w:sz w:val="18"/>
          <w:szCs w:val="18"/>
          <w:color w:val="auto"/>
        </w:rPr>
      </w:pPr>
    </w:p>
    <w:p>
      <w:pPr>
        <w:ind w:left="640" w:right="160" w:hanging="322"/>
        <w:spacing w:after="0" w:line="25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Continue to invest in our platform and offerings</w:t>
      </w:r>
      <w:r>
        <w:rPr>
          <w:rFonts w:ascii="Arial" w:cs="Arial" w:eastAsia="Arial" w:hAnsi="Arial"/>
          <w:sz w:val="18"/>
          <w:szCs w:val="18"/>
          <w:color w:val="auto"/>
        </w:rPr>
        <w:t>. We have a strong history of technology innovation, and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ample opportunity for growth as we continue to invest in the development of our platform capabilities to serve current and future travelers and customers. Across our platform, we see a particularly strong opportunity to continue to scale our capabilities through the continued deployment of advanced technologies to streamline the overall booking experience for travelers and drive costs down for our customers, as well as evolve our customer-facing UI to further simplify and personalize their booking and support experience. In addition to our ML investments, we have invested heavily in deploying generative artificial intelligence, or Gen AI, capabilities to complement our ML-based capabilities, leading to our development of Navan Cognition. Navan Cognition is our innovative proprietary AI framework that combines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265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precision and predictive power of ML with the reasoning capabilities of LLMs. On our platform, Navan Cognition enables us to create, train, deploy, and supervise specialized virtual agents that can handle complex tasks previously requiring human intervention. Navan Cognition has also been core to helping improve the service offering of our platform without adding cost to our customers and enabling us to further optimize margins. We view our AI-enabled capabilities as core to our platform and expect the continued advancement of these capabilities to enable us to continuously improve user experiences, further streamline workflows and unlock new use cases, which should in turn continue to expand the value we are able to deliver to customers as we move forward. In addition to making investments to grow our platform organically, we have selectively pursued inorganic growth opportunities from time to time. Our history of acquisitions for both platform expansion and the development of greater geographic expertise has demonstrated our ability to grow effectively. Should the opportunity for future inorganic growth present itself for developing future capabilities, supplier relationships, geographic expertise, or other means of serving our travelers and customers, we may consider pursuing them.</w:t>
      </w:r>
    </w:p>
    <w:p>
      <w:pPr>
        <w:spacing w:after="0" w:line="136" w:lineRule="exact"/>
        <w:rPr>
          <w:sz w:val="20"/>
          <w:szCs w:val="20"/>
          <w:color w:val="auto"/>
        </w:rPr>
      </w:pPr>
    </w:p>
    <w:p>
      <w:pPr>
        <w:ind w:left="640" w:hanging="322"/>
        <w:spacing w:after="0" w:line="25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Grow our international presence</w:t>
      </w:r>
      <w:r>
        <w:rPr>
          <w:rFonts w:ascii="Arial" w:cs="Arial" w:eastAsia="Arial" w:hAnsi="Arial"/>
          <w:sz w:val="18"/>
          <w:szCs w:val="18"/>
          <w:color w:val="auto"/>
        </w:rPr>
        <w:t>. We continue to broaden the scope and extent of our offerings outside of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The inherently international nature of travel has meant that we invested in building out a global infrastructure for our platform from the very beginning. These early investments in integrating travel suppliers from across the globe, as well as the development of localized partner relationships has allowed us to offer a truly global inventory of travel offerings, as well as supplement our platform with regional knowledge, personalized support, and multi-currency payment services. For fiscal 2025, revenue across non-U.S. based customers represented 41% of our revenue, underscoring the success we have had to date in growing across international markets and the sizable opportunity that remains across those markets for us to increase our presence. We have been active in pursuing both organic and inorganic actions to expand the geographic reach of our platform and improve cross-selling capabilities of our offerings to international customers, with plans to continue to invest in these areas to drive continued growth across these international markets.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 Factors Summary</w:t>
      </w:r>
    </w:p>
    <w:p>
      <w:pPr>
        <w:spacing w:after="0" w:line="169"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Investing in our Class A common stock involves numerous risks, including those described in the section titled “Risk Factors” immediately following this prospectus summary and elsewhere in this prospectus. You should carefully consider these risks before making an investment. Below are some of these risks, any one of which could negatively impact our business, financial condition, results of operations, and growth prospects.</w:t>
      </w:r>
    </w:p>
    <w:p>
      <w:pPr>
        <w:spacing w:after="0" w:line="122" w:lineRule="exact"/>
        <w:rPr>
          <w:sz w:val="20"/>
          <w:szCs w:val="20"/>
          <w:color w:val="auto"/>
        </w:rPr>
      </w:pPr>
    </w:p>
    <w:p>
      <w:pPr>
        <w:ind w:left="640" w:right="340" w:hanging="322"/>
        <w:spacing w:after="0" w:line="26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16" w:lineRule="exact"/>
        <w:rPr>
          <w:rFonts w:ascii="Arial" w:cs="Arial" w:eastAsia="Arial" w:hAnsi="Arial"/>
          <w:sz w:val="18"/>
          <w:szCs w:val="18"/>
          <w:color w:val="auto"/>
        </w:rPr>
      </w:pPr>
    </w:p>
    <w:p>
      <w:pPr>
        <w:ind w:left="640" w:right="260" w:hanging="322"/>
        <w:spacing w:after="0" w:line="26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revenue has historically been, and is expected to continue to be, significantly dependent on our Travel </w:t>
      </w:r>
      <w:r>
        <w:rPr>
          <w:rFonts w:ascii="Arial" w:cs="Arial" w:eastAsia="Arial" w:hAnsi="Arial"/>
          <w:sz w:val="18"/>
          <w:szCs w:val="18"/>
          <w:color w:val="auto"/>
          <w:highlight w:val="white"/>
        </w:rPr>
        <w:t>Management offerings, and a prolonged or substantial decrease in, or systemic disruptions to, global travel could adversely affect us.</w:t>
      </w:r>
    </w:p>
    <w:p>
      <w:pPr>
        <w:spacing w:after="0" w:line="116" w:lineRule="exact"/>
        <w:rPr>
          <w:rFonts w:ascii="Arial" w:cs="Arial" w:eastAsia="Arial" w:hAnsi="Arial"/>
          <w:sz w:val="18"/>
          <w:szCs w:val="18"/>
          <w:color w:val="auto"/>
        </w:rPr>
      </w:pPr>
    </w:p>
    <w:p>
      <w:pPr>
        <w:ind w:left="640" w:right="420" w:hanging="322"/>
        <w:spacing w:after="0" w:line="28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Shifts in business travel trends or any decline in business travel demand would negatively impact our business, </w:t>
      </w:r>
      <w:r>
        <w:rPr>
          <w:rFonts w:ascii="Arial" w:cs="Arial" w:eastAsia="Arial" w:hAnsi="Arial"/>
          <w:sz w:val="18"/>
          <w:szCs w:val="18"/>
          <w:color w:val="auto"/>
          <w:highlight w:val="white"/>
        </w:rPr>
        <w:t>growth, results of operations, and financial condition.</w:t>
      </w:r>
    </w:p>
    <w:p>
      <w:pPr>
        <w:spacing w:after="0" w:line="98" w:lineRule="exact"/>
        <w:rPr>
          <w:rFonts w:ascii="Arial" w:cs="Arial" w:eastAsia="Arial" w:hAnsi="Arial"/>
          <w:sz w:val="18"/>
          <w:szCs w:val="18"/>
          <w:color w:val="auto"/>
        </w:rPr>
      </w:pPr>
    </w:p>
    <w:p>
      <w:pPr>
        <w:ind w:left="640" w:right="580" w:hanging="322"/>
        <w:spacing w:after="0" w:line="28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We may be unable to attract new customers and grow our customer base, which would negatively impact our </w:t>
      </w:r>
      <w:r>
        <w:rPr>
          <w:rFonts w:ascii="Arial" w:cs="Arial" w:eastAsia="Arial" w:hAnsi="Arial"/>
          <w:sz w:val="18"/>
          <w:szCs w:val="18"/>
          <w:color w:val="auto"/>
          <w:highlight w:val="white"/>
        </w:rPr>
        <w:t>revenue growth and results of operations.</w:t>
      </w:r>
    </w:p>
    <w:p>
      <w:pPr>
        <w:spacing w:after="0" w:line="98" w:lineRule="exact"/>
        <w:rPr>
          <w:rFonts w:ascii="Arial" w:cs="Arial" w:eastAsia="Arial" w:hAnsi="Arial"/>
          <w:sz w:val="18"/>
          <w:szCs w:val="18"/>
          <w:color w:val="auto"/>
        </w:rPr>
      </w:pPr>
    </w:p>
    <w:p>
      <w:pPr>
        <w:jc w:val="both"/>
        <w:ind w:left="640" w:right="80" w:hanging="322"/>
        <w:spacing w:after="0" w:line="26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We may not be successful in our efforts to retain and increase revenue from our customers, including by promoting </w:t>
      </w:r>
      <w:r>
        <w:rPr>
          <w:rFonts w:ascii="Arial" w:cs="Arial" w:eastAsia="Arial" w:hAnsi="Arial"/>
          <w:sz w:val="18"/>
          <w:szCs w:val="18"/>
          <w:color w:val="auto"/>
          <w:highlight w:val="white"/>
        </w:rPr>
        <w:t>and expanding adoption and usage of our offerings, which could adversely impact our business, financial condition, and results of operations.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880"/>
          </w:cols>
          <w:pgMar w:left="1000" w:top="1440" w:right="10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607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140" w:hanging="322"/>
        <w:spacing w:after="0" w:line="28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If we fail to offer high-quality customer support, including through our AI-powered virtual agents, or if our support is </w:t>
      </w:r>
      <w:r>
        <w:rPr>
          <w:rFonts w:ascii="Arial" w:cs="Arial" w:eastAsia="Arial" w:hAnsi="Arial"/>
          <w:sz w:val="18"/>
          <w:szCs w:val="18"/>
          <w:color w:val="auto"/>
          <w:highlight w:val="white"/>
        </w:rPr>
        <w:t>more expensive than anticipated, our business, margins, and reputation could suffer.</w:t>
      </w:r>
    </w:p>
    <w:p>
      <w:pPr>
        <w:spacing w:after="0" w:line="98"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Travel Management offerings depend on our relationships with suppliers.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71" w:lineRule="exact"/>
        <w:rPr>
          <w:rFonts w:ascii="Arial" w:cs="Arial" w:eastAsia="Arial" w:hAnsi="Arial"/>
          <w:sz w:val="18"/>
          <w:szCs w:val="18"/>
          <w:color w:val="auto"/>
        </w:rPr>
      </w:pPr>
    </w:p>
    <w:p>
      <w:pPr>
        <w:ind w:left="640" w:right="100" w:hanging="322"/>
        <w:spacing w:after="0" w:line="26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have a limited history operating our business at its current scale, scope, and complexity in an evolving market </w:t>
      </w:r>
      <w:r>
        <w:rPr>
          <w:rFonts w:ascii="Arial" w:cs="Arial" w:eastAsia="Arial" w:hAnsi="Arial"/>
          <w:sz w:val="18"/>
          <w:szCs w:val="18"/>
          <w:color w:val="auto"/>
          <w:highlight w:val="white"/>
        </w:rPr>
        <w:t>and economic environment, which makes it difficult to evaluate our current business, plan for future operations and strategic initiatives, predict future results, and evaluate our future prospects, increasing the risks associated with your investment.</w:t>
      </w:r>
    </w:p>
    <w:p>
      <w:pPr>
        <w:spacing w:after="0" w:line="122"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results of operations may fluctuate significantly, which could make our future results difficult to predict and could </w:t>
      </w:r>
      <w:r>
        <w:rPr>
          <w:rFonts w:ascii="Arial" w:cs="Arial" w:eastAsia="Arial" w:hAnsi="Arial"/>
          <w:sz w:val="18"/>
          <w:szCs w:val="18"/>
          <w:color w:val="auto"/>
          <w:highlight w:val="white"/>
        </w:rPr>
        <w:t>cause our results of operations to fall below expectations.</w:t>
      </w:r>
    </w:p>
    <w:p>
      <w:pPr>
        <w:spacing w:after="0" w:line="98" w:lineRule="exact"/>
        <w:rPr>
          <w:rFonts w:ascii="Arial" w:cs="Arial" w:eastAsia="Arial" w:hAnsi="Arial"/>
          <w:sz w:val="18"/>
          <w:szCs w:val="18"/>
          <w:color w:val="auto"/>
        </w:rPr>
      </w:pPr>
    </w:p>
    <w:p>
      <w:pPr>
        <w:ind w:left="640" w:right="100" w:hanging="322"/>
        <w:spacing w:after="0" w:line="268"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Future acquisitions, strategic investments, partnerships, collaborations, or alliances could be difficult to identify and </w:t>
      </w:r>
      <w:r>
        <w:rPr>
          <w:rFonts w:ascii="Arial" w:cs="Arial" w:eastAsia="Arial" w:hAnsi="Arial"/>
          <w:sz w:val="18"/>
          <w:szCs w:val="18"/>
          <w:color w:val="auto"/>
          <w:highlight w:val="white"/>
        </w:rPr>
        <w:t>integrate, divert the attention of management, disrupt our business, dilute stockholder value, and adversely affect our business, financial condition, results of operations, and prospects.</w:t>
      </w:r>
    </w:p>
    <w:p>
      <w:pPr>
        <w:spacing w:after="0" w:line="116"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plan to continue expanding our international operations which could subject us to additional costs and risks, and </w:t>
      </w:r>
      <w:r>
        <w:rPr>
          <w:rFonts w:ascii="Arial" w:cs="Arial" w:eastAsia="Arial" w:hAnsi="Arial"/>
          <w:sz w:val="18"/>
          <w:szCs w:val="18"/>
          <w:color w:val="auto"/>
          <w:highlight w:val="white"/>
        </w:rPr>
        <w:t>our continued expansion internationally may not be successful.</w:t>
      </w:r>
    </w:p>
    <w:p>
      <w:pPr>
        <w:spacing w:after="0" w:line="98" w:lineRule="exact"/>
        <w:rPr>
          <w:rFonts w:ascii="Arial" w:cs="Arial" w:eastAsia="Arial" w:hAnsi="Arial"/>
          <w:sz w:val="18"/>
          <w:szCs w:val="18"/>
          <w:color w:val="auto"/>
        </w:rPr>
      </w:pPr>
    </w:p>
    <w:p>
      <w:pPr>
        <w:ind w:left="640" w:right="40" w:hanging="322"/>
        <w:spacing w:after="0" w:line="28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platform.</w:t>
      </w:r>
    </w:p>
    <w:p>
      <w:pPr>
        <w:spacing w:after="0" w:line="98" w:lineRule="exact"/>
        <w:rPr>
          <w:rFonts w:ascii="Arial" w:cs="Arial" w:eastAsia="Arial" w:hAnsi="Arial"/>
          <w:sz w:val="18"/>
          <w:szCs w:val="18"/>
          <w:color w:val="auto"/>
        </w:rPr>
      </w:pPr>
    </w:p>
    <w:p>
      <w:pPr>
        <w:ind w:left="640" w:right="40" w:hanging="322"/>
        <w:spacing w:after="0" w:line="28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98" w:lineRule="exact"/>
        <w:rPr>
          <w:rFonts w:ascii="Arial" w:cs="Arial" w:eastAsia="Arial" w:hAnsi="Arial"/>
          <w:sz w:val="18"/>
          <w:szCs w:val="18"/>
          <w:color w:val="auto"/>
        </w:rPr>
      </w:pPr>
    </w:p>
    <w:p>
      <w:pPr>
        <w:ind w:left="640" w:right="80" w:hanging="322"/>
        <w:spacing w:after="0" w:line="268"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116" w:lineRule="exact"/>
        <w:rPr>
          <w:rFonts w:ascii="Arial" w:cs="Arial" w:eastAsia="Arial" w:hAnsi="Arial"/>
          <w:sz w:val="18"/>
          <w:szCs w:val="18"/>
          <w:color w:val="auto"/>
        </w:rPr>
      </w:pPr>
    </w:p>
    <w:p>
      <w:pPr>
        <w:ind w:left="640" w:right="60" w:hanging="322"/>
        <w:spacing w:after="0" w:line="259"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material weakness in our internal control over financial reporting, which we first identified in the fiscal year </w:t>
      </w:r>
      <w:r>
        <w:rPr>
          <w:rFonts w:ascii="Arial" w:cs="Arial" w:eastAsia="Arial" w:hAnsi="Arial"/>
          <w:sz w:val="18"/>
          <w:szCs w:val="18"/>
          <w:color w:val="auto"/>
          <w:highlight w:val="white"/>
        </w:rPr>
        <w:t>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25"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and you could lose all or part of your investment.</w:t>
      </w:r>
    </w:p>
    <w:p>
      <w:pPr>
        <w:spacing w:after="0" w:line="171" w:lineRule="exact"/>
        <w:rPr>
          <w:rFonts w:ascii="Arial" w:cs="Arial" w:eastAsia="Arial" w:hAnsi="Arial"/>
          <w:sz w:val="18"/>
          <w:szCs w:val="18"/>
          <w:color w:val="auto"/>
        </w:rPr>
      </w:pPr>
    </w:p>
    <w:p>
      <w:pPr>
        <w:ind w:left="640" w:right="20" w:hanging="322"/>
        <w:spacing w:after="0" w:line="268"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dual class structure of our common stock has the effect of concentrating voting power with Ariel Cohen and Ilan </w:t>
      </w:r>
      <w:r>
        <w:rPr>
          <w:rFonts w:ascii="Arial" w:cs="Arial" w:eastAsia="Arial" w:hAnsi="Arial"/>
          <w:sz w:val="18"/>
          <w:szCs w:val="18"/>
          <w:color w:val="auto"/>
          <w:highlight w:val="white"/>
        </w:rPr>
        <w:t>Twig, our co-founders, which will limit your ability to influence the outcome of important transactions, including a change in control.</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Channels for Disclosure of Information</w:t>
      </w:r>
    </w:p>
    <w:p>
      <w:pPr>
        <w:spacing w:after="0" w:line="16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Following the effectiveness of the registration statement of which this prospectus forms a part, we intend to announce material information to the public through filings with the Securities and Exchange Commission, or the SEC, the investor relations page on our website (www.navan.com/investors), press releases, public conference calls, public webcasts, our X account (@Navan), our co-founders’ X accounts (@arielcoco and @itwig), our LinkedIn page (www.linkedin.com/company/navan/), our co-founders’ LinkedIn pages (www.linkedin.com/in/arielmcohen/ and www.linkedin.com/in/itwig/), our company news site (www.navan.com/press), and our company blog (www.navan.com/blog). The information contained</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860"/>
          </w:cols>
          <w:pgMar w:left="1000" w:top="1440" w:right="10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436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on, or that can be accessed through, the foregoing websites are not a part of this prospectus. Investors should not rely on any such information in deciding whether to purchase our Class A common stock.</w:t>
      </w:r>
    </w:p>
    <w:p>
      <w:pPr>
        <w:spacing w:after="0" w:line="99"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 and in our periodic reports filed with the SEC following this offering.</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69" w:lineRule="exact"/>
        <w:rPr>
          <w:sz w:val="20"/>
          <w:szCs w:val="20"/>
          <w:color w:val="auto"/>
        </w:rPr>
      </w:pPr>
    </w:p>
    <w:p>
      <w:pPr>
        <w:ind w:right="100" w:firstLine="324"/>
        <w:spacing w:after="0" w:line="282" w:lineRule="auto"/>
        <w:rPr>
          <w:sz w:val="20"/>
          <w:szCs w:val="20"/>
          <w:color w:val="auto"/>
        </w:rPr>
      </w:pPr>
      <w:r>
        <w:rPr>
          <w:rFonts w:ascii="Arial" w:cs="Arial" w:eastAsia="Arial" w:hAnsi="Arial"/>
          <w:sz w:val="17"/>
          <w:szCs w:val="17"/>
          <w:color w:val="auto"/>
        </w:rPr>
        <w:t>We were incorporated in the State of Delaware in February 2015. Our principal executive offices are located at 3045 Park Boulevard, Palo Alto, California 94306. Our telephone number is (888) 505-8747. Our website address is www.navan.com. The information contained on, or that can be accessed through, our website is not a part of this prospectus. Investors should not rely on any such information in deciding whether to purchase our Class A common stock.</w:t>
      </w:r>
    </w:p>
    <w:p>
      <w:pPr>
        <w:spacing w:after="0" w:line="10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Navan, the Navan logo, and other registered or common law trade names, trademarks, or service marks of Navan appearing in this prospectus are the property of Navan. This prospectus contains additional trade names, trademarks, and service marks of ours and of other companies. We do not intend our use or display of other companies’ trade names, trademarks, or service marks to imply a relationship with these other companies, or endorsement or sponsorship of us by these other companies. Other trademarks appearing in this prospectus are the property of their respective holders. Solely for convenience, our trademarks and trade names referred to in this prospectus appear without the ® and ™ symbols, but those references are not intended to indicate, in any way, that we will not assert, to the fullest extent under applicable law, our rights, or the right of the applicable licensor, to these trademarks and trade names.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6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As a company with less than $1.235 billion in revenue during our most recently completed fiscal year, 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125" w:lineRule="exact"/>
        <w:rPr>
          <w:sz w:val="20"/>
          <w:szCs w:val="20"/>
          <w:color w:val="auto"/>
        </w:rPr>
      </w:pPr>
    </w:p>
    <w:p>
      <w:pPr>
        <w:ind w:left="640" w:right="600" w:hanging="322"/>
        <w:spacing w:after="0" w:line="268"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disclosure in this prospectus;</w:t>
      </w:r>
    </w:p>
    <w:p>
      <w:pPr>
        <w:spacing w:after="0" w:line="116" w:lineRule="exact"/>
        <w:rPr>
          <w:rFonts w:ascii="Arial" w:cs="Arial" w:eastAsia="Arial" w:hAnsi="Arial"/>
          <w:sz w:val="18"/>
          <w:szCs w:val="18"/>
          <w:color w:val="auto"/>
        </w:rPr>
      </w:pPr>
    </w:p>
    <w:p>
      <w:pPr>
        <w:ind w:left="640" w:right="180" w:hanging="322"/>
        <w:spacing w:after="0" w:line="28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 as amended;</w:t>
      </w:r>
    </w:p>
    <w:p>
      <w:pPr>
        <w:spacing w:after="0" w:line="98" w:lineRule="exact"/>
        <w:rPr>
          <w:rFonts w:ascii="Arial" w:cs="Arial" w:eastAsia="Arial" w:hAnsi="Arial"/>
          <w:sz w:val="18"/>
          <w:szCs w:val="18"/>
          <w:color w:val="auto"/>
        </w:rPr>
      </w:pPr>
    </w:p>
    <w:p>
      <w:pPr>
        <w:ind w:left="640" w:hanging="322"/>
        <w:spacing w:after="0" w:line="262"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p>
      <w:pPr>
        <w:spacing w:after="0" w:line="122"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71" w:lineRule="exact"/>
        <w:rPr>
          <w:rFonts w:ascii="Arial" w:cs="Arial" w:eastAsia="Arial" w:hAnsi="Arial"/>
          <w:sz w:val="18"/>
          <w:szCs w:val="18"/>
          <w:color w:val="auto"/>
        </w:rPr>
      </w:pPr>
    </w:p>
    <w:p>
      <w:pPr>
        <w:ind w:left="640" w:right="880" w:hanging="322"/>
        <w:spacing w:after="0" w:line="28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98"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820"/>
          </w:cols>
          <w:pgMar w:left="1000" w:top="1440" w:right="107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2635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63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$1.235 billion in annual revenue, (ii) the date we qualify as a “large accelerated filer,” as defined in the rules under the Securities Exchange Act of 1934, as amended, with at least $700 million of common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We may take advantage of these exemptions until such time that we are no longer an emerging growth company. Accordingly, the information contained herein may be different from the information you receive from other public companies.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w:t>
      </w:r>
      <w:r>
        <w:rPr>
          <w:rFonts w:ascii="Arial" w:cs="Arial" w:eastAsia="Arial" w:hAnsi="Arial"/>
          <w:sz w:val="18"/>
          <w:szCs w:val="18"/>
          <w:color w:val="auto"/>
          <w:highlight w:val="white"/>
        </w:rPr>
        <w:t>results of operations</w:t>
      </w:r>
      <w:r>
        <w:rPr>
          <w:rFonts w:ascii="Arial" w:cs="Arial" w:eastAsia="Arial" w:hAnsi="Arial"/>
          <w:sz w:val="18"/>
          <w:szCs w:val="18"/>
          <w:color w:val="auto"/>
        </w:rPr>
        <w:t xml:space="preserve"> and financial statements may not be comparable to the </w:t>
      </w:r>
      <w:r>
        <w:rPr>
          <w:rFonts w:ascii="Arial" w:cs="Arial" w:eastAsia="Arial" w:hAnsi="Arial"/>
          <w:sz w:val="18"/>
          <w:szCs w:val="18"/>
          <w:color w:val="auto"/>
          <w:highlight w:val="white"/>
        </w:rPr>
        <w:t>results of operations</w:t>
      </w:r>
      <w:r>
        <w:rPr>
          <w:rFonts w:ascii="Arial" w:cs="Arial" w:eastAsia="Arial" w:hAnsi="Arial"/>
          <w:sz w:val="18"/>
          <w:szCs w:val="18"/>
          <w:color w:val="auto"/>
        </w:rPr>
        <w:t xml:space="preserve"> and financial statements of other companies that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880"/>
          </w:cols>
          <w:pgMar w:left="1000" w:top="1440" w:right="10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6836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83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840"/>
          </w:cols>
          <w:pgMar w:left="1020" w:top="1440" w:right="10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160" w:right="480" w:hanging="161"/>
        <w:spacing w:after="0" w:line="256" w:lineRule="auto"/>
        <w:rPr>
          <w:sz w:val="20"/>
          <w:szCs w:val="20"/>
          <w:color w:val="auto"/>
        </w:rPr>
      </w:pPr>
      <w:r>
        <w:rPr>
          <w:rFonts w:ascii="Arial" w:cs="Arial" w:eastAsia="Arial" w:hAnsi="Arial"/>
          <w:sz w:val="18"/>
          <w:szCs w:val="18"/>
          <w:color w:val="auto"/>
        </w:rPr>
        <w:t>Class A common stock offered by the selling stockholders</w:t>
      </w:r>
    </w:p>
    <w:p>
      <w:pPr>
        <w:spacing w:after="0" w:line="31" w:lineRule="exact"/>
        <w:rPr>
          <w:sz w:val="20"/>
          <w:szCs w:val="20"/>
          <w:color w:val="auto"/>
        </w:rPr>
      </w:pPr>
    </w:p>
    <w:p>
      <w:pPr>
        <w:ind w:left="160" w:hanging="161"/>
        <w:spacing w:after="0" w:line="256"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31" w:lineRule="exact"/>
        <w:rPr>
          <w:sz w:val="20"/>
          <w:szCs w:val="20"/>
          <w:color w:val="auto"/>
        </w:rPr>
      </w:pPr>
    </w:p>
    <w:p>
      <w:pPr>
        <w:ind w:left="160" w:hanging="161"/>
        <w:spacing w:after="0" w:line="256" w:lineRule="auto"/>
        <w:rPr>
          <w:sz w:val="20"/>
          <w:szCs w:val="20"/>
          <w:color w:val="auto"/>
        </w:rPr>
      </w:pPr>
      <w:r>
        <w:rPr>
          <w:rFonts w:ascii="Arial" w:cs="Arial" w:eastAsia="Arial" w:hAnsi="Arial"/>
          <w:sz w:val="18"/>
          <w:szCs w:val="18"/>
          <w:color w:val="auto"/>
        </w:rPr>
        <w:t>Class A common stock to be outstanding after this offering</w:t>
      </w:r>
    </w:p>
    <w:p>
      <w:pPr>
        <w:spacing w:after="0" w:line="31" w:lineRule="exact"/>
        <w:rPr>
          <w:sz w:val="20"/>
          <w:szCs w:val="20"/>
          <w:color w:val="auto"/>
        </w:rPr>
      </w:pPr>
    </w:p>
    <w:p>
      <w:pPr>
        <w:ind w:left="160" w:hanging="161"/>
        <w:spacing w:after="0" w:line="256" w:lineRule="auto"/>
        <w:rPr>
          <w:sz w:val="20"/>
          <w:szCs w:val="20"/>
          <w:color w:val="auto"/>
        </w:rPr>
      </w:pPr>
      <w:r>
        <w:rPr>
          <w:rFonts w:ascii="Arial" w:cs="Arial" w:eastAsia="Arial" w:hAnsi="Arial"/>
          <w:sz w:val="18"/>
          <w:szCs w:val="18"/>
          <w:color w:val="auto"/>
        </w:rPr>
        <w:t>Class B common stock to be outstanding after this offering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Total Class A common stock and Class B</w:t>
      </w:r>
    </w:p>
    <w:p>
      <w:pPr>
        <w:ind w:left="160" w:right="520"/>
        <w:spacing w:after="0" w:line="229" w:lineRule="auto"/>
        <w:rPr>
          <w:sz w:val="20"/>
          <w:szCs w:val="20"/>
          <w:color w:val="auto"/>
        </w:rPr>
      </w:pPr>
      <w:r>
        <w:rPr>
          <w:rFonts w:ascii="Arial" w:cs="Arial" w:eastAsia="Arial" w:hAnsi="Arial"/>
          <w:sz w:val="18"/>
          <w:szCs w:val="18"/>
          <w:color w:val="auto"/>
        </w:rPr>
        <w:t>common stock to be outstanding after this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right="240" w:firstLine="500"/>
        <w:spacing w:after="0" w:line="256" w:lineRule="auto"/>
        <w:rPr>
          <w:sz w:val="20"/>
          <w:szCs w:val="20"/>
          <w:color w:val="auto"/>
        </w:rPr>
      </w:pPr>
      <w:r>
        <w:rPr>
          <w:rFonts w:ascii="Arial" w:cs="Arial" w:eastAsia="Arial" w:hAnsi="Arial"/>
          <w:sz w:val="18"/>
          <w:szCs w:val="18"/>
          <w:color w:val="auto"/>
        </w:rPr>
        <w:t>shares ( shares if the underwriters exercise their option to purchase additional shares in full)</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from our sale of shares of our Class A</w:t>
      </w:r>
    </w:p>
    <w:p>
      <w:pPr>
        <w:spacing w:after="0" w:line="215" w:lineRule="auto"/>
        <w:tabs>
          <w:tab w:leader="none" w:pos="4680" w:val="left"/>
        </w:tabs>
        <w:rPr>
          <w:sz w:val="20"/>
          <w:szCs w:val="20"/>
          <w:color w:val="auto"/>
        </w:rPr>
      </w:pPr>
      <w:r>
        <w:rPr>
          <w:rFonts w:ascii="Arial" w:cs="Arial" w:eastAsia="Arial" w:hAnsi="Arial"/>
          <w:sz w:val="18"/>
          <w:szCs w:val="18"/>
          <w:color w:val="auto"/>
        </w:rPr>
        <w:t>common stock in this offering will be approximately $</w:t>
      </w:r>
      <w:r>
        <w:rPr>
          <w:sz w:val="20"/>
          <w:szCs w:val="20"/>
          <w:color w:val="auto"/>
        </w:rPr>
        <w:tab/>
      </w:r>
      <w:r>
        <w:rPr>
          <w:rFonts w:ascii="Arial" w:cs="Arial" w:eastAsia="Arial" w:hAnsi="Arial"/>
          <w:sz w:val="17"/>
          <w:szCs w:val="17"/>
          <w:color w:val="auto"/>
        </w:rPr>
        <w:t>, or</w:t>
      </w:r>
    </w:p>
    <w:p>
      <w:pPr>
        <w:spacing w:after="0" w:line="215" w:lineRule="auto"/>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if the underwriters’ option to purchase additional</w:t>
      </w:r>
    </w:p>
    <w:p>
      <w:pPr>
        <w:spacing w:after="0" w:line="220" w:lineRule="auto"/>
        <w:rPr>
          <w:sz w:val="20"/>
          <w:szCs w:val="20"/>
          <w:color w:val="auto"/>
        </w:rPr>
      </w:pPr>
      <w:r>
        <w:rPr>
          <w:rFonts w:ascii="Arial" w:cs="Arial" w:eastAsia="Arial" w:hAnsi="Arial"/>
          <w:sz w:val="18"/>
          <w:szCs w:val="18"/>
          <w:color w:val="auto"/>
        </w:rPr>
        <w:t>shares is exercised in full, based upon the assumed initial public offering</w:t>
      </w:r>
    </w:p>
    <w:p>
      <w:pPr>
        <w:ind w:right="60"/>
        <w:spacing w:after="0" w:line="208" w:lineRule="auto"/>
        <w:rPr>
          <w:sz w:val="20"/>
          <w:szCs w:val="20"/>
          <w:color w:val="auto"/>
        </w:rPr>
      </w:pPr>
      <w:r>
        <w:rPr>
          <w:rFonts w:ascii="Arial" w:cs="Arial" w:eastAsia="Arial" w:hAnsi="Arial"/>
          <w:sz w:val="18"/>
          <w:szCs w:val="18"/>
          <w:color w:val="auto"/>
        </w:rPr>
        <w:t>price of $ per share, which is the midpoint of the offering price range set forth on the cover page of this prospectus, and after deducting underwriting discounts and commissions and estimated offering payable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us.</w:t>
      </w:r>
    </w:p>
    <w:p>
      <w:pPr>
        <w:spacing w:after="0" w:line="113"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We primarily intend to use the net proceeds from this offering for working capital and other general corporate purposes. We intend to use</w:t>
      </w:r>
    </w:p>
    <w:p>
      <w:pPr>
        <w:spacing w:after="0" w:line="1"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approximately $ of the net proceeds from this offering to repay the outstanding term loans under and terminate our credit agreement with VCP Capital Markets, LLC, referred to as the Vista Facility, the terms of</w:t>
      </w:r>
    </w:p>
    <w:p>
      <w:pPr>
        <w:ind w:right="200"/>
        <w:spacing w:after="0" w:line="208" w:lineRule="auto"/>
        <w:rPr>
          <w:sz w:val="20"/>
          <w:szCs w:val="20"/>
          <w:color w:val="auto"/>
        </w:rPr>
      </w:pPr>
      <w:r>
        <w:rPr>
          <w:rFonts w:ascii="Arial" w:cs="Arial" w:eastAsia="Arial" w:hAnsi="Arial"/>
          <w:sz w:val="18"/>
          <w:szCs w:val="18"/>
          <w:color w:val="auto"/>
        </w:rPr>
        <w:t>which are described further in the section titled “Description of Material Indebtedness.” We also intend to use approximately $ of the net proceeds to satisfy the anticipated tax withholding and remittance</w:t>
      </w:r>
    </w:p>
    <w:p>
      <w:pPr>
        <w:spacing w:after="0" w:line="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obligations related to the RSU Net Settlement (as defined below). Assuming (i) the fair market value of our Class A common stock at the time of settlement will be equal to the assumed initial public offering price</w:t>
      </w:r>
    </w:p>
    <w:p>
      <w:pPr>
        <w:spacing w:after="0" w:line="2" w:lineRule="exact"/>
        <w:rPr>
          <w:sz w:val="20"/>
          <w:szCs w:val="20"/>
          <w:color w:val="auto"/>
        </w:rPr>
      </w:pPr>
    </w:p>
    <w:p>
      <w:pPr>
        <w:ind w:right="80"/>
        <w:spacing w:after="0" w:line="208" w:lineRule="auto"/>
        <w:rPr>
          <w:sz w:val="20"/>
          <w:szCs w:val="20"/>
          <w:color w:val="auto"/>
        </w:rPr>
      </w:pPr>
      <w:r>
        <w:rPr>
          <w:rFonts w:ascii="Arial" w:cs="Arial" w:eastAsia="Arial" w:hAnsi="Arial"/>
          <w:sz w:val="18"/>
          <w:szCs w:val="18"/>
          <w:color w:val="auto"/>
        </w:rPr>
        <w:t>per share of $ , the midpoint of the price range set forth on the cover page of this prospectus, and (ii) an assumed % tax withholding rate, we estimate that these tax withholding and remittance obligations on the</w:t>
      </w:r>
    </w:p>
    <w:p>
      <w:pPr>
        <w:spacing w:after="0" w:line="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RSU Net Settlement will be $ million in the aggregate. We may also use a portion of the proceeds for the acquisition of, or investment in, technologies, solutions, or businesses that complement our business.</w:t>
      </w:r>
    </w:p>
    <w:p>
      <w:pPr>
        <w:spacing w:after="0" w:line="2" w:lineRule="exact"/>
        <w:rPr>
          <w:sz w:val="20"/>
          <w:szCs w:val="20"/>
          <w:color w:val="auto"/>
        </w:rPr>
      </w:pPr>
    </w:p>
    <w:p>
      <w:pPr>
        <w:ind w:right="280"/>
        <w:spacing w:after="0" w:line="208" w:lineRule="auto"/>
        <w:rPr>
          <w:sz w:val="20"/>
          <w:szCs w:val="20"/>
          <w:color w:val="auto"/>
        </w:rPr>
      </w:pPr>
      <w:r>
        <w:rPr>
          <w:rFonts w:ascii="Arial" w:cs="Arial" w:eastAsia="Arial" w:hAnsi="Arial"/>
          <w:sz w:val="18"/>
          <w:szCs w:val="18"/>
          <w:color w:val="auto"/>
        </w:rPr>
        <w:t>However, we do not have agreements or commitments for any acquisitions or investments outside the ordinary course of business at this time. See the section titled “Use of Proceeds” for additional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13" w:lineRule="exact"/>
        <w:rPr>
          <w:sz w:val="20"/>
          <w:szCs w:val="20"/>
          <w:color w:val="auto"/>
        </w:rPr>
      </w:pPr>
    </w:p>
    <w:p>
      <w:pPr>
        <w:ind w:right="640"/>
        <w:spacing w:after="0"/>
        <w:rPr>
          <w:sz w:val="20"/>
          <w:szCs w:val="20"/>
          <w:color w:val="auto"/>
        </w:rPr>
      </w:pPr>
      <w:r>
        <w:rPr>
          <w:rFonts w:ascii="Arial" w:cs="Arial" w:eastAsia="Arial" w:hAnsi="Arial"/>
          <w:sz w:val="18"/>
          <w:szCs w:val="18"/>
          <w:color w:val="auto"/>
        </w:rPr>
        <w:t>We will not receive any proceeds from sales of shares of Class A common stock by the selling stockholders.</w:t>
      </w:r>
    </w:p>
    <w:p>
      <w:pPr>
        <w:spacing w:after="0" w:line="200" w:lineRule="exact"/>
        <w:rPr>
          <w:sz w:val="20"/>
          <w:szCs w:val="20"/>
          <w:color w:val="auto"/>
        </w:rPr>
      </w:pPr>
    </w:p>
    <w:p>
      <w:pPr>
        <w:sectPr>
          <w:pgSz w:w="11900" w:h="16838" w:orient="portrait"/>
          <w:cols w:equalWidth="0" w:num="2">
            <w:col w:w="4000" w:space="20"/>
            <w:col w:w="582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40"/>
          </w:cols>
          <w:pgMar w:left="1020" w:top="1440" w:right="10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110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Voting rights</w:t>
            </w: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Following the completion of this offering, shares of our Class A common</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stock will be entitled to one vote per share. Shares of our Class B</w:t>
            </w:r>
          </w:p>
        </w:tc>
      </w:tr>
      <w:tr>
        <w:trPr>
          <w:trHeight w:val="216"/>
        </w:trPr>
        <w:tc>
          <w:tcPr>
            <w:tcW w:w="3340" w:type="dxa"/>
            <w:vAlign w:val="bottom"/>
          </w:tcPr>
          <w:p>
            <w:pPr>
              <w:spacing w:after="0"/>
              <w:rPr>
                <w:sz w:val="18"/>
                <w:szCs w:val="18"/>
                <w:color w:val="auto"/>
              </w:rPr>
            </w:pPr>
          </w:p>
        </w:tc>
        <w:tc>
          <w:tcPr>
            <w:tcW w:w="3460" w:type="dxa"/>
            <w:vAlign w:val="bottom"/>
            <w:gridSpan w:val="3"/>
          </w:tcPr>
          <w:p>
            <w:pPr>
              <w:ind w:left="680"/>
              <w:spacing w:after="0"/>
              <w:rPr>
                <w:sz w:val="20"/>
                <w:szCs w:val="20"/>
                <w:color w:val="auto"/>
              </w:rPr>
            </w:pPr>
            <w:r>
              <w:rPr>
                <w:rFonts w:ascii="Arial" w:cs="Arial" w:eastAsia="Arial" w:hAnsi="Arial"/>
                <w:sz w:val="18"/>
                <w:szCs w:val="18"/>
                <w:color w:val="auto"/>
              </w:rPr>
              <w:t>common stock will be entitled to</w:t>
            </w:r>
          </w:p>
        </w:tc>
        <w:tc>
          <w:tcPr>
            <w:tcW w:w="3040" w:type="dxa"/>
            <w:vAlign w:val="bottom"/>
          </w:tcPr>
          <w:p>
            <w:pPr>
              <w:ind w:left="120"/>
              <w:spacing w:after="0"/>
              <w:rPr>
                <w:sz w:val="20"/>
                <w:szCs w:val="20"/>
                <w:color w:val="auto"/>
              </w:rPr>
            </w:pPr>
            <w:r>
              <w:rPr>
                <w:rFonts w:ascii="Arial" w:cs="Arial" w:eastAsia="Arial" w:hAnsi="Arial"/>
                <w:sz w:val="18"/>
                <w:szCs w:val="18"/>
                <w:color w:val="auto"/>
              </w:rPr>
              <w:t>votes per share. Holders of our</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Class A common stock and Class B common stock will generally vote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together as a single class, unless otherwise required by law or our</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amended and restated certificate of incorporation. Following the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completion of this offering, each share of our Class B common stock will</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be convertible into one share of our Class A common stock at any time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and will convert automatically upon certain transfers and upon the earlier</w:t>
            </w:r>
          </w:p>
        </w:tc>
      </w:tr>
      <w:tr>
        <w:trPr>
          <w:trHeight w:val="216"/>
        </w:trPr>
        <w:tc>
          <w:tcPr>
            <w:tcW w:w="3340" w:type="dxa"/>
            <w:vAlign w:val="bottom"/>
          </w:tcPr>
          <w:p>
            <w:pPr>
              <w:spacing w:after="0"/>
              <w:rPr>
                <w:sz w:val="18"/>
                <w:szCs w:val="18"/>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of</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 Immediately following the completion of this offering, and</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assuming no exercise of the underwriters’ option to purchase additional</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shares, Ariel Cohen, our co-founder, chairperson of our board of</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directors, and Chief Executive Officer, and a member of our board of</w:t>
            </w:r>
          </w:p>
        </w:tc>
      </w:tr>
      <w:tr>
        <w:trPr>
          <w:trHeight w:val="216"/>
        </w:trPr>
        <w:tc>
          <w:tcPr>
            <w:tcW w:w="3340" w:type="dxa"/>
            <w:vAlign w:val="bottom"/>
          </w:tcPr>
          <w:p>
            <w:pPr>
              <w:spacing w:after="0"/>
              <w:rPr>
                <w:sz w:val="18"/>
                <w:szCs w:val="18"/>
                <w:color w:val="auto"/>
              </w:rPr>
            </w:pPr>
          </w:p>
        </w:tc>
        <w:tc>
          <w:tcPr>
            <w:tcW w:w="3460" w:type="dxa"/>
            <w:vAlign w:val="bottom"/>
            <w:gridSpan w:val="3"/>
          </w:tcPr>
          <w:p>
            <w:pPr>
              <w:ind w:left="680"/>
              <w:spacing w:after="0"/>
              <w:rPr>
                <w:sz w:val="20"/>
                <w:szCs w:val="20"/>
                <w:color w:val="auto"/>
              </w:rPr>
            </w:pPr>
            <w:r>
              <w:rPr>
                <w:rFonts w:ascii="Arial" w:cs="Arial" w:eastAsia="Arial" w:hAnsi="Arial"/>
                <w:sz w:val="18"/>
                <w:szCs w:val="18"/>
                <w:color w:val="auto"/>
              </w:rPr>
              <w:t>directors, will hold approximately</w:t>
            </w:r>
          </w:p>
        </w:tc>
        <w:tc>
          <w:tcPr>
            <w:tcW w:w="3040" w:type="dxa"/>
            <w:vAlign w:val="bottom"/>
          </w:tcPr>
          <w:p>
            <w:pPr>
              <w:jc w:val="center"/>
              <w:ind w:right="550"/>
              <w:spacing w:after="0"/>
              <w:rPr>
                <w:sz w:val="20"/>
                <w:szCs w:val="20"/>
                <w:color w:val="auto"/>
              </w:rPr>
            </w:pPr>
            <w:r>
              <w:rPr>
                <w:rFonts w:ascii="Arial" w:cs="Arial" w:eastAsia="Arial" w:hAnsi="Arial"/>
                <w:sz w:val="18"/>
                <w:szCs w:val="18"/>
                <w:color w:val="auto"/>
                <w:w w:val="99"/>
              </w:rPr>
              <w:t>% of the voting power of our</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outstanding capital stock, and Ilan Twig, our co-founder, Chief</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Technology Officer, and a member of our board of directors, will hold</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approximately   % of the voting power of our outstanding capital stock,</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which voting power may increase over time upon the exercise or</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settlement and exchange of equity awards held by our co-founders</w:t>
            </w:r>
          </w:p>
        </w:tc>
      </w:tr>
      <w:tr>
        <w:trPr>
          <w:trHeight w:val="239"/>
        </w:trPr>
        <w:tc>
          <w:tcPr>
            <w:tcW w:w="3340" w:type="dxa"/>
            <w:vAlign w:val="bottom"/>
          </w:tcPr>
          <w:p>
            <w:pPr>
              <w:spacing w:after="0"/>
              <w:rPr>
                <w:sz w:val="20"/>
                <w:szCs w:val="20"/>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pursuant to their Equity Exchange Rights (as defined below).</w:t>
            </w:r>
          </w:p>
        </w:tc>
      </w:tr>
      <w:tr>
        <w:trPr>
          <w:trHeight w:val="355"/>
        </w:trPr>
        <w:tc>
          <w:tcPr>
            <w:tcW w:w="3340" w:type="dxa"/>
            <w:vAlign w:val="bottom"/>
          </w:tcPr>
          <w:p>
            <w:pPr>
              <w:spacing w:after="0"/>
              <w:rPr>
                <w:sz w:val="24"/>
                <w:szCs w:val="24"/>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If all currently outstanding stock options to purchase shares of our Class</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w w:val="99"/>
              </w:rPr>
              <w:t>A common stock held by our co-founders were exercised and exchanged</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for an equal number of shares of Class B common stock pursuant to the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Equity Exchange Rights, then immediately following the completion of</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this offering, Messrs. Cohen and Twig would hold approximately   %</w:t>
            </w:r>
          </w:p>
        </w:tc>
      </w:tr>
      <w:tr>
        <w:trPr>
          <w:trHeight w:val="216"/>
        </w:trPr>
        <w:tc>
          <w:tcPr>
            <w:tcW w:w="3340" w:type="dxa"/>
            <w:vAlign w:val="bottom"/>
          </w:tcPr>
          <w:p>
            <w:pPr>
              <w:spacing w:after="0"/>
              <w:rPr>
                <w:sz w:val="18"/>
                <w:szCs w:val="18"/>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and</w:t>
            </w:r>
          </w:p>
        </w:tc>
        <w:tc>
          <w:tcPr>
            <w:tcW w:w="5300" w:type="dxa"/>
            <w:vAlign w:val="bottom"/>
            <w:gridSpan w:val="3"/>
          </w:tcPr>
          <w:p>
            <w:pPr>
              <w:ind w:left="40"/>
              <w:spacing w:after="0"/>
              <w:rPr>
                <w:sz w:val="20"/>
                <w:szCs w:val="20"/>
                <w:color w:val="auto"/>
              </w:rPr>
            </w:pPr>
            <w:r>
              <w:rPr>
                <w:rFonts w:ascii="Arial" w:cs="Arial" w:eastAsia="Arial" w:hAnsi="Arial"/>
                <w:sz w:val="18"/>
                <w:szCs w:val="18"/>
                <w:color w:val="auto"/>
              </w:rPr>
              <w:t>%, respectively, of the voting power of our outstanding capital</w:t>
            </w:r>
          </w:p>
        </w:tc>
      </w:tr>
      <w:tr>
        <w:trPr>
          <w:trHeight w:val="239"/>
        </w:trPr>
        <w:tc>
          <w:tcPr>
            <w:tcW w:w="3340" w:type="dxa"/>
            <w:vAlign w:val="bottom"/>
          </w:tcPr>
          <w:p>
            <w:pPr>
              <w:spacing w:after="0"/>
              <w:rPr>
                <w:sz w:val="20"/>
                <w:szCs w:val="20"/>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stock.</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55"/>
        </w:trPr>
        <w:tc>
          <w:tcPr>
            <w:tcW w:w="3340" w:type="dxa"/>
            <w:vAlign w:val="bottom"/>
          </w:tcPr>
          <w:p>
            <w:pPr>
              <w:spacing w:after="0"/>
              <w:rPr>
                <w:sz w:val="24"/>
                <w:szCs w:val="24"/>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As a result, our co-founders may have significant influence over the</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outcome of matters submitted to our stockholders for approval, including</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the election of our directors and the approval of any change of control</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transaction. These risks are more fully described in the section titled</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“Risk Factors.” See the sections titled “Principal and Selling</w:t>
            </w:r>
          </w:p>
        </w:tc>
      </w:tr>
      <w:tr>
        <w:trPr>
          <w:trHeight w:val="216"/>
        </w:trPr>
        <w:tc>
          <w:tcPr>
            <w:tcW w:w="3340" w:type="dxa"/>
            <w:vAlign w:val="bottom"/>
          </w:tcPr>
          <w:p>
            <w:pPr>
              <w:spacing w:after="0"/>
              <w:rPr>
                <w:sz w:val="18"/>
                <w:szCs w:val="18"/>
                <w:color w:val="auto"/>
              </w:rPr>
            </w:pP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Stockholders” and “Description of Capital Stock” for additional</w:t>
            </w:r>
          </w:p>
        </w:tc>
      </w:tr>
      <w:tr>
        <w:trPr>
          <w:trHeight w:val="239"/>
        </w:trPr>
        <w:tc>
          <w:tcPr>
            <w:tcW w:w="3340" w:type="dxa"/>
            <w:vAlign w:val="bottom"/>
          </w:tcPr>
          <w:p>
            <w:pPr>
              <w:spacing w:after="0"/>
              <w:rPr>
                <w:sz w:val="20"/>
                <w:szCs w:val="20"/>
                <w:color w:val="auto"/>
              </w:rPr>
            </w:pPr>
          </w:p>
        </w:tc>
        <w:tc>
          <w:tcPr>
            <w:tcW w:w="3460" w:type="dxa"/>
            <w:vAlign w:val="bottom"/>
            <w:gridSpan w:val="3"/>
          </w:tcPr>
          <w:p>
            <w:pPr>
              <w:ind w:left="680"/>
              <w:spacing w:after="0"/>
              <w:rPr>
                <w:sz w:val="20"/>
                <w:szCs w:val="20"/>
                <w:color w:val="auto"/>
              </w:rPr>
            </w:pPr>
            <w:r>
              <w:rPr>
                <w:rFonts w:ascii="Arial" w:cs="Arial" w:eastAsia="Arial" w:hAnsi="Arial"/>
                <w:sz w:val="18"/>
                <w:szCs w:val="18"/>
                <w:color w:val="auto"/>
              </w:rPr>
              <w:t>information.</w:t>
            </w:r>
          </w:p>
        </w:tc>
        <w:tc>
          <w:tcPr>
            <w:tcW w:w="3040" w:type="dxa"/>
            <w:vAlign w:val="bottom"/>
          </w:tcPr>
          <w:p>
            <w:pPr>
              <w:spacing w:after="0"/>
              <w:rPr>
                <w:sz w:val="20"/>
                <w:szCs w:val="20"/>
                <w:color w:val="auto"/>
              </w:rPr>
            </w:pPr>
          </w:p>
        </w:tc>
      </w:tr>
      <w:tr>
        <w:trPr>
          <w:trHeight w:val="428"/>
        </w:trPr>
        <w:tc>
          <w:tcPr>
            <w:tcW w:w="3340" w:type="dxa"/>
            <w:vAlign w:val="bottom"/>
          </w:tcPr>
          <w:p>
            <w:pPr>
              <w:spacing w:after="0"/>
              <w:rPr>
                <w:sz w:val="20"/>
                <w:szCs w:val="20"/>
                <w:color w:val="auto"/>
              </w:rPr>
            </w:pPr>
            <w:r>
              <w:rPr>
                <w:rFonts w:ascii="Arial" w:cs="Arial" w:eastAsia="Arial" w:hAnsi="Arial"/>
                <w:sz w:val="18"/>
                <w:szCs w:val="18"/>
                <w:color w:val="auto"/>
              </w:rPr>
              <w:t>Risk factors</w:t>
            </w:r>
          </w:p>
        </w:tc>
        <w:tc>
          <w:tcPr>
            <w:tcW w:w="6500" w:type="dxa"/>
            <w:vAlign w:val="bottom"/>
            <w:gridSpan w:val="4"/>
          </w:tcPr>
          <w:p>
            <w:pPr>
              <w:ind w:left="68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color w:val="0000FF"/>
              </w:rPr>
              <w:t>Risk Factors</w:t>
            </w:r>
            <w:r>
              <w:rPr>
                <w:rFonts w:ascii="Arial" w:cs="Arial" w:eastAsia="Arial" w:hAnsi="Arial"/>
                <w:sz w:val="18"/>
                <w:szCs w:val="18"/>
                <w:color w:val="auto"/>
              </w:rPr>
              <w:t>” and other information included in</w:t>
            </w:r>
          </w:p>
        </w:tc>
      </w:tr>
      <w:tr>
        <w:trPr>
          <w:trHeight w:val="155"/>
        </w:trPr>
        <w:tc>
          <w:tcPr>
            <w:tcW w:w="3340" w:type="dxa"/>
            <w:vAlign w:val="bottom"/>
          </w:tcPr>
          <w:p>
            <w:pPr>
              <w:spacing w:after="0"/>
              <w:rPr>
                <w:sz w:val="13"/>
                <w:szCs w:val="13"/>
                <w:color w:val="auto"/>
              </w:rPr>
            </w:pPr>
          </w:p>
        </w:tc>
        <w:tc>
          <w:tcPr>
            <w:tcW w:w="2460" w:type="dxa"/>
            <w:vAlign w:val="bottom"/>
            <w:gridSpan w:val="2"/>
          </w:tcPr>
          <w:p>
            <w:pPr>
              <w:ind w:left="680"/>
              <w:spacing w:after="0" w:line="156" w:lineRule="exact"/>
              <w:rPr>
                <w:sz w:val="20"/>
                <w:szCs w:val="20"/>
                <w:color w:val="auto"/>
              </w:rPr>
            </w:pPr>
            <w:r>
              <w:rPr>
                <w:rFonts w:ascii="Arial" w:cs="Arial" w:eastAsia="Arial" w:hAnsi="Arial"/>
                <w:sz w:val="18"/>
                <w:szCs w:val="18"/>
                <w:color w:val="auto"/>
              </w:rPr>
              <w:t>this prospectus for a</w:t>
            </w:r>
          </w:p>
        </w:tc>
        <w:tc>
          <w:tcPr>
            <w:tcW w:w="100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auto"/>
                <w:w w:val="94"/>
              </w:rPr>
              <w:t>discussion of</w:t>
            </w:r>
          </w:p>
        </w:tc>
        <w:tc>
          <w:tcPr>
            <w:tcW w:w="3040" w:type="dxa"/>
            <w:vAlign w:val="bottom"/>
          </w:tcPr>
          <w:p>
            <w:pPr>
              <w:jc w:val="center"/>
              <w:ind w:right="510"/>
              <w:spacing w:after="0" w:line="156" w:lineRule="exact"/>
              <w:rPr>
                <w:sz w:val="20"/>
                <w:szCs w:val="20"/>
                <w:color w:val="auto"/>
              </w:rPr>
            </w:pPr>
            <w:r>
              <w:rPr>
                <w:rFonts w:ascii="Arial" w:cs="Arial" w:eastAsia="Arial" w:hAnsi="Arial"/>
                <w:sz w:val="18"/>
                <w:szCs w:val="18"/>
                <w:color w:val="auto"/>
                <w:w w:val="99"/>
              </w:rPr>
              <w:t>some of the factors you should</w:t>
            </w:r>
          </w:p>
        </w:tc>
      </w:tr>
      <w:tr>
        <w:trPr>
          <w:trHeight w:val="176"/>
        </w:trPr>
        <w:tc>
          <w:tcPr>
            <w:tcW w:w="3340" w:type="dxa"/>
            <w:vAlign w:val="bottom"/>
          </w:tcPr>
          <w:p>
            <w:pPr>
              <w:spacing w:after="0"/>
              <w:rPr>
                <w:sz w:val="15"/>
                <w:szCs w:val="15"/>
                <w:color w:val="auto"/>
              </w:rPr>
            </w:pPr>
          </w:p>
        </w:tc>
        <w:tc>
          <w:tcPr>
            <w:tcW w:w="6500" w:type="dxa"/>
            <w:vAlign w:val="bottom"/>
            <w:gridSpan w:val="4"/>
          </w:tcPr>
          <w:p>
            <w:pPr>
              <w:ind w:left="680"/>
              <w:spacing w:after="0" w:line="176" w:lineRule="exact"/>
              <w:rPr>
                <w:sz w:val="20"/>
                <w:szCs w:val="20"/>
                <w:color w:val="auto"/>
              </w:rPr>
            </w:pPr>
            <w:r>
              <w:rPr>
                <w:rFonts w:ascii="Arial" w:cs="Arial" w:eastAsia="Arial" w:hAnsi="Arial"/>
                <w:sz w:val="18"/>
                <w:szCs w:val="18"/>
                <w:color w:val="auto"/>
              </w:rPr>
              <w:t>consider before deciding to purchase shares of our Class A common</w:t>
            </w:r>
          </w:p>
        </w:tc>
      </w:tr>
      <w:tr>
        <w:trPr>
          <w:trHeight w:val="239"/>
        </w:trPr>
        <w:tc>
          <w:tcPr>
            <w:tcW w:w="3340" w:type="dxa"/>
            <w:vAlign w:val="bottom"/>
          </w:tcPr>
          <w:p>
            <w:pPr>
              <w:spacing w:after="0"/>
              <w:rPr>
                <w:sz w:val="20"/>
                <w:szCs w:val="20"/>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stock.</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78"/>
        </w:trPr>
        <w:tc>
          <w:tcPr>
            <w:tcW w:w="3340" w:type="dxa"/>
            <w:vAlign w:val="bottom"/>
          </w:tcPr>
          <w:p>
            <w:pPr>
              <w:spacing w:after="0"/>
              <w:rPr>
                <w:sz w:val="20"/>
                <w:szCs w:val="20"/>
                <w:color w:val="auto"/>
              </w:rPr>
            </w:pPr>
            <w:r>
              <w:rPr>
                <w:rFonts w:ascii="Arial" w:cs="Arial" w:eastAsia="Arial" w:hAnsi="Arial"/>
                <w:sz w:val="18"/>
                <w:szCs w:val="18"/>
                <w:color w:val="auto"/>
              </w:rPr>
              <w:t>Proposed Nasdaq trading symbol</w:t>
            </w:r>
          </w:p>
        </w:tc>
        <w:tc>
          <w:tcPr>
            <w:tcW w:w="3460" w:type="dxa"/>
            <w:vAlign w:val="bottom"/>
            <w:gridSpan w:val="3"/>
          </w:tcPr>
          <w:p>
            <w:pPr>
              <w:ind w:left="680"/>
              <w:spacing w:after="0"/>
              <w:rPr>
                <w:sz w:val="20"/>
                <w:szCs w:val="20"/>
                <w:color w:val="auto"/>
              </w:rPr>
            </w:pPr>
            <w:r>
              <w:rPr>
                <w:rFonts w:ascii="Arial" w:cs="Arial" w:eastAsia="Arial" w:hAnsi="Arial"/>
                <w:sz w:val="18"/>
                <w:szCs w:val="18"/>
                <w:color w:val="auto"/>
              </w:rPr>
              <w:t>“NAVN”</w:t>
            </w:r>
          </w:p>
        </w:tc>
        <w:tc>
          <w:tcPr>
            <w:tcW w:w="3040" w:type="dxa"/>
            <w:vAlign w:val="bottom"/>
          </w:tcPr>
          <w:p>
            <w:pPr>
              <w:spacing w:after="0"/>
              <w:rPr>
                <w:sz w:val="24"/>
                <w:szCs w:val="24"/>
                <w:color w:val="auto"/>
              </w:rPr>
            </w:pPr>
          </w:p>
        </w:tc>
      </w:tr>
    </w:tbl>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our Class A common stock and Class B common stock that will be outstanding after this</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offering is based on shares of our Class A common stock outstanding and shares of our Class B common stock outstanding (after giving effect to the Capital Stock</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860"/>
          </w:cols>
          <w:pgMar w:left="1000" w:top="1440" w:right="103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7265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Conversion, the Note Conversion, the SAFE Conversion, and the RSU Net Settlement, each as defined below), in each</w:t>
      </w:r>
    </w:p>
    <w:p>
      <w:pPr>
        <w:spacing w:after="0" w:line="2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case as of</w:t>
      </w:r>
      <w:r>
        <w:rPr>
          <w:sz w:val="20"/>
          <w:szCs w:val="20"/>
          <w:color w:val="auto"/>
        </w:rPr>
        <w:tab/>
      </w:r>
      <w:r>
        <w:rPr>
          <w:rFonts w:ascii="Arial" w:cs="Arial" w:eastAsia="Arial" w:hAnsi="Arial"/>
          <w:sz w:val="17"/>
          <w:szCs w:val="17"/>
          <w:color w:val="auto"/>
        </w:rPr>
        <w:t>, 2025, and excludes:</w:t>
      </w:r>
    </w:p>
    <w:p>
      <w:pPr>
        <w:spacing w:after="0" w:line="153" w:lineRule="exact"/>
        <w:rPr>
          <w:sz w:val="20"/>
          <w:szCs w:val="20"/>
          <w:color w:val="auto"/>
        </w:rPr>
      </w:pPr>
    </w:p>
    <w:p>
      <w:pPr>
        <w:ind w:left="320"/>
        <w:spacing w:after="0"/>
        <w:tabs>
          <w:tab w:leader="none" w:pos="1060" w:val="left"/>
          <w:tab w:leader="none" w:pos="9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exercise of stock options outstanding as of</w:t>
      </w:r>
      <w:r>
        <w:rPr>
          <w:sz w:val="20"/>
          <w:szCs w:val="20"/>
          <w:color w:val="auto"/>
        </w:rPr>
        <w:tab/>
      </w:r>
      <w:r>
        <w:rPr>
          <w:rFonts w:ascii="Arial" w:cs="Arial" w:eastAsia="Arial" w:hAnsi="Arial"/>
          <w:sz w:val="17"/>
          <w:szCs w:val="17"/>
          <w:color w:val="auto"/>
        </w:rPr>
        <w:t>, 2025</w:t>
      </w:r>
    </w:p>
    <w:p>
      <w:pPr>
        <w:spacing w:after="0" w:line="27" w:lineRule="exact"/>
        <w:rPr>
          <w:sz w:val="20"/>
          <w:szCs w:val="20"/>
          <w:color w:val="auto"/>
        </w:rPr>
      </w:pPr>
    </w:p>
    <w:p>
      <w:pPr>
        <w:ind w:left="640"/>
        <w:spacing w:after="0"/>
        <w:tabs>
          <w:tab w:leader="none" w:pos="8960" w:val="left"/>
        </w:tabs>
        <w:rPr>
          <w:sz w:val="20"/>
          <w:szCs w:val="20"/>
          <w:color w:val="auto"/>
        </w:rPr>
      </w:pPr>
      <w:r>
        <w:rPr>
          <w:rFonts w:ascii="Arial" w:cs="Arial" w:eastAsia="Arial" w:hAnsi="Arial"/>
          <w:sz w:val="18"/>
          <w:szCs w:val="18"/>
          <w:color w:val="auto"/>
        </w:rPr>
        <w:t>under our 2015 Equity Incentive Plan, or our 2015 Plan, with a weighted-average exercise price of $</w:t>
      </w:r>
      <w:r>
        <w:rPr>
          <w:sz w:val="20"/>
          <w:szCs w:val="20"/>
          <w:color w:val="auto"/>
        </w:rPr>
        <w:tab/>
      </w:r>
      <w:r>
        <w:rPr>
          <w:rFonts w:ascii="Arial" w:cs="Arial" w:eastAsia="Arial" w:hAnsi="Arial"/>
          <w:sz w:val="18"/>
          <w:szCs w:val="18"/>
          <w:color w:val="auto"/>
        </w:rPr>
        <w:t>per share,</w:t>
      </w:r>
    </w:p>
    <w:p>
      <w:pPr>
        <w:spacing w:after="0" w:line="9"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auto"/>
        </w:rPr>
        <w:t>of which</w:t>
      </w:r>
      <w:r>
        <w:rPr>
          <w:sz w:val="20"/>
          <w:szCs w:val="20"/>
          <w:color w:val="auto"/>
        </w:rPr>
        <w:tab/>
      </w:r>
      <w:r>
        <w:rPr>
          <w:rFonts w:ascii="Arial" w:cs="Arial" w:eastAsia="Arial" w:hAnsi="Arial"/>
          <w:sz w:val="17"/>
          <w:szCs w:val="17"/>
          <w:color w:val="auto"/>
        </w:rPr>
        <w:t>shares will be exchangeable for an equal number of shares of Class B common stock at the election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our co-founders upon exercise;</w:t>
      </w:r>
    </w:p>
    <w:p>
      <w:pPr>
        <w:spacing w:after="0" w:line="153" w:lineRule="exact"/>
        <w:rPr>
          <w:sz w:val="20"/>
          <w:szCs w:val="20"/>
          <w:color w:val="auto"/>
        </w:rPr>
      </w:pPr>
    </w:p>
    <w:p>
      <w:pPr>
        <w:ind w:left="320"/>
        <w:spacing w:after="0"/>
        <w:tabs>
          <w:tab w:leader="none" w:pos="1060" w:val="left"/>
          <w:tab w:leader="none" w:pos="9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exercise of stock options granted after</w:t>
      </w:r>
      <w:r>
        <w:rPr>
          <w:sz w:val="20"/>
          <w:szCs w:val="20"/>
          <w:color w:val="auto"/>
        </w:rPr>
        <w:tab/>
      </w:r>
      <w:r>
        <w:rPr>
          <w:rFonts w:ascii="Arial" w:cs="Arial" w:eastAsia="Arial" w:hAnsi="Arial"/>
          <w:sz w:val="17"/>
          <w:szCs w:val="17"/>
          <w:color w:val="auto"/>
        </w:rPr>
        <w:t>, 2025</w:t>
      </w:r>
    </w:p>
    <w:p>
      <w:pPr>
        <w:spacing w:after="0" w:line="27" w:lineRule="exact"/>
        <w:rPr>
          <w:sz w:val="20"/>
          <w:szCs w:val="20"/>
          <w:color w:val="auto"/>
        </w:rPr>
      </w:pPr>
    </w:p>
    <w:p>
      <w:pPr>
        <w:ind w:left="640"/>
        <w:spacing w:after="0"/>
        <w:tabs>
          <w:tab w:leader="none" w:pos="6220" w:val="left"/>
          <w:tab w:leader="none" w:pos="8180" w:val="left"/>
        </w:tabs>
        <w:rPr>
          <w:sz w:val="20"/>
          <w:szCs w:val="20"/>
          <w:color w:val="auto"/>
        </w:rPr>
      </w:pPr>
      <w:r>
        <w:rPr>
          <w:rFonts w:ascii="Arial" w:cs="Arial" w:eastAsia="Arial" w:hAnsi="Arial"/>
          <w:sz w:val="18"/>
          <w:szCs w:val="18"/>
          <w:color w:val="auto"/>
        </w:rPr>
        <w:t>under our 2015 Plan with a weighted-average exercise price of $</w:t>
      </w:r>
      <w:r>
        <w:rPr>
          <w:sz w:val="20"/>
          <w:szCs w:val="20"/>
          <w:color w:val="auto"/>
        </w:rPr>
        <w:tab/>
      </w:r>
      <w:r>
        <w:rPr>
          <w:rFonts w:ascii="Arial" w:cs="Arial" w:eastAsia="Arial" w:hAnsi="Arial"/>
          <w:sz w:val="18"/>
          <w:szCs w:val="18"/>
          <w:color w:val="auto"/>
        </w:rPr>
        <w:t>per share, of which</w:t>
      </w:r>
      <w:r>
        <w:rPr>
          <w:sz w:val="20"/>
          <w:szCs w:val="20"/>
          <w:color w:val="auto"/>
        </w:rPr>
        <w:tab/>
      </w:r>
      <w:r>
        <w:rPr>
          <w:rFonts w:ascii="Arial" w:cs="Arial" w:eastAsia="Arial" w:hAnsi="Arial"/>
          <w:sz w:val="18"/>
          <w:szCs w:val="18"/>
          <w:color w:val="auto"/>
        </w:rPr>
        <w:t>shares will be</w:t>
      </w:r>
    </w:p>
    <w:p>
      <w:pPr>
        <w:spacing w:after="0" w:line="9" w:lineRule="exact"/>
        <w:rPr>
          <w:sz w:val="20"/>
          <w:szCs w:val="20"/>
          <w:color w:val="auto"/>
        </w:rPr>
      </w:pPr>
    </w:p>
    <w:p>
      <w:pPr>
        <w:ind w:left="640" w:right="440"/>
        <w:spacing w:after="0" w:line="266" w:lineRule="auto"/>
        <w:rPr>
          <w:sz w:val="20"/>
          <w:szCs w:val="20"/>
          <w:color w:val="auto"/>
        </w:rPr>
      </w:pPr>
      <w:r>
        <w:rPr>
          <w:rFonts w:ascii="Arial" w:cs="Arial" w:eastAsia="Arial" w:hAnsi="Arial"/>
          <w:sz w:val="18"/>
          <w:szCs w:val="18"/>
          <w:color w:val="auto"/>
        </w:rPr>
        <w:t>exchangeable for an equal number of shares of Class B common stock at the election of our co-founders upon exercise;</w:t>
      </w:r>
    </w:p>
    <w:p>
      <w:pPr>
        <w:spacing w:after="0" w:line="117" w:lineRule="exact"/>
        <w:rPr>
          <w:sz w:val="20"/>
          <w:szCs w:val="20"/>
          <w:color w:val="auto"/>
        </w:rPr>
      </w:pPr>
    </w:p>
    <w:p>
      <w:pPr>
        <w:ind w:left="640" w:right="120" w:hanging="322"/>
        <w:spacing w:after="0" w:line="259" w:lineRule="auto"/>
        <w:tabs>
          <w:tab w:leader="none" w:pos="1085" w:val="left"/>
        </w:tabs>
        <w:numPr>
          <w:ilvl w:val="0"/>
          <w:numId w:val="16"/>
        </w:numPr>
        <w:rPr>
          <w:rFonts w:ascii="Arial" w:cs="Arial" w:eastAsia="Arial" w:hAnsi="Arial"/>
          <w:sz w:val="18"/>
          <w:szCs w:val="18"/>
          <w:color w:val="auto"/>
        </w:rPr>
      </w:pPr>
      <w:r>
        <w:rPr>
          <w:rFonts w:ascii="Arial" w:cs="Arial" w:eastAsia="Arial" w:hAnsi="Arial"/>
          <w:sz w:val="18"/>
          <w:szCs w:val="18"/>
          <w:color w:val="auto"/>
          <w:highlight w:val="white"/>
        </w:rPr>
        <w:t>shares of Class A common stock issuable upon the vesting and settlement of restricted stock units, or RSUs, outstanding as of the date of this prospectus subject to service-based and/or performance-based conditions, for which (i) the service-based condition was not satisfied as of such date and (ii) the performance-based condition, if applicable, will be satisfied upon the effectiveness of the registration statement of which this prospectus forms a part;</w:t>
      </w:r>
    </w:p>
    <w:p>
      <w:pPr>
        <w:spacing w:after="0" w:line="125" w:lineRule="exact"/>
        <w:rPr>
          <w:sz w:val="20"/>
          <w:szCs w:val="20"/>
          <w:color w:val="auto"/>
        </w:rPr>
      </w:pPr>
    </w:p>
    <w:p>
      <w:pPr>
        <w:ind w:left="320"/>
        <w:spacing w:after="0"/>
        <w:tabs>
          <w:tab w:leader="none" w:pos="1060" w:val="left"/>
          <w:tab w:leader="none" w:pos="8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exercise of warrants to purchase</w:t>
      </w:r>
      <w:r>
        <w:rPr>
          <w:sz w:val="20"/>
          <w:szCs w:val="20"/>
          <w:color w:val="auto"/>
        </w:rPr>
        <w:tab/>
      </w:r>
      <w:r>
        <w:rPr>
          <w:rFonts w:ascii="Arial" w:cs="Arial" w:eastAsia="Arial" w:hAnsi="Arial"/>
          <w:sz w:val="17"/>
          <w:szCs w:val="17"/>
          <w:color w:val="auto"/>
        </w:rPr>
        <w:t>shares of Class</w:t>
      </w:r>
    </w:p>
    <w:p>
      <w:pPr>
        <w:spacing w:after="0" w:line="27" w:lineRule="exact"/>
        <w:rPr>
          <w:sz w:val="20"/>
          <w:szCs w:val="20"/>
          <w:color w:val="auto"/>
        </w:rPr>
      </w:pPr>
    </w:p>
    <w:p>
      <w:pPr>
        <w:ind w:left="640"/>
        <w:spacing w:after="0"/>
        <w:tabs>
          <w:tab w:leader="none" w:pos="4480" w:val="left"/>
          <w:tab w:leader="none" w:pos="8840" w:val="left"/>
        </w:tabs>
        <w:rPr>
          <w:sz w:val="20"/>
          <w:szCs w:val="20"/>
          <w:color w:val="auto"/>
        </w:rPr>
      </w:pPr>
      <w:r>
        <w:rPr>
          <w:rFonts w:ascii="Arial" w:cs="Arial" w:eastAsia="Arial" w:hAnsi="Arial"/>
          <w:sz w:val="18"/>
          <w:szCs w:val="18"/>
          <w:color w:val="auto"/>
        </w:rPr>
        <w:t>A common stock outstanding as of</w:t>
      </w:r>
      <w:r>
        <w:rPr>
          <w:sz w:val="20"/>
          <w:szCs w:val="20"/>
          <w:color w:val="auto"/>
        </w:rPr>
        <w:tab/>
      </w:r>
      <w:r>
        <w:rPr>
          <w:rFonts w:ascii="Arial" w:cs="Arial" w:eastAsia="Arial" w:hAnsi="Arial"/>
          <w:sz w:val="18"/>
          <w:szCs w:val="18"/>
          <w:color w:val="auto"/>
        </w:rPr>
        <w:t>, 2025, with a weighted-average exercise price of $</w:t>
      </w:r>
      <w:r>
        <w:rPr>
          <w:sz w:val="20"/>
          <w:szCs w:val="20"/>
          <w:color w:val="auto"/>
        </w:rPr>
        <w:tab/>
      </w:r>
      <w:r>
        <w:rPr>
          <w:rFonts w:ascii="Arial" w:cs="Arial" w:eastAsia="Arial" w:hAnsi="Arial"/>
          <w:sz w:val="17"/>
          <w:szCs w:val="17"/>
          <w:color w:val="auto"/>
        </w:rPr>
        <w:t>per share;</w:t>
      </w:r>
    </w:p>
    <w:p>
      <w:pPr>
        <w:spacing w:after="0" w:line="153" w:lineRule="exact"/>
        <w:rPr>
          <w:sz w:val="20"/>
          <w:szCs w:val="20"/>
          <w:color w:val="auto"/>
        </w:rPr>
      </w:pPr>
    </w:p>
    <w:p>
      <w:pPr>
        <w:ind w:left="320"/>
        <w:spacing w:after="0"/>
        <w:tabs>
          <w:tab w:leader="none" w:pos="620" w:val="left"/>
          <w:tab w:leader="none" w:pos="1560" w:val="left"/>
        </w:tabs>
        <w:rPr>
          <w:sz w:val="20"/>
          <w:szCs w:val="20"/>
          <w:color w:val="auto"/>
        </w:rPr>
      </w:pPr>
      <w:r>
        <w:rPr>
          <w:rFonts w:ascii="Arial" w:cs="Arial" w:eastAsia="Arial" w:hAnsi="Arial"/>
          <w:sz w:val="18"/>
          <w:szCs w:val="18"/>
          <w:color w:val="auto"/>
        </w:rPr>
        <w:t>•</w:t>
        <w:tab/>
        <w:t>up to</w:t>
      </w:r>
      <w:r>
        <w:rPr>
          <w:sz w:val="20"/>
          <w:szCs w:val="20"/>
          <w:color w:val="auto"/>
        </w:rPr>
        <w:tab/>
      </w:r>
      <w:r>
        <w:rPr>
          <w:rFonts w:ascii="Arial" w:cs="Arial" w:eastAsia="Arial" w:hAnsi="Arial"/>
          <w:sz w:val="17"/>
          <w:szCs w:val="17"/>
          <w:color w:val="auto"/>
        </w:rPr>
        <w:t>shares of our Class A common stock reserved for future issuance under our 2025 Equity Incentive Plan,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the 2025 Plan, which will become effective on the day before the date of the underwriting agreement for this</w:t>
      </w:r>
    </w:p>
    <w:p>
      <w:pPr>
        <w:spacing w:after="0" w:line="9" w:lineRule="exact"/>
        <w:rPr>
          <w:sz w:val="20"/>
          <w:szCs w:val="20"/>
          <w:color w:val="auto"/>
        </w:rPr>
      </w:pPr>
    </w:p>
    <w:p>
      <w:pPr>
        <w:ind w:left="640"/>
        <w:spacing w:after="0"/>
        <w:tabs>
          <w:tab w:leader="none" w:pos="2860" w:val="left"/>
          <w:tab w:leader="none" w:pos="5140" w:val="left"/>
        </w:tabs>
        <w:rPr>
          <w:sz w:val="20"/>
          <w:szCs w:val="20"/>
          <w:color w:val="auto"/>
        </w:rPr>
      </w:pPr>
      <w:r>
        <w:rPr>
          <w:rFonts w:ascii="Arial" w:cs="Arial" w:eastAsia="Arial" w:hAnsi="Arial"/>
          <w:sz w:val="18"/>
          <w:szCs w:val="18"/>
          <w:color w:val="auto"/>
        </w:rPr>
        <w:t>offering, consisting of</w:t>
      </w:r>
      <w:r>
        <w:rPr>
          <w:sz w:val="20"/>
          <w:szCs w:val="20"/>
          <w:color w:val="auto"/>
        </w:rPr>
        <w:tab/>
      </w:r>
      <w:r>
        <w:rPr>
          <w:rFonts w:ascii="Arial" w:cs="Arial" w:eastAsia="Arial" w:hAnsi="Arial"/>
          <w:sz w:val="18"/>
          <w:szCs w:val="18"/>
          <w:color w:val="auto"/>
        </w:rPr>
        <w:t>new shares and up to</w:t>
      </w:r>
      <w:r>
        <w:rPr>
          <w:sz w:val="20"/>
          <w:szCs w:val="20"/>
          <w:color w:val="auto"/>
        </w:rPr>
        <w:tab/>
      </w:r>
      <w:r>
        <w:rPr>
          <w:rFonts w:ascii="Arial" w:cs="Arial" w:eastAsia="Arial" w:hAnsi="Arial"/>
          <w:sz w:val="18"/>
          <w:szCs w:val="18"/>
          <w:color w:val="auto"/>
        </w:rPr>
        <w:t>shares underlying outstanding awards granted under our</w:t>
      </w:r>
    </w:p>
    <w:p>
      <w:pPr>
        <w:spacing w:after="0" w:line="9" w:lineRule="exact"/>
        <w:rPr>
          <w:sz w:val="20"/>
          <w:szCs w:val="20"/>
          <w:color w:val="auto"/>
        </w:rPr>
      </w:pPr>
    </w:p>
    <w:p>
      <w:pPr>
        <w:ind w:left="640" w:right="80"/>
        <w:spacing w:after="0" w:line="258" w:lineRule="auto"/>
        <w:rPr>
          <w:sz w:val="20"/>
          <w:szCs w:val="20"/>
          <w:color w:val="auto"/>
        </w:rPr>
      </w:pPr>
      <w:r>
        <w:rPr>
          <w:rFonts w:ascii="Arial" w:cs="Arial" w:eastAsia="Arial" w:hAnsi="Arial"/>
          <w:sz w:val="18"/>
          <w:szCs w:val="18"/>
          <w:color w:val="auto"/>
        </w:rPr>
        <w:t>2015 Plan that, after the date the 2025 Plan becomes effective, either are not issued (due to the awards expiring or being settled in cash), are forfeited or repurchased due to failure to vest, or are withheld to satisfy the exercise, strike, or purchase price or tax withholding obligations; and</w:t>
      </w:r>
    </w:p>
    <w:p>
      <w:pPr>
        <w:spacing w:after="0" w:line="124" w:lineRule="exact"/>
        <w:rPr>
          <w:sz w:val="20"/>
          <w:szCs w:val="20"/>
          <w:color w:val="auto"/>
        </w:rPr>
      </w:pPr>
    </w:p>
    <w:p>
      <w:pPr>
        <w:ind w:left="640" w:right="40" w:hanging="322"/>
        <w:spacing w:after="0" w:line="287" w:lineRule="auto"/>
        <w:tabs>
          <w:tab w:leader="none" w:pos="1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2025 Employee Stock Purchase Plan, which will become effective in connection with this offering.</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71" w:lineRule="exact"/>
        <w:rPr>
          <w:sz w:val="20"/>
          <w:szCs w:val="20"/>
          <w:color w:val="auto"/>
        </w:rPr>
      </w:pPr>
    </w:p>
    <w:p>
      <w:pPr>
        <w:ind w:left="320"/>
        <w:spacing w:after="0"/>
        <w:tabs>
          <w:tab w:leader="none" w:pos="1060" w:val="left"/>
          <w:tab w:leader="none" w:pos="7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redeemable convertible preferred stock outstanding as of</w:t>
      </w:r>
      <w:r>
        <w:rPr>
          <w:sz w:val="20"/>
          <w:szCs w:val="20"/>
          <w:color w:val="auto"/>
        </w:rPr>
        <w:tab/>
      </w:r>
      <w:r>
        <w:rPr>
          <w:rFonts w:ascii="Arial" w:cs="Arial" w:eastAsia="Arial" w:hAnsi="Arial"/>
          <w:sz w:val="17"/>
          <w:szCs w:val="17"/>
          <w:color w:val="auto"/>
        </w:rPr>
        <w:t>, 2025 that will automatically</w:t>
      </w:r>
    </w:p>
    <w:p>
      <w:pPr>
        <w:spacing w:after="0" w:line="27" w:lineRule="exact"/>
        <w:rPr>
          <w:sz w:val="20"/>
          <w:szCs w:val="20"/>
          <w:color w:val="auto"/>
        </w:rPr>
      </w:pPr>
    </w:p>
    <w:p>
      <w:pPr>
        <w:ind w:left="640"/>
        <w:spacing w:after="0"/>
        <w:tabs>
          <w:tab w:leader="none" w:pos="2060" w:val="left"/>
        </w:tabs>
        <w:rPr>
          <w:sz w:val="20"/>
          <w:szCs w:val="20"/>
          <w:color w:val="auto"/>
        </w:rPr>
      </w:pPr>
      <w:r>
        <w:rPr>
          <w:rFonts w:ascii="Arial" w:cs="Arial" w:eastAsia="Arial" w:hAnsi="Arial"/>
          <w:sz w:val="18"/>
          <w:szCs w:val="18"/>
          <w:color w:val="auto"/>
        </w:rPr>
        <w:t>convert into</w:t>
      </w:r>
      <w:r>
        <w:rPr>
          <w:sz w:val="20"/>
          <w:szCs w:val="20"/>
          <w:color w:val="auto"/>
        </w:rPr>
        <w:tab/>
      </w:r>
      <w:r>
        <w:rPr>
          <w:rFonts w:ascii="Arial" w:cs="Arial" w:eastAsia="Arial" w:hAnsi="Arial"/>
          <w:sz w:val="17"/>
          <w:szCs w:val="17"/>
          <w:color w:val="auto"/>
        </w:rPr>
        <w:t>shares of Class A common stock in connection with the closing of this offering pursuant to the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terms of our amended and restated certificate of incorporation, which we refer to as the Capital Stock Conversion;</w:t>
      </w:r>
    </w:p>
    <w:p>
      <w:pPr>
        <w:spacing w:after="0" w:line="153" w:lineRule="exact"/>
        <w:rPr>
          <w:sz w:val="20"/>
          <w:szCs w:val="20"/>
          <w:color w:val="auto"/>
        </w:rPr>
      </w:pPr>
    </w:p>
    <w:p>
      <w:pPr>
        <w:ind w:left="320"/>
        <w:spacing w:after="0"/>
        <w:tabs>
          <w:tab w:leader="none" w:pos="1060" w:val="left"/>
          <w:tab w:leader="none" w:pos="6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conversion of $</w:t>
      </w:r>
      <w:r>
        <w:rPr>
          <w:sz w:val="20"/>
          <w:szCs w:val="20"/>
          <w:color w:val="auto"/>
        </w:rPr>
        <w:tab/>
      </w:r>
      <w:r>
        <w:rPr>
          <w:rFonts w:ascii="Arial" w:cs="Arial" w:eastAsia="Arial" w:hAnsi="Arial"/>
          <w:sz w:val="17"/>
          <w:szCs w:val="17"/>
          <w:color w:val="auto"/>
        </w:rPr>
        <w:t>million aggregate principal amount of</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outstanding unsecured convertible notes due 2027, or the Convertible Notes, including accrued and unpaid</w:t>
      </w:r>
    </w:p>
    <w:p>
      <w:pPr>
        <w:spacing w:after="0" w:line="9" w:lineRule="exact"/>
        <w:rPr>
          <w:sz w:val="20"/>
          <w:szCs w:val="20"/>
          <w:color w:val="auto"/>
        </w:rPr>
      </w:pPr>
    </w:p>
    <w:p>
      <w:pPr>
        <w:ind w:left="640"/>
        <w:spacing w:after="0"/>
        <w:tabs>
          <w:tab w:leader="none" w:pos="4920" w:val="left"/>
        </w:tabs>
        <w:rPr>
          <w:sz w:val="20"/>
          <w:szCs w:val="20"/>
          <w:color w:val="auto"/>
        </w:rPr>
      </w:pPr>
      <w:r>
        <w:rPr>
          <w:rFonts w:ascii="Arial" w:cs="Arial" w:eastAsia="Arial" w:hAnsi="Arial"/>
          <w:sz w:val="18"/>
          <w:szCs w:val="18"/>
          <w:color w:val="auto"/>
        </w:rPr>
        <w:t>interest through an assumed conversion date of</w:t>
      </w:r>
      <w:r>
        <w:rPr>
          <w:sz w:val="20"/>
          <w:szCs w:val="20"/>
          <w:color w:val="auto"/>
        </w:rPr>
        <w:tab/>
      </w:r>
      <w:r>
        <w:rPr>
          <w:rFonts w:ascii="Arial" w:cs="Arial" w:eastAsia="Arial" w:hAnsi="Arial"/>
          <w:sz w:val="18"/>
          <w:szCs w:val="18"/>
          <w:color w:val="auto"/>
        </w:rPr>
        <w:t>, 2025, based upon the assumed initial public offering price of</w:t>
      </w:r>
    </w:p>
    <w:p>
      <w:pPr>
        <w:spacing w:after="0" w:line="9" w:lineRule="exact"/>
        <w:rPr>
          <w:sz w:val="20"/>
          <w:szCs w:val="20"/>
          <w:color w:val="auto"/>
        </w:rPr>
      </w:pPr>
    </w:p>
    <w:p>
      <w:pPr>
        <w:jc w:val="both"/>
        <w:ind w:left="640" w:right="20" w:firstLine="2"/>
        <w:spacing w:after="0" w:line="258" w:lineRule="auto"/>
        <w:tabs>
          <w:tab w:leader="none" w:pos="9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 share, which is the midpoint of the offering price range set forth on the cover page of this prospectus, which Convertible Notes will convert in connection with the closing of this offering pursuant to the terms of the Convertible Notes, which we refer to as the Note Conversion;</w:t>
      </w:r>
    </w:p>
    <w:p>
      <w:pPr>
        <w:spacing w:after="0" w:line="124" w:lineRule="exact"/>
        <w:rPr>
          <w:sz w:val="20"/>
          <w:szCs w:val="20"/>
          <w:color w:val="auto"/>
        </w:rPr>
      </w:pPr>
    </w:p>
    <w:p>
      <w:pPr>
        <w:ind w:left="320"/>
        <w:spacing w:after="0"/>
        <w:tabs>
          <w:tab w:leader="none" w:pos="1220" w:val="left"/>
          <w:tab w:leader="none" w:pos="6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conversion of $</w:t>
      </w:r>
      <w:r>
        <w:rPr>
          <w:sz w:val="20"/>
          <w:szCs w:val="20"/>
          <w:color w:val="auto"/>
        </w:rPr>
        <w:tab/>
      </w:r>
      <w:r>
        <w:rPr>
          <w:rFonts w:ascii="Arial" w:cs="Arial" w:eastAsia="Arial" w:hAnsi="Arial"/>
          <w:sz w:val="17"/>
          <w:szCs w:val="17"/>
          <w:color w:val="auto"/>
        </w:rPr>
        <w:t>million principal amount of our</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outstanding Simple Agreements for Future Equity, or the SAFEs, including accrued and unpaid interest through an</w:t>
      </w:r>
    </w:p>
    <w:p>
      <w:pPr>
        <w:spacing w:after="0" w:line="9" w:lineRule="exact"/>
        <w:rPr>
          <w:sz w:val="20"/>
          <w:szCs w:val="20"/>
          <w:color w:val="auto"/>
        </w:rPr>
      </w:pPr>
    </w:p>
    <w:p>
      <w:pPr>
        <w:ind w:left="640"/>
        <w:spacing w:after="0"/>
        <w:tabs>
          <w:tab w:leader="none" w:pos="3380" w:val="left"/>
        </w:tabs>
        <w:rPr>
          <w:sz w:val="20"/>
          <w:szCs w:val="20"/>
          <w:color w:val="auto"/>
        </w:rPr>
      </w:pPr>
      <w:r>
        <w:rPr>
          <w:rFonts w:ascii="Arial" w:cs="Arial" w:eastAsia="Arial" w:hAnsi="Arial"/>
          <w:sz w:val="18"/>
          <w:szCs w:val="18"/>
          <w:color w:val="auto"/>
        </w:rPr>
        <w:t>assumed conversion date of</w:t>
      </w:r>
      <w:r>
        <w:rPr>
          <w:sz w:val="20"/>
          <w:szCs w:val="20"/>
          <w:color w:val="auto"/>
        </w:rPr>
        <w:tab/>
      </w:r>
      <w:r>
        <w:rPr>
          <w:rFonts w:ascii="Arial" w:cs="Arial" w:eastAsia="Arial" w:hAnsi="Arial"/>
          <w:sz w:val="17"/>
          <w:szCs w:val="17"/>
          <w:color w:val="auto"/>
        </w:rPr>
        <w:t>, 2025, upon the closing of this offering, based upon the assumed initial public</w:t>
      </w:r>
    </w:p>
    <w:p>
      <w:pPr>
        <w:spacing w:after="0" w:line="9" w:lineRule="exact"/>
        <w:rPr>
          <w:sz w:val="20"/>
          <w:szCs w:val="20"/>
          <w:color w:val="auto"/>
        </w:rPr>
      </w:pPr>
    </w:p>
    <w:p>
      <w:pPr>
        <w:ind w:left="640" w:right="240"/>
        <w:spacing w:after="0" w:line="266" w:lineRule="auto"/>
        <w:rPr>
          <w:sz w:val="20"/>
          <w:szCs w:val="20"/>
          <w:color w:val="auto"/>
        </w:rPr>
      </w:pPr>
      <w:r>
        <w:rPr>
          <w:rFonts w:ascii="Arial" w:cs="Arial" w:eastAsia="Arial" w:hAnsi="Arial"/>
          <w:sz w:val="18"/>
          <w:szCs w:val="18"/>
          <w:color w:val="auto"/>
        </w:rPr>
        <w:t>offering price of $ per share, which is the midpoint of the offering price range set forth on the cover page of this prospectus, which we refer to as the SAFE Conversion;</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860"/>
          </w:cols>
          <w:pgMar w:left="1000" w:top="1440" w:right="103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1081405</wp:posOffset>
            </wp:positionV>
            <wp:extent cx="7136130" cy="5447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44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60" w:hanging="323"/>
        <w:spacing w:after="0" w:line="253" w:lineRule="auto"/>
        <w:tabs>
          <w:tab w:leader="none" w:pos="620" w:val="left"/>
        </w:tabs>
        <w:rPr>
          <w:sz w:val="20"/>
          <w:szCs w:val="20"/>
          <w:color w:val="auto"/>
        </w:rPr>
      </w:pPr>
      <w:r>
        <w:rPr>
          <w:rFonts w:ascii="Arial" w:cs="Arial" w:eastAsia="Arial" w:hAnsi="Arial"/>
          <w:sz w:val="18"/>
          <w:szCs w:val="18"/>
          <w:color w:val="auto"/>
        </w:rPr>
        <w:t>•</w:t>
        <w:tab/>
        <w:t>the net issuance of shares of Class A common stock in connection with the vesting and settlement of certain RSUs outstanding as of the date of this prospectus subject to service- based and/or performance-based conditions, for which (i) the service-based condition was fully or partially satisfied as of such date and (ii) the performance-based condition, if applicable, will be satisfied upon the effectiveness of the registration statement of which this prospectus forms a part, which we refer to as the IPO Vesting RSUs, after giving effect to the withholding of shares of our Class A common stock to satisfy the associated estimated tax withholding and remittance</w:t>
      </w:r>
    </w:p>
    <w:p>
      <w:pPr>
        <w:spacing w:after="0" w:line="5" w:lineRule="exact"/>
        <w:rPr>
          <w:sz w:val="20"/>
          <w:szCs w:val="20"/>
          <w:color w:val="auto"/>
        </w:rPr>
      </w:pPr>
    </w:p>
    <w:p>
      <w:pPr>
        <w:ind w:left="640" w:right="120"/>
        <w:spacing w:after="0" w:line="258" w:lineRule="auto"/>
        <w:rPr>
          <w:sz w:val="20"/>
          <w:szCs w:val="20"/>
          <w:color w:val="auto"/>
        </w:rPr>
      </w:pPr>
      <w:r>
        <w:rPr>
          <w:rFonts w:ascii="Arial" w:cs="Arial" w:eastAsia="Arial" w:hAnsi="Arial"/>
          <w:sz w:val="18"/>
          <w:szCs w:val="18"/>
          <w:color w:val="auto"/>
        </w:rPr>
        <w:t>obligations (based on the assumed initial public offering price of $ per share, the midpoint of the price range set forth on the cover page of this prospectus, and an assumed % tax withholding rate), which we refer to as the RSU Net Settlement;</w:t>
      </w:r>
    </w:p>
    <w:p>
      <w:pPr>
        <w:spacing w:after="0" w:line="124" w:lineRule="exact"/>
        <w:rPr>
          <w:sz w:val="20"/>
          <w:szCs w:val="20"/>
          <w:color w:val="auto"/>
        </w:rPr>
      </w:pPr>
    </w:p>
    <w:p>
      <w:pPr>
        <w:ind w:left="640" w:right="380" w:hanging="322"/>
        <w:spacing w:after="0" w:line="28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each of which will occur immediately prior to the completion of this offering;</w:t>
      </w:r>
    </w:p>
    <w:p>
      <w:pPr>
        <w:spacing w:after="0" w:line="98" w:lineRule="exact"/>
        <w:rPr>
          <w:rFonts w:ascii="Arial" w:cs="Arial" w:eastAsia="Arial" w:hAnsi="Arial"/>
          <w:sz w:val="18"/>
          <w:szCs w:val="18"/>
          <w:color w:val="auto"/>
        </w:rPr>
      </w:pPr>
    </w:p>
    <w:p>
      <w:pPr>
        <w:ind w:left="640" w:hanging="322"/>
        <w:spacing w:after="0" w:line="28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described above, no exercise of outstanding stock options or warrants or settlement of outstanding RSUs; and</w:t>
      </w:r>
    </w:p>
    <w:p>
      <w:pPr>
        <w:sectPr>
          <w:pgSz w:w="11900" w:h="16838" w:orient="portrait"/>
          <w:cols w:equalWidth="0" w:num="1">
            <w:col w:w="9860"/>
          </w:cols>
          <w:pgMar w:left="1000" w:top="1440" w:right="1039" w:bottom="1440" w:gutter="0" w:footer="0" w:header="0"/>
        </w:sectPr>
      </w:pP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hanging="4"/>
        <w:spacing w:after="0" w:line="287" w:lineRule="auto"/>
        <w:rPr>
          <w:sz w:val="20"/>
          <w:szCs w:val="20"/>
          <w:color w:val="auto"/>
        </w:rPr>
      </w:pPr>
      <w:r>
        <w:rPr>
          <w:rFonts w:ascii="Arial" w:cs="Arial" w:eastAsia="Arial" w:hAnsi="Arial"/>
          <w:sz w:val="18"/>
          <w:szCs w:val="18"/>
          <w:color w:val="auto"/>
        </w:rPr>
        <w:t>no exercise by the underwriters of their option to purchase this offering.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of our Class A common stock in</w:t>
      </w:r>
    </w:p>
    <w:p>
      <w:pPr>
        <w:spacing w:after="0" w:line="398" w:lineRule="exact"/>
        <w:rPr>
          <w:sz w:val="20"/>
          <w:szCs w:val="20"/>
          <w:color w:val="auto"/>
        </w:rPr>
      </w:pPr>
    </w:p>
    <w:p>
      <w:pPr>
        <w:sectPr>
          <w:pgSz w:w="11900" w:h="16838" w:orient="portrait"/>
          <w:cols w:equalWidth="0" w:num="3">
            <w:col w:w="380" w:space="260"/>
            <w:col w:w="4620" w:space="560"/>
            <w:col w:w="4040"/>
          </w:cols>
          <w:pgMar w:left="1000" w:top="1440" w:right="1039" w:bottom="1440" w:gutter="0" w:footer="0" w:header="0"/>
          <w:type w:val="continuous"/>
        </w:sectPr>
      </w:pPr>
    </w:p>
    <w:p>
      <w:pPr>
        <w:ind w:right="40" w:firstLine="324"/>
        <w:spacing w:after="0" w:line="268" w:lineRule="auto"/>
        <w:rPr>
          <w:sz w:val="20"/>
          <w:szCs w:val="20"/>
          <w:color w:val="auto"/>
        </w:rPr>
      </w:pPr>
      <w:r>
        <w:rPr>
          <w:rFonts w:ascii="Arial" w:cs="Arial" w:eastAsia="Arial" w:hAnsi="Arial"/>
          <w:sz w:val="17"/>
          <w:szCs w:val="17"/>
          <w:color w:val="auto"/>
        </w:rPr>
        <w:t>The assumed % tax withholding rate used in this prospectus is an assumed blended withholding rate for the IPO Vesting RSUs that are subject to withholding in the RSU Net Settlement. A portion of the IPO Vesting RSUs that will settle as part of the RSU Net Settlement are not subject to tax withholding obligations. The estimates in this prospectus relating to the RSU Net Settlement and related share withholding may differ from actual results due to, among other things, the actual initial public offering price and other terms of this offering determined at pricing, actual forfeitures through the date of this prospectus, and actual tax withholding rates. In addition, information in this prospectus relating to RSUs outstanding as of</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the date of this prospectus reflects estimated forfeitures through</w:t>
            </w:r>
          </w:p>
        </w:tc>
        <w:tc>
          <w:tcPr>
            <w:tcW w:w="800" w:type="dxa"/>
            <w:vAlign w:val="bottom"/>
          </w:tcPr>
          <w:p>
            <w:pPr>
              <w:jc w:val="right"/>
              <w:spacing w:after="0"/>
              <w:rPr>
                <w:sz w:val="20"/>
                <w:szCs w:val="20"/>
                <w:color w:val="auto"/>
              </w:rPr>
            </w:pPr>
            <w:r>
              <w:rPr>
                <w:rFonts w:ascii="Arial" w:cs="Arial" w:eastAsia="Arial" w:hAnsi="Arial"/>
                <w:sz w:val="18"/>
                <w:szCs w:val="18"/>
                <w:color w:val="auto"/>
              </w:rPr>
              <w:t>, 2025.</w:t>
            </w:r>
          </w:p>
        </w:tc>
      </w:tr>
    </w:tbl>
    <w:p>
      <w:pPr>
        <w:spacing w:after="0" w:line="121"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Additionally, pursuant to certain equity exchange agreements entered into between us and each co-founder, each co-founder has a right (but not an obligation) to require us to exchange, for shares of Class B common stock, any shares of Class A common stock received by him upon the exercise or settlement of equity awards for shares of Class A common stock, or the Equity Exchange Rights. The Equity Exchange Rights apply to equity awards granted to our co-founders prior</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to the effectiveness of the filing of our amended and restated certificate of incorporation. As of , 2025, there were shares of our Class A common stock subject to outstanding stock options to purchase shares of our Class A</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common stock held by our co-founders and that may be exchanged, upon exercise, for an equivalent number of shares of our Class B common stock following this offering pursuant to the Equity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860"/>
          </w:cols>
          <w:pgMar w:left="1000" w:top="1440" w:right="1039" w:bottom="1440" w:gutter="0" w:footer="0" w:header="0"/>
          <w:type w:val="continuous"/>
        </w:sectPr>
      </w:pPr>
    </w:p>
    <w:bookmarkStart w:id="24" w:name="page25"/>
    <w:bookmarkEnd w:id="24"/>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7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following tables summarize our consolidated financial and other data. We derived our summary consolidated statements of operations data for the fiscal years ended January 31, 2025 and 2024 (except for pro forma basic and diluted net loss per share attributable to common stockholders and weighted-average shares used in computing pro forma basic and diluted net loss per share attributable to common stockholders) and our summary consolidated balance sheet data as of January 31, 2025 from our audited consolidated financial statements included elsewhere in this prospectus. Our historical results are not necessarily indicative of the results to be expected in the future. You should read the following summary consolidated financial and other data in conjunction with the section titled “Management’s Discussion and Analysis of Financial Condition and Results of Operations,” and our consolidated financial statements, the accompanying notes, and other financial information included elsewhere in this prospectus. The summary consolidated financial and other data in this section are not intended to replace our consolidated financial statements and the related notes and are qualified in their entirety by our consolidated financial statements and the related notes included elsewhere in this prospectus. Our fiscal year end is January 31, and our fiscal quarters end on April 30, July 31, October 31, and January 31. Our fiscal years ended January 31, 2025 and 2024 are referred to herein as fiscal 2025 and fiscal 2024,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7"/>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160" w:type="dxa"/>
            <w:vAlign w:val="bottom"/>
          </w:tcPr>
          <w:p>
            <w:pPr>
              <w:spacing w:after="0"/>
              <w:rPr>
                <w:sz w:val="12"/>
                <w:szCs w:val="12"/>
                <w:color w:val="auto"/>
              </w:rPr>
            </w:pPr>
          </w:p>
        </w:tc>
        <w:tc>
          <w:tcPr>
            <w:tcW w:w="3100" w:type="dxa"/>
            <w:vAlign w:val="bottom"/>
            <w:gridSpan w:val="4"/>
          </w:tcPr>
          <w:p>
            <w:pPr>
              <w:jc w:val="right"/>
              <w:ind w:right="91"/>
              <w:spacing w:after="0" w:line="147" w:lineRule="exact"/>
              <w:rPr>
                <w:sz w:val="20"/>
                <w:szCs w:val="20"/>
                <w:color w:val="auto"/>
              </w:rPr>
            </w:pPr>
            <w:r>
              <w:rPr>
                <w:rFonts w:ascii="Arial" w:cs="Arial" w:eastAsia="Arial" w:hAnsi="Arial"/>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85"/>
        </w:trPr>
        <w:tc>
          <w:tcPr>
            <w:tcW w:w="7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data)</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132,442</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220,511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485,976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(loss) on fair value adjustments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23"/>
                <w:szCs w:val="23"/>
                <w:color w:val="auto"/>
                <w:vertAlign w:val="superscript"/>
              </w:rPr>
              <w:t>(2)</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shares outstanding used to compute net loss per share attributable to common</w:t>
            </w:r>
          </w:p>
        </w:tc>
        <w:tc>
          <w:tcPr>
            <w:tcW w:w="1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135,818,454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133,754,772</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Includes stock-based compensation expense as follows:</w:t>
      </w:r>
    </w:p>
    <w:p>
      <w:pPr>
        <w:spacing w:after="0" w:line="48"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7300" w:type="dxa"/>
            <w:vAlign w:val="bottom"/>
          </w:tcPr>
          <w:p>
            <w:pPr>
              <w:spacing w:after="0"/>
              <w:rPr>
                <w:sz w:val="17"/>
                <w:szCs w:val="17"/>
                <w:color w:val="auto"/>
              </w:rPr>
            </w:pPr>
          </w:p>
        </w:tc>
        <w:tc>
          <w:tcPr>
            <w:tcW w:w="25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7"/>
                <w:szCs w:val="17"/>
                <w:color w:val="auto"/>
              </w:rPr>
            </w:pPr>
          </w:p>
        </w:tc>
      </w:tr>
      <w:tr>
        <w:trPr>
          <w:trHeight w:val="196"/>
        </w:trPr>
        <w:tc>
          <w:tcPr>
            <w:tcW w:w="73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196"/>
        </w:trPr>
        <w:tc>
          <w:tcPr>
            <w:tcW w:w="7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w:t>
            </w: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30,408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27,039</w:t>
            </w: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15,872</w:t>
            </w:r>
          </w:p>
        </w:tc>
      </w:tr>
      <w:tr>
        <w:trPr>
          <w:trHeight w:val="21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24,919</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28,189</w:t>
            </w:r>
          </w:p>
        </w:tc>
      </w:tr>
      <w:tr>
        <w:trPr>
          <w:trHeight w:val="210"/>
        </w:trPr>
        <w:tc>
          <w:tcPr>
            <w:tcW w:w="7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 net of amounts capitalized</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76,981</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75,851</w:t>
            </w:r>
          </w:p>
        </w:tc>
      </w:tr>
      <w:tr>
        <w:trPr>
          <w:trHeight w:val="20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Capitalized stock-based compensation</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r>
      <w:tr>
        <w:trPr>
          <w:trHeight w:val="234"/>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stock-based compensation cost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79,300</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76,981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80" w:hanging="332"/>
        <w:spacing w:after="0" w:line="304"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Notes 1 and 15 to our consolidated financial statements included elsewhere in this prospectus for an explanation of the calculations of our net loss per share attributable to common stockholders, basic and diluted.</w:t>
      </w:r>
    </w:p>
    <w:p>
      <w:pPr>
        <w:spacing w:after="0" w:line="83"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The following table sets forth the computation of unaudited pro forma basic and diluted net loss per share attributable to common stockholders for the period presented:</w:t>
      </w:r>
    </w:p>
    <w:p>
      <w:pPr>
        <w:spacing w:after="0" w:line="149"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Year Ended January</w:t>
      </w:r>
    </w:p>
    <w:p>
      <w:pPr>
        <w:spacing w:after="0" w:line="2"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6350</wp:posOffset>
            </wp:positionV>
            <wp:extent cx="994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8"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(in thousands, except</w:t>
      </w:r>
    </w:p>
    <w:p>
      <w:pPr>
        <w:jc w:val="center"/>
        <w:ind w:left="9660"/>
        <w:spacing w:after="0" w:line="223" w:lineRule="auto"/>
        <w:rPr>
          <w:sz w:val="20"/>
          <w:szCs w:val="20"/>
          <w:color w:val="auto"/>
        </w:rPr>
      </w:pPr>
      <w:r>
        <w:rPr>
          <w:rFonts w:ascii="Arial" w:cs="Arial" w:eastAsia="Arial" w:hAnsi="Arial"/>
          <w:sz w:val="14"/>
          <w:szCs w:val="14"/>
          <w:b w:val="1"/>
          <w:bCs w:val="1"/>
          <w:color w:val="auto"/>
        </w:rPr>
        <w:t>share and per share</w:t>
      </w:r>
    </w:p>
    <w:p>
      <w:pPr>
        <w:jc w:val="center"/>
        <w:ind w:left="9660"/>
        <w:spacing w:after="0"/>
        <w:rPr>
          <w:sz w:val="20"/>
          <w:szCs w:val="20"/>
          <w:color w:val="auto"/>
        </w:rPr>
      </w:pPr>
      <w:r>
        <w:rPr>
          <w:rFonts w:ascii="Arial" w:cs="Arial" w:eastAsia="Arial" w:hAnsi="Arial"/>
          <w:sz w:val="14"/>
          <w:szCs w:val="14"/>
          <w:b w:val="1"/>
          <w:bCs w:val="1"/>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15" w:lineRule="exact"/>
        <w:rPr>
          <w:sz w:val="20"/>
          <w:szCs w:val="20"/>
          <w:color w:val="auto"/>
        </w:rPr>
      </w:pPr>
    </w:p>
    <w:p>
      <w:pPr>
        <w:ind w:left="240"/>
        <w:spacing w:after="0"/>
        <w:tabs>
          <w:tab w:leader="none" w:pos="9680" w:val="left"/>
        </w:tabs>
        <w:rPr>
          <w:sz w:val="20"/>
          <w:szCs w:val="20"/>
          <w:color w:val="auto"/>
        </w:rPr>
      </w:pPr>
      <w:r>
        <w:rPr>
          <w:rFonts w:ascii="Arial" w:cs="Arial" w:eastAsia="Arial" w:hAnsi="Arial"/>
          <w:sz w:val="18"/>
          <w:szCs w:val="18"/>
          <w:color w:val="auto"/>
        </w:rPr>
        <w:t>Net loss attributable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 w:lineRule="exact"/>
        <w:rPr>
          <w:sz w:val="20"/>
          <w:szCs w:val="20"/>
          <w:color w:val="auto"/>
        </w:rPr>
      </w:pPr>
    </w:p>
    <w:p>
      <w:pPr>
        <w:ind w:left="400" w:right="1640" w:hanging="161"/>
        <w:spacing w:after="0" w:line="242" w:lineRule="auto"/>
        <w:rPr>
          <w:sz w:val="20"/>
          <w:szCs w:val="20"/>
          <w:color w:val="auto"/>
        </w:rPr>
      </w:pPr>
      <w:r>
        <w:rPr>
          <w:rFonts w:ascii="Arial" w:cs="Arial" w:eastAsia="Arial" w:hAnsi="Arial"/>
          <w:sz w:val="18"/>
          <w:szCs w:val="18"/>
          <w:color w:val="auto"/>
        </w:rPr>
        <w:t>Pro forma adjustment to record stock-based compensation expense related to RSUs for which the service-based and performance-based vesting conditions will be satisfied in connection with this offering</w:t>
      </w:r>
    </w:p>
    <w:p>
      <w:pPr>
        <w:spacing w:after="0" w:line="1" w:lineRule="exact"/>
        <w:rPr>
          <w:sz w:val="20"/>
          <w:szCs w:val="20"/>
          <w:color w:val="auto"/>
        </w:rPr>
      </w:pPr>
    </w:p>
    <w:p>
      <w:pPr>
        <w:ind w:left="240"/>
        <w:spacing w:after="0"/>
        <w:tabs>
          <w:tab w:leader="none" w:pos="9680" w:val="left"/>
        </w:tabs>
        <w:rPr>
          <w:sz w:val="20"/>
          <w:szCs w:val="20"/>
          <w:color w:val="auto"/>
        </w:rPr>
      </w:pPr>
      <w:r>
        <w:rPr>
          <w:rFonts w:ascii="Arial" w:cs="Arial" w:eastAsia="Arial" w:hAnsi="Arial"/>
          <w:sz w:val="18"/>
          <w:szCs w:val="18"/>
          <w:color w:val="auto"/>
        </w:rPr>
        <w:t>Pro forma net loss attributable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400" w:right="1600" w:hanging="161"/>
        <w:spacing w:after="0" w:line="242" w:lineRule="auto"/>
        <w:rPr>
          <w:sz w:val="20"/>
          <w:szCs w:val="20"/>
          <w:color w:val="auto"/>
        </w:rPr>
      </w:pPr>
      <w:r>
        <w:rPr>
          <w:rFonts w:ascii="Arial" w:cs="Arial" w:eastAsia="Arial" w:hAnsi="Arial"/>
          <w:sz w:val="18"/>
          <w:szCs w:val="18"/>
          <w:color w:val="auto"/>
        </w:rPr>
        <w:t>Weighted-average shares outstanding used to compute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6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400" w:right="1560" w:hanging="161"/>
        <w:spacing w:after="0" w:line="242" w:lineRule="auto"/>
        <w:rPr>
          <w:sz w:val="20"/>
          <w:szCs w:val="20"/>
          <w:color w:val="auto"/>
        </w:rPr>
      </w:pPr>
      <w:r>
        <w:rPr>
          <w:rFonts w:ascii="Arial" w:cs="Arial" w:eastAsia="Arial" w:hAnsi="Arial"/>
          <w:sz w:val="18"/>
          <w:szCs w:val="18"/>
          <w:color w:val="auto"/>
        </w:rPr>
        <w:t>Pro forma adjustment to reflect the Capital Stock Conversion as though the conversion had occurred as of February 1, 2024</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 forma adjustment to reflect the RSU Net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 forma adjustment to reflect the Note Conversion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 forma adjustment to reflect the SAFE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400" w:right="2260" w:hanging="161"/>
        <w:spacing w:after="0" w:line="242" w:lineRule="auto"/>
        <w:rPr>
          <w:sz w:val="20"/>
          <w:szCs w:val="20"/>
          <w:color w:val="auto"/>
        </w:rPr>
      </w:pPr>
      <w:r>
        <w:rPr>
          <w:rFonts w:ascii="Arial" w:cs="Arial" w:eastAsia="Arial" w:hAnsi="Arial"/>
          <w:sz w:val="18"/>
          <w:szCs w:val="18"/>
          <w:color w:val="auto"/>
        </w:rPr>
        <w:t>Weighted-average shares outstanding used to compute, pro forma, net loss per share attributable to common stockholders, basic and diluted</w:t>
      </w:r>
    </w:p>
    <w:p>
      <w:pPr>
        <w:spacing w:after="0" w:line="1" w:lineRule="exact"/>
        <w:rPr>
          <w:sz w:val="20"/>
          <w:szCs w:val="20"/>
          <w:color w:val="auto"/>
        </w:rPr>
      </w:pPr>
    </w:p>
    <w:p>
      <w:pPr>
        <w:ind w:left="20"/>
        <w:spacing w:after="0"/>
        <w:tabs>
          <w:tab w:leader="none" w:pos="9680" w:val="left"/>
        </w:tabs>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7"/>
          <w:szCs w:val="17"/>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  Basic and diluted pro forma net loss per share attributable to common stockholders for the year ended January 31, 2025, gives effect to (i) the Capital</w:t>
      </w:r>
    </w:p>
    <w:p>
      <w:pPr>
        <w:spacing w:after="0" w:line="15" w:lineRule="exact"/>
        <w:rPr>
          <w:sz w:val="20"/>
          <w:szCs w:val="20"/>
          <w:color w:val="auto"/>
        </w:rPr>
      </w:pPr>
    </w:p>
    <w:p>
      <w:pPr>
        <w:ind w:left="340"/>
        <w:spacing w:after="0"/>
        <w:tabs>
          <w:tab w:leader="none" w:pos="10600" w:val="left"/>
        </w:tabs>
        <w:rPr>
          <w:sz w:val="20"/>
          <w:szCs w:val="20"/>
          <w:color w:val="auto"/>
        </w:rPr>
      </w:pPr>
      <w:r>
        <w:rPr>
          <w:rFonts w:ascii="Arial" w:cs="Arial" w:eastAsia="Arial" w:hAnsi="Arial"/>
          <w:sz w:val="16"/>
          <w:szCs w:val="16"/>
          <w:color w:val="auto"/>
        </w:rPr>
        <w:t>Stock Conversion as though the conversion had occurred as of the beginning of the period, (ii) the Class B Conversion, (iii) the issuance of</w:t>
      </w:r>
      <w:r>
        <w:rPr>
          <w:sz w:val="20"/>
          <w:szCs w:val="20"/>
          <w:color w:val="auto"/>
        </w:rPr>
        <w:tab/>
      </w:r>
      <w:r>
        <w:rPr>
          <w:rFonts w:ascii="Arial" w:cs="Arial" w:eastAsia="Arial" w:hAnsi="Arial"/>
          <w:sz w:val="15"/>
          <w:szCs w:val="15"/>
          <w:color w:val="auto"/>
        </w:rPr>
        <w:t>shares</w:t>
      </w:r>
    </w:p>
    <w:p>
      <w:pPr>
        <w:spacing w:after="0" w:line="9" w:lineRule="exact"/>
        <w:rPr>
          <w:sz w:val="20"/>
          <w:szCs w:val="20"/>
          <w:color w:val="auto"/>
        </w:rPr>
      </w:pPr>
    </w:p>
    <w:p>
      <w:pPr>
        <w:ind w:left="340"/>
        <w:spacing w:after="0"/>
        <w:tabs>
          <w:tab w:leader="none" w:pos="6880" w:val="left"/>
        </w:tabs>
        <w:rPr>
          <w:sz w:val="20"/>
          <w:szCs w:val="20"/>
          <w:color w:val="auto"/>
        </w:rPr>
      </w:pPr>
      <w:r>
        <w:rPr>
          <w:rFonts w:ascii="Arial" w:cs="Arial" w:eastAsia="Arial" w:hAnsi="Arial"/>
          <w:sz w:val="16"/>
          <w:szCs w:val="16"/>
          <w:color w:val="auto"/>
        </w:rPr>
        <w:t>of Class A common stock in connection with the RSU Net Settlement, after withholding</w:t>
      </w:r>
      <w:r>
        <w:rPr>
          <w:sz w:val="20"/>
          <w:szCs w:val="20"/>
          <w:color w:val="auto"/>
        </w:rPr>
        <w:tab/>
      </w:r>
      <w:r>
        <w:rPr>
          <w:rFonts w:ascii="Arial" w:cs="Arial" w:eastAsia="Arial" w:hAnsi="Arial"/>
          <w:sz w:val="16"/>
          <w:szCs w:val="16"/>
          <w:color w:val="auto"/>
        </w:rPr>
        <w:t>shares to satisfy the estimated tax withholding and</w:t>
      </w:r>
    </w:p>
    <w:p>
      <w:pPr>
        <w:spacing w:after="0" w:line="5" w:lineRule="exact"/>
        <w:rPr>
          <w:sz w:val="20"/>
          <w:szCs w:val="20"/>
          <w:color w:val="auto"/>
        </w:rPr>
      </w:pPr>
    </w:p>
    <w:p>
      <w:pPr>
        <w:ind w:left="340"/>
        <w:spacing w:after="0"/>
        <w:tabs>
          <w:tab w:leader="none" w:pos="6520" w:val="left"/>
        </w:tabs>
        <w:rPr>
          <w:sz w:val="20"/>
          <w:szCs w:val="20"/>
          <w:color w:val="auto"/>
        </w:rPr>
      </w:pPr>
      <w:r>
        <w:rPr>
          <w:rFonts w:ascii="Arial" w:cs="Arial" w:eastAsia="Arial" w:hAnsi="Arial"/>
          <w:sz w:val="16"/>
          <w:szCs w:val="16"/>
          <w:color w:val="auto"/>
        </w:rPr>
        <w:t>remittance obligations of $ million (based on the assumed initial offering price of $</w:t>
      </w:r>
      <w:r>
        <w:rPr>
          <w:sz w:val="20"/>
          <w:szCs w:val="20"/>
          <w:color w:val="auto"/>
        </w:rPr>
        <w:tab/>
      </w:r>
      <w:r>
        <w:rPr>
          <w:rFonts w:ascii="Arial" w:cs="Arial" w:eastAsia="Arial" w:hAnsi="Arial"/>
          <w:sz w:val="16"/>
          <w:szCs w:val="16"/>
          <w:color w:val="auto"/>
        </w:rPr>
        <w:t>per share, which is the midpoint of the offering price range set</w:t>
      </w:r>
    </w:p>
    <w:p>
      <w:pPr>
        <w:sectPr>
          <w:pgSz w:w="11900" w:h="16838" w:orient="portrait"/>
          <w:cols w:equalWidth="0" w:num="1">
            <w:col w:w="11200"/>
          </w:cols>
          <w:pgMar w:left="320" w:top="1440" w:right="379" w:bottom="1440" w:gutter="0" w:footer="0" w:header="0"/>
        </w:sectPr>
      </w:pPr>
    </w:p>
    <w:p>
      <w:pPr>
        <w:spacing w:after="0" w:line="15" w:lineRule="exact"/>
        <w:rPr>
          <w:sz w:val="20"/>
          <w:szCs w:val="20"/>
          <w:color w:val="auto"/>
        </w:rPr>
      </w:pPr>
    </w:p>
    <w:p>
      <w:pPr>
        <w:ind w:left="340"/>
        <w:spacing w:after="0" w:line="270" w:lineRule="auto"/>
        <w:rPr>
          <w:sz w:val="20"/>
          <w:szCs w:val="20"/>
          <w:color w:val="auto"/>
        </w:rPr>
      </w:pPr>
      <w:r>
        <w:rPr>
          <w:rFonts w:ascii="Arial" w:cs="Arial" w:eastAsia="Arial" w:hAnsi="Arial"/>
          <w:sz w:val="16"/>
          <w:szCs w:val="16"/>
          <w:color w:val="auto"/>
        </w:rPr>
        <w:t>forth on the cover page of this prospectus, and an assumed the SAFE 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tax withholding rate), (iv) the RSU Net Settlement, (v) the Note Conversion, and (vi)</w:t>
      </w:r>
    </w:p>
    <w:p>
      <w:pPr>
        <w:spacing w:after="0" w:line="429" w:lineRule="exact"/>
        <w:rPr>
          <w:sz w:val="20"/>
          <w:szCs w:val="20"/>
          <w:color w:val="auto"/>
        </w:rPr>
      </w:pPr>
    </w:p>
    <w:p>
      <w:pPr>
        <w:sectPr>
          <w:pgSz w:w="11900" w:h="16838" w:orient="portrait"/>
          <w:cols w:equalWidth="0" w:num="2">
            <w:col w:w="4600" w:space="360"/>
            <w:col w:w="624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00"/>
          </w:cols>
          <w:pgMar w:left="320" w:top="1440" w:right="379" w:bottom="1440" w:gutter="0" w:footer="0" w:header="0"/>
          <w:type w:val="continuous"/>
        </w:sectPr>
      </w:pPr>
    </w:p>
    <w:bookmarkStart w:id="26" w:name="page27"/>
    <w:bookmarkEnd w:id="26"/>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As of January 31, 2025</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Actual</w:t>
            </w:r>
          </w:p>
        </w:tc>
        <w:tc>
          <w:tcPr>
            <w:tcW w:w="180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9"/>
              </w:rPr>
              <w:t>Pro Forma</w:t>
            </w:r>
            <w:r>
              <w:rPr>
                <w:rFonts w:ascii="Arial" w:cs="Arial" w:eastAsia="Arial" w:hAnsi="Arial"/>
                <w:sz w:val="18"/>
                <w:szCs w:val="18"/>
                <w:b w:val="1"/>
                <w:bCs w:val="1"/>
                <w:color w:val="auto"/>
                <w:w w:val="99"/>
                <w:vertAlign w:val="superscript"/>
              </w:rPr>
              <w:t>(1)</w:t>
            </w:r>
          </w:p>
        </w:tc>
        <w:tc>
          <w:tcPr>
            <w:tcW w:w="1480" w:type="dxa"/>
            <w:vAlign w:val="bottom"/>
          </w:tcPr>
          <w:p>
            <w:pPr>
              <w:jc w:val="center"/>
              <w:ind w:right="2"/>
              <w:spacing w:after="0" w:line="145"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01"/>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tcPr>
          <w:p>
            <w:pPr>
              <w:jc w:val="center"/>
              <w:ind w:right="2"/>
              <w:spacing w:after="0" w:line="201" w:lineRule="exact"/>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8"/>
                <w:szCs w:val="18"/>
                <w:b w:val="1"/>
                <w:bCs w:val="1"/>
                <w:color w:val="auto"/>
                <w:w w:val="95"/>
                <w:vertAlign w:val="superscript"/>
              </w:rPr>
              <w:t>(2)(3)</w:t>
            </w:r>
          </w:p>
        </w:tc>
        <w:tc>
          <w:tcPr>
            <w:tcW w:w="0" w:type="dxa"/>
            <w:vAlign w:val="bottom"/>
          </w:tcPr>
          <w:p>
            <w:pPr>
              <w:spacing w:after="0"/>
              <w:rPr>
                <w:sz w:val="1"/>
                <w:szCs w:val="1"/>
                <w:color w:val="auto"/>
              </w:rPr>
            </w:pPr>
          </w:p>
        </w:tc>
      </w:tr>
      <w:tr>
        <w:trPr>
          <w:trHeight w:val="195"/>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Balance Sheet Data:</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jc w:val="center"/>
              <w:ind w:right="64"/>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157,672</w:t>
            </w:r>
          </w:p>
        </w:tc>
        <w:tc>
          <w:tcPr>
            <w:tcW w:w="1800" w:type="dxa"/>
            <w:vAlign w:val="bottom"/>
            <w:shd w:val="clear" w:color="auto" w:fill="CCEEFF"/>
          </w:tcPr>
          <w:p>
            <w:pPr>
              <w:jc w:val="right"/>
              <w:ind w:right="1064"/>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148,157</w:t>
            </w:r>
          </w:p>
        </w:tc>
        <w:tc>
          <w:tcPr>
            <w:tcW w:w="1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242,826</w:t>
            </w:r>
          </w:p>
        </w:tc>
        <w:tc>
          <w:tcPr>
            <w:tcW w:w="18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1,083,954</w:t>
            </w:r>
          </w:p>
        </w:tc>
        <w:tc>
          <w:tcPr>
            <w:tcW w:w="1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397,026</w:t>
            </w:r>
          </w:p>
        </w:tc>
        <w:tc>
          <w:tcPr>
            <w:tcW w:w="18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Other non-current liabilities</w:t>
            </w:r>
            <w:r>
              <w:rPr>
                <w:rFonts w:ascii="Arial" w:cs="Arial" w:eastAsia="Arial" w:hAnsi="Arial"/>
                <w:sz w:val="23"/>
                <w:szCs w:val="23"/>
                <w:color w:val="auto"/>
                <w:vertAlign w:val="superscript"/>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22,949</w:t>
            </w:r>
          </w:p>
        </w:tc>
        <w:tc>
          <w:tcPr>
            <w:tcW w:w="1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969,732</w:t>
            </w:r>
          </w:p>
        </w:tc>
        <w:tc>
          <w:tcPr>
            <w:tcW w:w="18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1,301,121</w:t>
            </w:r>
          </w:p>
        </w:tc>
        <w:tc>
          <w:tcPr>
            <w:tcW w:w="1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(1,617,113)</w:t>
            </w:r>
          </w:p>
        </w:tc>
        <w:tc>
          <w:tcPr>
            <w:tcW w:w="18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4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(1,186,899)</w:t>
            </w:r>
          </w:p>
        </w:tc>
        <w:tc>
          <w:tcPr>
            <w:tcW w:w="1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300" w:hanging="332"/>
        <w:spacing w:after="0" w:line="252"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 forma column above reflects (i) the Capital Stock Conversion, (ii) the automatic conversion of the redeemable convertible preferred stock warrant to a Class A common stock warrant, and the resulting remeasurement and assumed reclassification of the redeemable convertible preferred stock warrant liability to additional paid-in capital, (iii) the Note Conversion, (iv) the SAFE Conversion, (v) stock-based compensation expense of</w:t>
      </w:r>
    </w:p>
    <w:p>
      <w:pPr>
        <w:ind w:left="340" w:right="100"/>
        <w:spacing w:after="0" w:line="255" w:lineRule="auto"/>
        <w:rPr>
          <w:rFonts w:ascii="Arial" w:cs="Arial" w:eastAsia="Arial" w:hAnsi="Arial"/>
          <w:sz w:val="16"/>
          <w:szCs w:val="16"/>
          <w:color w:val="auto"/>
        </w:rPr>
      </w:pPr>
      <w:r>
        <w:rPr>
          <w:rFonts w:ascii="Arial" w:cs="Arial" w:eastAsia="Arial" w:hAnsi="Arial"/>
          <w:sz w:val="16"/>
          <w:szCs w:val="16"/>
          <w:color w:val="auto"/>
        </w:rPr>
        <w:t>$ million related to RSUs subject to the RSU Net Settlement, reflected as an increase to additional paid-in capital and accumulated deficit, as further described in Note 10, “Equity Incentive Plan” of our consolidated financial statements included elsewhere in this prospectus, (vi) the net issuance of</w:t>
      </w:r>
    </w:p>
    <w:p>
      <w:pPr>
        <w:spacing w:after="0" w:line="1" w:lineRule="exact"/>
        <w:rPr>
          <w:sz w:val="20"/>
          <w:szCs w:val="20"/>
          <w:color w:val="auto"/>
        </w:rPr>
      </w:pPr>
    </w:p>
    <w:p>
      <w:pPr>
        <w:ind w:left="340" w:right="100"/>
        <w:spacing w:after="0" w:line="254" w:lineRule="auto"/>
        <w:rPr>
          <w:sz w:val="20"/>
          <w:szCs w:val="20"/>
          <w:color w:val="auto"/>
        </w:rPr>
      </w:pPr>
      <w:r>
        <w:rPr>
          <w:rFonts w:ascii="Arial" w:cs="Arial" w:eastAsia="Arial" w:hAnsi="Arial"/>
          <w:sz w:val="16"/>
          <w:szCs w:val="16"/>
          <w:color w:val="auto"/>
        </w:rPr>
        <w:t>shares of Class A common stock in connection with the RSU Net Settlement, after withholding shares to satisfy estimated tax withholding and remittance obligations of $ million (based on the assumed initial public offering price of $ per share, the midpoint of the price range set forth on the cover page of this prospectus, and an assumed % tax withholding rate), (vii) the $ million increase in liabilities and corresponding decrease in additional paid-in capital resulting from the share withholding for the tax withholding and remittance obligations related to the RSU Net Settlement, and</w:t>
      </w:r>
    </w:p>
    <w:p>
      <w:pPr>
        <w:ind w:left="340"/>
        <w:spacing w:after="0"/>
        <w:rPr>
          <w:sz w:val="20"/>
          <w:szCs w:val="20"/>
          <w:color w:val="auto"/>
        </w:rPr>
      </w:pPr>
      <w:r>
        <w:rPr>
          <w:rFonts w:ascii="Arial" w:cs="Arial" w:eastAsia="Arial" w:hAnsi="Arial"/>
          <w:sz w:val="16"/>
          <w:szCs w:val="16"/>
          <w:color w:val="auto"/>
        </w:rPr>
        <w:t>(viii) the filing and effectiveness of our amended and restated certificate of incorporation, which will occur immediately prior to the closing of this offering.</w:t>
      </w:r>
    </w:p>
    <w:p>
      <w:pPr>
        <w:spacing w:after="0" w:line="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pro forma as adjusted column above gives effect to (i) the pro forma adjustments set forth above and (ii) the sale and issuance by us of shares of</w:t>
      </w:r>
    </w:p>
    <w:p>
      <w:pPr>
        <w:spacing w:after="0" w:line="5" w:lineRule="exact"/>
        <w:rPr>
          <w:sz w:val="20"/>
          <w:szCs w:val="20"/>
          <w:color w:val="auto"/>
        </w:rPr>
      </w:pPr>
    </w:p>
    <w:p>
      <w:pPr>
        <w:ind w:left="340"/>
        <w:spacing w:after="0"/>
        <w:tabs>
          <w:tab w:leader="none" w:pos="7600" w:val="left"/>
        </w:tabs>
        <w:rPr>
          <w:sz w:val="20"/>
          <w:szCs w:val="20"/>
          <w:color w:val="auto"/>
        </w:rPr>
      </w:pPr>
      <w:r>
        <w:rPr>
          <w:rFonts w:ascii="Arial" w:cs="Arial" w:eastAsia="Arial" w:hAnsi="Arial"/>
          <w:sz w:val="16"/>
          <w:szCs w:val="16"/>
          <w:color w:val="auto"/>
        </w:rPr>
        <w:t>our Class A common stock in this offering, based upon the assumed initial public offering price of $</w:t>
        <w:tab/>
        <w:t>per share, which is the midpoint of the offering</w:t>
      </w:r>
    </w:p>
    <w:p>
      <w:pPr>
        <w:spacing w:after="0" w:line="15" w:lineRule="exact"/>
        <w:rPr>
          <w:sz w:val="20"/>
          <w:szCs w:val="20"/>
          <w:color w:val="auto"/>
        </w:rPr>
      </w:pPr>
    </w:p>
    <w:p>
      <w:pPr>
        <w:ind w:left="340" w:right="240"/>
        <w:spacing w:after="0" w:line="252" w:lineRule="auto"/>
        <w:rPr>
          <w:sz w:val="20"/>
          <w:szCs w:val="20"/>
          <w:color w:val="auto"/>
        </w:rPr>
      </w:pPr>
      <w:r>
        <w:rPr>
          <w:rFonts w:ascii="Arial" w:cs="Arial" w:eastAsia="Arial" w:hAnsi="Arial"/>
          <w:sz w:val="16"/>
          <w:szCs w:val="16"/>
          <w:color w:val="auto"/>
        </w:rPr>
        <w:t>price range set forth on the cover page of this prospectus and our receipt of $ million in estimated net proceeds from the offering, and after deducting underwriting discounts and commissions and estimated offering expenses, and (iii) the use of net proceeds from this offering, together with existing cash and cash equivalents, if necessary, to (A) satisfy the estimated tax withholding and remittance obligations reflected in the pro forma adjustments described in the preceding footnote and (B) repay $ million in outstanding loans under and terminate the Vista Facility.</w:t>
      </w:r>
    </w:p>
    <w:p>
      <w:pPr>
        <w:spacing w:after="0" w:line="1" w:lineRule="exact"/>
        <w:rPr>
          <w:sz w:val="20"/>
          <w:szCs w:val="20"/>
          <w:color w:val="auto"/>
        </w:rPr>
      </w:pPr>
    </w:p>
    <w:p>
      <w:pPr>
        <w:jc w:val="right"/>
        <w:ind w:right="40"/>
        <w:spacing w:after="0" w:line="255" w:lineRule="auto"/>
        <w:rPr>
          <w:sz w:val="20"/>
          <w:szCs w:val="20"/>
          <w:color w:val="auto"/>
        </w:rPr>
      </w:pPr>
      <w:r>
        <w:rPr>
          <w:rFonts w:ascii="Arial" w:cs="Arial" w:eastAsia="Arial" w:hAnsi="Arial"/>
          <w:sz w:val="16"/>
          <w:szCs w:val="16"/>
          <w:color w:val="auto"/>
        </w:rPr>
        <w:t>(3)  Each $1.00 increase (decrease) in the assumed initial public offering price of $   per share, which is the midpoint of the offering price range set forth on the cover page of this prospectus, would increase (decrease) the amount of our pro forma as adjusted cash and cash equivalents, working capital, total</w:t>
      </w:r>
    </w:p>
    <w:p>
      <w:pPr>
        <w:spacing w:after="0" w:line="1" w:lineRule="exact"/>
        <w:rPr>
          <w:sz w:val="20"/>
          <w:szCs w:val="20"/>
          <w:color w:val="auto"/>
        </w:rPr>
      </w:pPr>
    </w:p>
    <w:p>
      <w:pPr>
        <w:jc w:val="both"/>
        <w:ind w:left="340" w:right="80"/>
        <w:spacing w:after="0" w:line="252" w:lineRule="auto"/>
        <w:rPr>
          <w:sz w:val="20"/>
          <w:szCs w:val="20"/>
          <w:color w:val="auto"/>
        </w:rPr>
      </w:pPr>
      <w:r>
        <w:rPr>
          <w:rFonts w:ascii="Arial" w:cs="Arial" w:eastAsia="Arial" w:hAnsi="Arial"/>
          <w:sz w:val="16"/>
          <w:szCs w:val="16"/>
          <w:color w:val="auto"/>
        </w:rPr>
        <w:t>assets, and total stockholders’ (deficit) equity by $ million, assuming that the number of shares of our Class A common stock offered, as set forth on the cover page of this prospectus, remains the same, after deducting underwriting discounts and commissions. An increase (decrease) of 1.0 million shares in the number of shares offered by us would increase (decrease), as applicable, the amount of our pro forma as adjusted cash and cash</w:t>
      </w:r>
    </w:p>
    <w:p>
      <w:pPr>
        <w:spacing w:after="0" w:line="1" w:lineRule="exact"/>
        <w:rPr>
          <w:sz w:val="20"/>
          <w:szCs w:val="20"/>
          <w:color w:val="auto"/>
        </w:rPr>
      </w:pPr>
    </w:p>
    <w:p>
      <w:pPr>
        <w:ind w:left="340" w:right="380"/>
        <w:spacing w:after="0" w:line="255" w:lineRule="auto"/>
        <w:rPr>
          <w:sz w:val="20"/>
          <w:szCs w:val="20"/>
          <w:color w:val="auto"/>
        </w:rPr>
      </w:pPr>
      <w:r>
        <w:rPr>
          <w:rFonts w:ascii="Arial" w:cs="Arial" w:eastAsia="Arial" w:hAnsi="Arial"/>
          <w:sz w:val="16"/>
          <w:szCs w:val="16"/>
          <w:color w:val="auto"/>
        </w:rPr>
        <w:t>equivalents, working capital, total assets, and total stockholders’ (deficit) equity by $ million, assuming the assumed initial public offering price remains the same, and after deducting underwriting discounts and commissions.</w:t>
      </w:r>
    </w:p>
    <w:p>
      <w:pPr>
        <w:spacing w:after="0" w:line="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Working capital is defined as current assets less current liabilities.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 million related to a redeemable convertible preferred stock warrant liability.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Non-GAAP Financial Measures</w:t>
      </w:r>
    </w:p>
    <w:p>
      <w:pPr>
        <w:spacing w:after="0" w:line="17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review a number of operating and financial metrics, including the following key metrics and non-GAAP, financial measures to evaluate our business, measure our performance, identify trends affecting our business, formulate financial projections, and make strategic decisions. See the sections titled “Management’s Discussion and Analysis of Financial Condition and Results of Operations—Key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4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Metrics” for additional information regarding our key business metrics and “Management’s Discussion and Analysis of Financial Condition and Results of Operations—Non-GAAP Financial Measures” for additional information and reconciliations of our non-GAAP financial measures to the most directly comparable financial measures prepared in accordance with GAAP.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center"/>
              <w:ind w:right="213"/>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3"/>
          </w:tcPr>
          <w:p>
            <w:pPr>
              <w:jc w:val="center"/>
              <w:ind w:right="193"/>
              <w:spacing w:after="0"/>
              <w:rPr>
                <w:sz w:val="20"/>
                <w:szCs w:val="20"/>
                <w:color w:val="auto"/>
              </w:rPr>
            </w:pPr>
            <w:r>
              <w:rPr>
                <w:rFonts w:ascii="Arial" w:cs="Arial" w:eastAsia="Arial" w:hAnsi="Arial"/>
                <w:sz w:val="14"/>
                <w:szCs w:val="14"/>
                <w:b w:val="1"/>
                <w:bCs w:val="1"/>
                <w:color w:val="auto"/>
              </w:rPr>
              <w:t>(in billions, except customer data)</w:t>
            </w: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booking volume (GBV)</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6.6</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Payment volume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3.7</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10,000</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8,000</w:t>
            </w:r>
          </w:p>
        </w:tc>
      </w:tr>
      <w:tr>
        <w:trPr>
          <w:trHeight w:val="485"/>
        </w:trPr>
        <w:tc>
          <w:tcPr>
            <w:tcW w:w="7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213"/>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gridSpan w:val="2"/>
          </w:tcPr>
          <w:p>
            <w:pPr>
              <w:jc w:val="center"/>
              <w:ind w:left="656"/>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367,022</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239,634</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Non-GAAP gross profit </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371,855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249,229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margin</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Non-GAAP gross margin</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69 %</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loss from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r>
      <w:tr>
        <w:trPr>
          <w:trHeight w:val="230"/>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Non-GAAP loss from operations</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(25,042)</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(174,753)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(331,552)</w:t>
            </w:r>
          </w:p>
        </w:tc>
      </w:tr>
      <w:tr>
        <w:trPr>
          <w:trHeight w:val="311"/>
        </w:trPr>
        <w:tc>
          <w:tcPr>
            <w:tcW w:w="7980" w:type="dxa"/>
            <w:vAlign w:val="bottom"/>
          </w:tcPr>
          <w:p>
            <w:pPr>
              <w:ind w:left="20"/>
              <w:spacing w:after="0"/>
              <w:rPr>
                <w:sz w:val="20"/>
                <w:szCs w:val="20"/>
                <w:color w:val="auto"/>
              </w:rPr>
            </w:pPr>
            <w:r>
              <w:rPr>
                <w:rFonts w:ascii="Arial" w:cs="Arial" w:eastAsia="Arial" w:hAnsi="Arial"/>
                <w:sz w:val="18"/>
                <w:szCs w:val="18"/>
                <w:color w:val="auto"/>
              </w:rPr>
              <w:t>Non-GAAP net loss</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(96,387)</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(224,850)</w:t>
            </w:r>
          </w:p>
        </w:tc>
      </w:tr>
    </w:tbl>
    <w:p>
      <w:pPr>
        <w:spacing w:after="0"/>
        <w:rPr>
          <w:sz w:val="20"/>
          <w:szCs w:val="20"/>
          <w:color w:val="auto"/>
        </w:rPr>
      </w:pPr>
      <w:r>
        <w:rPr>
          <w:rFonts w:ascii="Arial" w:cs="Arial" w:eastAsia="Arial" w:hAnsi="Arial"/>
          <w:sz w:val="16"/>
          <w:szCs w:val="16"/>
          <w:color w:val="auto"/>
        </w:rPr>
        <w:t>_______________</w:t>
      </w:r>
    </w:p>
    <w:p>
      <w:pPr>
        <w:spacing w:after="0" w:line="17" w:lineRule="exact"/>
        <w:rPr>
          <w:sz w:val="20"/>
          <w:szCs w:val="20"/>
          <w:color w:val="auto"/>
        </w:rPr>
      </w:pPr>
    </w:p>
    <w:p>
      <w:pPr>
        <w:ind w:left="340" w:right="40" w:hanging="332"/>
        <w:spacing w:after="0" w:line="256"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Non-GAAP gross profit, non-GAAP gross margin, non-GAAP loss from operations, and non-GAAP net loss are not calculated in accordance with GAAP. For more information regarding our use of non-GAAP gross profit, non-GAAP gross margin, non-GAAP loss from operations, and non-GAAP net loss and a reconciliation of non-GAAP gross profit to gross profit, non-GAAP gross margin to gross margin, non-GAAP loss from operations to loss from operations, and non-GAAP net loss to net loss, the most directly comparable financial measures calculated in accordance with GAAP, see the section titled “Management’s Discussion and Analysis of Financial Condition and Results of Operations—Non-GAAP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our consolidated financial statements and the accompanying notes included elsewhere in this prospectus before deciding whether to invest in shares of our Class A common stock. Our business, financial condition, results of operations, or prospects could also be adversely affected by risks and uncertainties that are not presently known to us or that we currently believe are not material. If any of the risks actually occur, our business, financial condition, results of operations, and prospects could be adversely affected. In that event, the market price of our Class A common stock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0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experienced rapid growth and increased demand for our platform in recent periods, there is no assurance that we will manage our growth successfully, and our recent growth rates may not be indicative of our future growth. Our rapid growth has resulted in increased costs as we expanded our operations to scale our business and address increased customer and user demand, and we expect to continue to invest broadly across our organization to support our growth.</w:t>
      </w:r>
    </w:p>
    <w:p>
      <w:pPr>
        <w:spacing w:after="0" w:line="12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Continued macroeconomic uncertainty, including as a result of rising interest rates, inflation, tariffs, foreign currency fluctuation, political unrest, instability in the global banking system, and the potential for an economic recession, has resulted, and is expected to continue to result, in reductions as well as fluctuations in demand for travel and our offerings as companies reduce or deprioritize spending on T&amp;E management offerings. Macroeconomic uncertainty has impacted and may continue to impact our ability to plan for future operations and strategic initiatives or predict our future financial performance (due in part to our usage-based revenue model for certain of our offerings, including our Travel Management offerings). Disruptions and changes in traveler behavior have occurred in recent times, including as a result of the COVID-19 pandemic and macroeconomic uncertainty, and may occur in the future, and we have faced and may continue to face challenges in accurately forecasting demand for travel and travel management services as a result. To maintain growth in our business, we need to, among other things, continue development and implementation of Navan Cognition and related AI features and functionalities, increase adoption and market acceptance of our offerings beyond travel, develop and increase adoption of additional offerings, compete effectively against larger and more established market participants as well as newer entrants, successfully execute our go-to-market strategies, address an increasing portion of the unmanaged travel market, and maintain or improve our relationships with suppliers, including commission rates.</w:t>
      </w:r>
    </w:p>
    <w:p>
      <w:pPr>
        <w:spacing w:after="0" w:line="13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growth has also been and may continue to be negatively impacted as our customers, particularly customers with whom we have historically high adoption or expansion rates, do not increase or decrease headcount, reduce T&amp;E budgets or otherwise increase scrutiny over IT spending for any reason, including due to macroeconomic uncertainty. Over the last few years, adoption of remote work models has also become widespread, initially as a matter of necessity in response to the COVID-19 pandemic and more recently as a matter of company policy in light of evolving perspectives on the need and desire for full-time in-person workforces. While more companies and organizations have instituted return-to-office policies and business travel levels have normalized following the COVID-19 pandemic, we cannot predict with certainty future trends in teleconference and virtual meeting technologies adoption, the impact that remote work policies will continue to have on the nature and amount of business travel, or whether employer and employee attitudes toward business travel will change in a lasting way.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4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smaller companies with limited travel or information technology budgets may in the future prefer to use teleconference and virtual meeting technologies indefinitely or substantially limit business travel spending.</w:t>
      </w:r>
    </w:p>
    <w:p>
      <w:pPr>
        <w:spacing w:after="0" w:line="9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also encountered, and will continue to encounter, the risks and uncertainties frequently experienced by growing companies in rapidly changing industries. For example, we are required to manage multiple relationships with various suppliers, payment or expense service partners, other partners, customers, and other third parties. In the event of further growth of our operations or in the number of our third-party relationships, including in connection with acquisitions of complementary businesses and companies, our computer systems, procedures, or internal controls may not be adequate to support our operations, we encounter further difficulties and delays in integrating acquired businesses and companies (including into our controls environment), and our management may not be able to manage such growth effectively. The growth and expansion of our business and platform places a significant strain on our management and our administrative, operational, and financial reporting resources. To effectively manage our growth, we must continue to implement and improve our operational, financial, and management information and reporting systems and manage our employee base, including recruiting and training new engineers, sales professionals, and agents.</w:t>
      </w:r>
    </w:p>
    <w:p>
      <w:pPr>
        <w:spacing w:after="0" w:line="1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result of the foregoing, our recent growth rates and financial performance should not necessarily be considered indicative of our future performance and results of operations, and you should not rely on the recent growth in our key business metrics as an indication of our future performance. In addition, if our assumptions regarding these risks and uncertainties, which we use to plan our business strategies and operations, are incorrect or change due to industry or market developments, or if we do not address these risks successfully, our business, financial condition, results of operations, and prospects could be negatively impacted.</w:t>
      </w:r>
    </w:p>
    <w:p>
      <w:pPr>
        <w:spacing w:after="0" w:line="127"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revenue has historically been, and is expected to continue to be, significantly dependent on our Travel Management offerings, which have historically been and may in the future be significantly impacted by declines in, or disruptions to, global travel activity, including as a result of macroeconomic factors and widespread health concerns, epidemics, or pandemics. Factors over which we have no control but which impact travel patterns and, depending on the scope and duration, cause significant declines in global or widespread travel volumes and reductions in our customers’ travel budgets include, among other things:</w:t>
      </w:r>
    </w:p>
    <w:p>
      <w:pPr>
        <w:spacing w:after="0" w:line="125" w:lineRule="exact"/>
        <w:rPr>
          <w:sz w:val="20"/>
          <w:szCs w:val="20"/>
          <w:color w:val="auto"/>
        </w:rPr>
      </w:pPr>
    </w:p>
    <w:p>
      <w:pPr>
        <w:jc w:val="both"/>
        <w:ind w:left="660" w:right="48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macroeconomic uncertainty, including due to tariffs, volatile interest rates, inflation, domestic and foreign currency fluctuation, instability in the global banking system, volatility in global stock markets, and the potential for a prolonged economic recession, particularly on T&amp;E budgets and IT spending at our existing and potential customers;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unrest or instability, including due to tariff policies;</w:t>
      </w:r>
    </w:p>
    <w:p>
      <w:pPr>
        <w:spacing w:after="0" w:line="171"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security concerns caused by terrorist attacks, the threat of terrorist attacks, or the precautions taken in anticipation of such attacks, including elevated threat warnings or selective cancellation or redirection of travel;</w:t>
      </w:r>
    </w:p>
    <w:p>
      <w:pPr>
        <w:spacing w:after="0" w:line="98" w:lineRule="exact"/>
        <w:rPr>
          <w:rFonts w:ascii="Arial" w:cs="Arial" w:eastAsia="Arial" w:hAnsi="Arial"/>
          <w:sz w:val="18"/>
          <w:szCs w:val="18"/>
          <w:color w:val="auto"/>
        </w:rPr>
      </w:pPr>
    </w:p>
    <w:p>
      <w:pPr>
        <w:ind w:left="660" w:right="48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cyber-terrorism, the outbreak of hostilities, global conflict, or escalation or worsening of existing hostilities or war, such as the ongoing conflicts in Ukraine and the Middle East and tensions between China and Taiwan, in some cases resulting in sanctions imposed by the United States and other countries, and retaliatory actions taken by sanctioned countries in response to such sanctions;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changes in visa and immigration policies or the imposition of travel restrictions or more restrictive security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47" w:lineRule="exact"/>
        <w:rPr>
          <w:sz w:val="20"/>
          <w:szCs w:val="20"/>
          <w:color w:val="auto"/>
        </w:rPr>
      </w:pPr>
    </w:p>
    <w:p>
      <w:pPr>
        <w:ind w:left="66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climate change-related impact to travel destinations, such as extreme weather, natural disasters and disruptions, and actions taken by governments, businesses, our suppliers, and our other partners to combat climate change, such as new travel-related regulations, policies, or conditions related to sustainability and climate-change concerns;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occurrence of travel-related accidents or the grounding of aircraft due to safety concerns or regulatory actions;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technical and operational disruptions at key transit hubs, including key international airports due to insufficient funding of aviation and other travel or transportation agencies or governmental bodies;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preferences from traditional hotel bookings to the use of alternative providers that are not available on our platform;</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macroeconomic conditions and labor shortages on the cost and availability of airline travel, including the risk of a global recession;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actions or changes to regulations governing the travel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widespread health concerns or pandemics, such as the COVID-19 pandemic.</w:t>
      </w:r>
    </w:p>
    <w:p>
      <w:pPr>
        <w:spacing w:after="0" w:line="171"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We have historically experienced and may in the future experience negative impacts to our business, financial condition, results of operations, and prospects from some or all of the above disruptions to business or consumer travel.</w:t>
      </w:r>
    </w:p>
    <w:p>
      <w:pPr>
        <w:spacing w:after="0" w:line="99"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In addition, from time to time, certain airlines struggle to meet spikes in demand, leading to elevated cancellations and delays that frustrate passengers and strain airport operations. When large numbers of our customers experience delays or cancellations, our support costs tend to increase, and prolonged periods of systemic disruptions increase our operating costs and adversely affect our margins and results of operations.</w:t>
      </w:r>
    </w:p>
    <w:p>
      <w:pPr>
        <w:spacing w:after="0" w:line="124"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Shifts in business travel trends or any decline in business travel demand would negatively impact our business, growth, results of operations, and financial condition.</w:t>
      </w:r>
    </w:p>
    <w:p>
      <w:pPr>
        <w:spacing w:after="0" w:line="8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business and growth depend on continued demand for business travel. In addition to global travel trends, business travel volume has been and may in the future be impacted by a number of different factors. The continued proliferation of remote and hybrid work models has enabled many companies to replace in-person meetings and events with virtual alternatives, which can be more cost-effective, resulting in some companies reducing discretionary travel. Shifts in trends regarding return-to-office mandates at our existing and potential customers have in the past impacted and may in the future impact our growth and business model, particularly if we face difficulties in acquiring new customers. Geopolitical instability and shifting political policies and landscapes have also impacted and may continue to impact certain existing and potential customers’ policies with respect to business travel, particularly international travel, as well as business travel in and around geographic regions experiencing political instability, hostilities, or conflict. Companies have also been periodically reassessing and adjusting travel policies and related T&amp;E budgets, including due to the factors described above and broader factors impacting the travel industry generally, which has resulted and may continue to result in fluctuations in or reduced usage levels of our offerings across periods, contributing to fluctuations in our results of operations. Shifts in business travel trends or any decline in business travel demand could result in decreased new platform acquisition rates as well as reductions in usage of our offerings by our customers, which would negatively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31" w:name="page32"/>
    <w:bookmarkEnd w:id="31"/>
    <w:p>
      <w:pPr>
        <w:spacing w:after="0" w:line="249"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We may be unable to attract new customers and grow our customer base, which would negatively impact our revenue growth and results of operations.</w:t>
      </w:r>
    </w:p>
    <w:p>
      <w:pPr>
        <w:spacing w:after="0" w:line="8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future growth depends in large part on increasing our customer base and maintaining and increasing the revenue we generate from those customers. To increase our GBV and revenue, we seek to expand our customers’ usage of our offerings, including by increasing their usage of our Travel offering and by driving their adoption and increased use of our additional offerings, including Corporate Payments, Expense Management, Meetings and Events, VIP, and Bleisure. The success of our business is substantially dependent on the actual and perceived viability, benefits, and advantages of our platform as a preferred product for T&amp;E management and corporate card programs, particularly when compared to customers’ existing alternatives and new competitive offerings.</w:t>
      </w:r>
    </w:p>
    <w:p>
      <w:pPr>
        <w:spacing w:after="0" w:line="12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While we have experienced significant growth in the number of our customers in recent periods, we do not know whether we will continue to achieve similar customer growth rates in the future. Numerous factors have impeded and may continue to impede our ability to attract new customers and retain, and expand the use of our platform within, our customers, including:</w:t>
      </w:r>
    </w:p>
    <w:p>
      <w:pPr>
        <w:spacing w:after="0" w:line="117" w:lineRule="exact"/>
        <w:rPr>
          <w:sz w:val="20"/>
          <w:szCs w:val="20"/>
          <w:color w:val="auto"/>
        </w:rPr>
      </w:pPr>
    </w:p>
    <w:p>
      <w:pPr>
        <w:ind w:left="660" w:right="32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macroeconomic uncertainty, including as a result of tariffs and trade issues, rising interest rates, inflation, domestic and foreign currency fluctuation, instability in the global banking system, volatility in global stock markets, and the potential for a prolonged economic recession;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demand for and trends in business travel among existing and potential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reductions in T&amp;E budgets and increased IT budget scrutiny at existing or potential customers;</w:t>
      </w:r>
    </w:p>
    <w:p>
      <w:pPr>
        <w:spacing w:after="0" w:line="171"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establish, maintain, or expand relationships with key suppliers and other partners, including any related changes in commission rates that negatively impact us;</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compete effectively against alternative products or services, including traditional offline travel services provided by large and established competitors as well as digital-native offerings (including those powered by AI);</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determine optimal pricing for our offerings, including in international markets;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successfully deploy new features and integrations or continue development or integration of Navan Cognition and related AI features and functionalities;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provide a quality customer experience and customer support; or</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sales and marketing strategies, including if we spend time and funding on strategies that do not provide sufficient return on our investment.</w:t>
      </w:r>
    </w:p>
    <w:p>
      <w:pPr>
        <w:spacing w:after="0" w:line="9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If we are unsuccessful in our efforts to acquire new customers and increase our customer base, including due to any of the above factors, or if we do so in a way that is not profitable, our growth, business, results of operations, and financial condition would be harmed. Our growth will also depend in part on capturing a greater portion of the unmanaged travel market.</w:t>
      </w:r>
    </w:p>
    <w:p>
      <w:pPr>
        <w:spacing w:after="0" w:line="119" w:lineRule="exact"/>
        <w:rPr>
          <w:sz w:val="20"/>
          <w:szCs w:val="20"/>
          <w:color w:val="auto"/>
        </w:rPr>
      </w:pPr>
    </w:p>
    <w:p>
      <w:pPr>
        <w:ind w:right="20"/>
        <w:spacing w:after="0" w:line="325" w:lineRule="auto"/>
        <w:rPr>
          <w:sz w:val="20"/>
          <w:szCs w:val="20"/>
          <w:color w:val="auto"/>
        </w:rPr>
      </w:pPr>
      <w:r>
        <w:rPr>
          <w:rFonts w:ascii="Arial" w:cs="Arial" w:eastAsia="Arial" w:hAnsi="Arial"/>
          <w:sz w:val="17"/>
          <w:szCs w:val="17"/>
          <w:b w:val="1"/>
          <w:bCs w:val="1"/>
          <w:i w:val="1"/>
          <w:iCs w:val="1"/>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6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strategy involves landing customers with our Travel offering and expanding those relationships by increasing our customers’ engagement with and usage of additional offerings, including Corporate Payments, Expense Management, Meetings and Events, VIP, and Bleisure, and working to manage all of our customers’ corporate travel spend on our platform. If our customers do not adopt one or more of these additional offerings at the rate we anticipate or at all, our business and prospects could be negatively impacted. The success of these additional offerings depends upon our ability to sell them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existing travel management customers and on increasing their utilization. We have been investing and expect to continue to invest in a number of strategic growth initiatives to drive adoption of these additional offerings, but there can be no assurance that such investments will be effective on a timely basis or at all. In particular, we may experience more difficulty or fluctuations in adoption and expansion rates of our additional offerings by smaller customers in the unmanaged travel market, including due to their heightened focus on total cost of ownership and self-service motions. In addition, there is a period of time between when we acquire new customers and when we begin to recognize the bulk of our revenues, during which the customer implements our technology, moves corporate travel budgets to our platform, and then launches initial bookings. This time period fluctuates depending on the size, scope, and complexity of a customer’s overall corporate travel spend and organization. To expand our customers’ usage of our offerings, we will need to successfully partner with customers to help them realize increased value in our offerings in an efficient manner, particularly in uncertain macroeconomic environments characterized by heightened scrutiny over T&amp;E and IT budgets. If we do not effectively help our customers realize the value of managing more of their corporate travel spend on our platform, our business, growth, and results of operations could be harmed. In addition, use of our corporate card offering, along with the Navan Connect offering that allows customers to connect their non-Navan corporate cards to the Navan Expense system, gives us insights into travelers throughout their journey and, as a result, adoption by customers of this offering is crucial to our long-term strategy of providing comprehensive and personalized experiences to travelers. Accordingly, if customers do not adopt our additional offerings, they may not realize the full value of our platform and consequently may be more difficult to retain. As a result, our business, financial condition, results of operations, and prospects may be adversely affected.</w:t>
      </w:r>
    </w:p>
    <w:p>
      <w:pPr>
        <w:spacing w:after="0" w:line="14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expense management offerings are subscription-based, and expense management customers are not obligated to and may not renew their subscriptions after their existing subscriptions expire. We cannot assure you that such customers will renew subscriptions with the same or greater number of users or that they will upgrade to use features such as the corporate cards or Navan Connect.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our existing expense management customers do not renew their subscriptions, renew on less favorable terms, or fail to expand the adoption of our platform within their companies, our revenue may decline or grow less quickly than anticipated, which could adversely affect our business, financial condition, results of operations, and prospects.</w:t>
      </w:r>
    </w:p>
    <w:p>
      <w:pPr>
        <w:spacing w:after="0" w:line="129"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If we fail to offer high-quality customer support, including through our AI-powered virtual agents, or if our support is more expensive than anticipated, our business, margins, and reputation could suffer.</w:t>
      </w:r>
    </w:p>
    <w:p>
      <w:pPr>
        <w:spacing w:after="0" w:line="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customers rely on our customer support services to resolve issues and realize the full benefits provided by our platform. High-quality support is also important for retaining and expanding the use of our offerings by our customers. We provide customer support over chat, telephone, and email, including through Ava, our AI-powered virtual agent. In particular, our business and margins are highly dependent on our AI-powered framework that enables us to create, train, deploy, and supervise specialized AI-powered virtual agents that can handle complex tasks previously requiring human intervention, from booking modifications to expense tracking to resolving issues during trips. Our growth, business, margins, and results of operations could be harmed if our virtual agents do not effectively and satisfactorily address our users’ needs and demands in using our platform to book and manage business travel and related expenses (including if users ultimately need to interact with live agents due to any failures, including perceived failures, of such virtual agents). Our growth, reputation, business, margins, and results of operations could also be harmed if our virtual agents make errors or introduce flawed, incomplete, or inaccurate outputs, some of which may appear correct, including due to flaws in the logic of the AI (a so-called “hallucination”), when interacting with users or processing their requests. In some cases, our virtual agents produce results that are inaccurate or incomplete or may take unintended actions from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20" w:top="1440" w:right="399" w:bottom="1440" w:gutter="0" w:footer="0" w:header="0"/>
        </w:sectPr>
      </w:pPr>
    </w:p>
    <w:bookmarkStart w:id="33" w:name="page34"/>
    <w:bookmarkEnd w:id="33"/>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queries and inputs, even with no hallucinations, which could result in negative impacts to our users and customers and harm our reputation, growth, business, and results of operations. If we do not help our customers quickly resolve issues and provide effective ongoing support, or if our methods of providing support are insufficient to meet the needs of our customers, our ability to retain customers, expand usage of our offerings by our customers, and acquire new customers could suffer, and our reputation with existing or potential customers could be harmed. Moreover, if we are not able to meet the customer support needs of our customers through our AI-powered virtual agents or by chat and email, we may need to increase our support coverage and provide additional phone-based support. Agent-based phone-based support is more expensive to provide than the other customer support services we offer. As a result, increasing our support coverage and phone-based support services may negatively impact our gross margins.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customers have experienced increased customer wait times in the past and may experience similar delays in the future, including due to circumstances outside of our control. For example, when large numbers of our travelers experience delays or cancellations, our travelers have and may in the future experience delays in receiving necessary support services from us and our suppliers. If we are unable to help our travelers quickly resolve issues as a result of support issues we ourselves experience from our suppliers, our ability to retain customers and expand their usage of our offerings and attract new customers, as well as our reputation, could be harmed, and our business, financial condition, results of operations, and prospects could be adversely affected. In addition, as we continue to grow our operations internally and reach a larger and increasingly global customer base, we need to be able to provide efficient customer support that meets the needs of companies using our platform globally at scale. The number of customers using our platform has grown significantly, which puts additional pressure on our customer support services. If we are unable to provide high-quality customer support while controlling our customer support costs, our profitability may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Travel Management offerings depend on our relationships with suppliers.</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success of our Travel Management offerings depends on our ability to maintain and expand our relationships with our suppliers to offer our customers an unrivaled range of global travel inventory at optimal prices. Our ability to maintain our supplier relationships on favorable terms will depend on, among other things, providing suppliers with access to a large, expanding, and highly engaged user base of frequent travelers, visibility into traveler demand signals, flexible retailing and brand control for their products offered on our platform, access to new distribution initiatives like NDC, and access to our flexible platform architecture and integration capabilities to allow suppliers to roll out and test new products, content, pricing, and other features. In addition, if one or more of our suppliers suffers a deterioration in its financial condition, changes our contractual commission rate, or terminates its relationship with us, it could adversely affect our ability to deliver desired travel inventory to our customers as well as our business, financial condition, and results of operations.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Commissions on sales through GDSs are highly standardized, while direct supplier agreements are more variable and may involve higher commissions. If industry-wide commissions are reduced, or if we are unable to enter into favorable direct agreements with new suppliers, our business, financial condition, and results of operations could be adversely affected. Suppliers may change their commission rates, whether pursuant to our supplier contracts or more broadly, for a number of reasons, including in response to macroeconomic factors or changes in their business strategy. As part of strategic shifts, suppliers may also seek to implement their own direct distribution channels or pivot from intermediary channels, such as certain GDSs, which may result in negative impacts to our business, such as reductions in our supply inventory or increased prices by such suppliers on our platform. Such strategic shifts may reflect supplier efforts to optimize the financial profile of their distribution channels, including by managing commission rates in a manner that negatively impacts our usage-based revenue. Further proliferation or market acceptance of new distribution standards like NDC may also result in strategic shifts by our suppliers, which may negatively impact their relationships with us and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34" w:name="page35"/>
    <w:bookmarkEnd w:id="34"/>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Finally, we typically negotiate or renegotiate our agreements with these suppliers annually or every several years, depending on the duration of the agreement. No assurances can be given that suppliers will elect to participate in our platform or that our compensation, access to inventory, or access to inventory at competitive rates will not be reduced or eliminated in the future. Suppliers may also elect to reduce the cost of their products or services and therefore reduce our margins, and there can be no assurance that our agreements with suppliers will not lapse between renewals, which could limit our inventory. Such providers could seek to charge us for or otherwise restrict access to premium inventory, increase credit card fees or fees for other services, fail to provide us with accurate booking information, or otherwise take actions that could increase our operating expenses. As we focus our sales strategy on targeting and acquiring more of the unmanaged travel market, suppliers may reassess their strategic positioning with us and result in renegotiations of our contractual terms, including commission rates. Any of these actions, or other similar actions, could reduce our revenue and margins and could adversely affect our business, financial condition,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6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were incorporated in 2015 and have incurred net losses in each year since inception and we may not achieve or, if achieved, sustain profitability in the future. We generated net losses of $181.1 million in fiscal 2025 and $331.6 million in fiscal 2024. As of January 31, 2025, we had an accumulated deficit of $1,617 million. While we experienced significant revenue growth in recent periods, we cannot predict whether we will maintain this level of growth or when we will achieve profitability. We are not certain whether or when our revenue will be sufficient to sustain or increase our growth or achieve profitability in the future. Even if we achieve profitability, we may not be able to sustain or increase our profitability. We also expect our costs and expenses to increase in future periods, which could negatively affect our future results of operations if our revenue does not increase. In particular, we intend to continue to make significant investments in our business, including to further develop our platform and offerings, such as our technology infrastructure and our AI framework, features, and functionalities, expand our marketing programs and sales teams to drive new customer acquisition and expand engagement with our platform and offerings within our customers, support our international expansion, and develop and introduce new offerings, use cases, and platform features and functionalities. We will also face increased costs associated with growth, the expansion of our customer and supplier base, continued focus on our sales strategies, expansion of our efforts to increase our share of the unmanaged travel market, and increases in general and administrative expenses as a result of being a public company. We also may never achieve or maintain profitability if we are not able to acquire new customers, drive further adoption within existing customers, or maintain and strengthen our supplier relationships.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or, once achieved, sustain profitability, the value of our business and Class A common stock may significantly decrease and our business, financial condition, results of operations, and prospects could be adversely affected.</w:t>
      </w:r>
    </w:p>
    <w:p>
      <w:pPr>
        <w:spacing w:after="0" w:line="139" w:lineRule="exact"/>
        <w:rPr>
          <w:sz w:val="20"/>
          <w:szCs w:val="20"/>
          <w:color w:val="auto"/>
        </w:rPr>
      </w:pPr>
    </w:p>
    <w:p>
      <w:pPr>
        <w:jc w:val="both"/>
        <w:ind w:right="200"/>
        <w:spacing w:after="0" w:line="272" w:lineRule="auto"/>
        <w:rPr>
          <w:sz w:val="20"/>
          <w:szCs w:val="20"/>
          <w:color w:val="auto"/>
        </w:rPr>
      </w:pPr>
      <w:r>
        <w:rPr>
          <w:rFonts w:ascii="Arial" w:cs="Arial" w:eastAsia="Arial" w:hAnsi="Arial"/>
          <w:sz w:val="18"/>
          <w:szCs w:val="18"/>
          <w:b w:val="1"/>
          <w:bCs w:val="1"/>
          <w:i w:val="1"/>
          <w:iCs w:val="1"/>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your investment.</w:t>
      </w:r>
    </w:p>
    <w:p>
      <w:pPr>
        <w:spacing w:after="0" w:line="10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were incorporated in 2015, launched our Travel offering in 2016, and introduced our Expense Management offerings in 2020. Travel demand levels have normalized in recent periods, a trend that we expect to continue, and our recent accelerated growth rates have moderated and may continue to do so in future periods. Further, in more recent periods, there has been uncertainty and disruption in the political environment, global economy, and financial markets, which have resulted and may continue to result in fluctuations in demand for business travel as well as reductions of corporate travel budgets and information technology investment. Accordingly, we have limited experience in, and data and results from, operating our business at its current scale, scope, and complexity and in a rapidly evolving market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47"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business travel. We also have limited data from, and experience operating our business under current macroeconomic conditions, including elevated inflation, rising interest rates, and foreign</w:t>
      </w:r>
      <w:r>
        <w:rPr>
          <w:rFonts w:ascii="MS PGothic" w:cs="MS PGothic" w:eastAsia="MS PGothic" w:hAnsi="MS PGothic"/>
          <w:sz w:val="18"/>
          <w:szCs w:val="18"/>
          <w:color w:val="auto"/>
        </w:rPr>
        <w:t>‐</w:t>
      </w:r>
      <w:r>
        <w:rPr>
          <w:rFonts w:ascii="Arial" w:cs="Arial" w:eastAsia="Arial" w:hAnsi="Arial"/>
          <w:sz w:val="18"/>
          <w:szCs w:val="18"/>
          <w:color w:val="auto"/>
        </w:rPr>
        <w:t>exchange fluctuations, and cannot fully predict how customers and suppliers will operate in this environment. We have encountered, and expect to continue to encounter risks and uncertainties frequently experienced by growing companies in rapidly changing industries, such as the risks and uncertainties described herein.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These circumstances in turn limit our ability to accurately predict and plan for our customer demands and, given our usage-based travel revenue model, our growth rates, revenue, margins, and profitability.</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Moreover, while we have invested heavily in our additional offerings beyond travel management, including our Corporate Payments, Expense Management, Meetings and Events, VIP, and Bleisure offerings, we are continuing to grow and scale these offerings, and we cannot be certain when, if ever, we will achieve meaningful scale, customer adoption and expansion, and revenue from such offerings, particularly as we continue to grow our customer base and as we scale in number of customers served. Our business and growth strategies are also dependent on continued development, and implementation and integration of Navan Cognition, our proprietary AI framework for our platform, and related AI features and functionalities for our platform. While we have invested significantly in our AI framework, features and functionalities over the past several years, including our Navan Cognition framework, to help drive future growth in our business and reduce costs, AI technology is expected to continue to rapidly advance. We may not be successful in maintaining or increasing market acceptance of our platform to satisfy customer and user demand for integrated AI technologies, features, and functionalities, particularly as competitive technologies and solutions are introduced. We may also not be successful in properly and effectively implementing and integrating our AI features and functionalities for our platform as we work to continue developing them to improve the user and customer experience with our platform and to reduce our costs. Any of these outcomes could harm our business, results of operations, and financial condition. We also expect future trends in our revenue, margins, and profitability to vary in ways that we may not anticipate or predict, which may be driven by our own product or strategic initiatives as well as external factors such as economic conditions. We also have limited experience in deploying our product-led growth strategy, as compared to our sales-led growth strategy. As a result, any predictions about our future revenue and expenses may not be as accurate as they would be if we had a longer operating history at the current scale, scope, and complexity of our business or operated in a more predictable or stable market.</w:t>
      </w:r>
    </w:p>
    <w:p>
      <w:pPr>
        <w:spacing w:after="0" w:line="13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also recently completed several acquisitions of complementary businesses and have also broadened the scope and extent of our offerings outside of the United States. We have limited experience operating this expanded business at current scale and in increasing non-U.S. jurisdictions, including under economic conditions characterized by high inflation or in economic recessions. Certain of our longer-term strategic initiatives may also be obstructed or have unintended effects in the event of an economic recession, which we may not be able to predict. If our assumptions regarding these risks and uncertainties are incorrect or change due to changes in our markets or otherwise, or if we do not address these risks successfully, our results of operations could differ materially from our expectations and our business, financial condition, results of operations, and prospects could be adversely affected. We cannot assure you that we will be successful in addressing these and other challenges we may face in the future.</w:t>
      </w:r>
    </w:p>
    <w:p>
      <w:pPr>
        <w:spacing w:after="0" w:line="133"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85"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Our results of operations have varied significantly from period to period in the past, and we expect that our results of operations will continue to vary significantly in the future such that period-to-period comparisons may not be meaningful. Accordingly, our results of operations in any one quarter should not be relied upon as indicative of our future performance. Our quarterly results of operations may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36" w:name="page37"/>
    <w:bookmarkEnd w:id="36"/>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 number of factors, many of which are outside of our control and may be difficult to predict, including:</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sales within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drive adoption of our offerings beyond travel, including our Expense Management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continue integrating AI into our offerings and expanding our use of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and expand our relationships with our suppliers, and to identify and attract new suppliers;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overall demand for business travel due to technological changes or changes in business practices, including as a result of current macroeconomic conditions;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occurrence of travel-related accidents or the grounding of aircraft due to safety concerns or regulatory actions;</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technical and operational disruptions at key transit hubs, including key international airports, including due to insufficient funding of aviation and other travel or transportation agencies or governmental bodies;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including the mix of hotel and air travel booked each quarter;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 demand fluctuations, such as reduced travel by our users during holiday periods;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customers’ T&amp;E budgets and IT spending budgets;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and existing customers choosing our competitors’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or introduction of new products or services that are easier to use or more advanced than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international markets where we compete;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71"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w:t>
      </w:r>
    </w:p>
    <w:p>
      <w:pPr>
        <w:spacing w:after="0" w:line="171"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 in market interest and foreign exchange rates, and the impact of inflation and instability in the global banking system on the United States and global economies;</w:t>
      </w:r>
    </w:p>
    <w:p>
      <w:pPr>
        <w:spacing w:after="0" w:line="98"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geopolitical conflicts, such as the ongoing conflicts in Ukraine and the Middle East, including related sanctions implemented by other countries, on global travel patterns and financial markets;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unrest or instability;</w:t>
      </w:r>
    </w:p>
    <w:p>
      <w:pPr>
        <w:spacing w:after="0" w:line="171"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execute acquisitions and integrate acquired businesses, and their accounting impact on our results of operations, including impairment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1440" w:right="539" w:bottom="1440" w:gutter="0" w:footer="0" w:header="0"/>
        </w:sectPr>
      </w:pPr>
    </w:p>
    <w:bookmarkStart w:id="37" w:name="page38"/>
    <w:bookmarkEnd w:id="37"/>
    <w:p>
      <w:pPr>
        <w:spacing w:after="0" w:line="24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new accounting pronouncements or changes in our accounting policies or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security breaches of, technical difficulties with, or interruptions to, the delivery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 and</w:t>
      </w:r>
    </w:p>
    <w:p>
      <w:pPr>
        <w:spacing w:after="0" w:line="171"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9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In addition, our quarterly results may fluctuate based on the relative volume of flights and hotel stays booked on our platform, as we tend to collect higher commissions on hotel reservations than air travel.</w:t>
      </w:r>
    </w:p>
    <w:p>
      <w:pPr>
        <w:spacing w:after="0" w:line="117"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Finally, we expect to incur significant additional expenses due to the increased costs of operating as a public company. If our quarterly results of operations fall below the expectations of investors and securities analysts who cover our stock, the price of our Class A common stock could decline substantially, and we could face costly lawsuits, including securities class action suits, and our business, financial condition, results of operations, and prospects could be adversely affected.</w:t>
      </w:r>
    </w:p>
    <w:p>
      <w:pPr>
        <w:spacing w:after="0" w:line="124" w:lineRule="exact"/>
        <w:rPr>
          <w:sz w:val="20"/>
          <w:szCs w:val="20"/>
          <w:color w:val="auto"/>
        </w:rPr>
      </w:pPr>
    </w:p>
    <w:p>
      <w:pPr>
        <w:jc w:val="both"/>
        <w:ind w:right="340"/>
        <w:spacing w:after="0" w:line="272" w:lineRule="auto"/>
        <w:rPr>
          <w:sz w:val="20"/>
          <w:szCs w:val="20"/>
          <w:color w:val="auto"/>
        </w:rPr>
      </w:pPr>
      <w:r>
        <w:rPr>
          <w:rFonts w:ascii="Arial" w:cs="Arial" w:eastAsia="Arial" w:hAnsi="Arial"/>
          <w:sz w:val="18"/>
          <w:szCs w:val="18"/>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0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part of our business strategy, we have in the past and may in the future seek to acquire or invest in businesses, products, or technologies that we believe could complement or expand our platform, enhance our technical capabilities, or otherwise offer growth opportunities. For example, in April 2021, we acquired Reed &amp; Mackay, or R&amp;M, a global travel management provider based in the United Kingdom, or the UK, in February 2022, we acquired Comtravo, a modern travel solution in Germany, Austria, and Switzerland and Resia, a travel agency covering Northern Europe, and in May 2023 we acquired Tripeur, an India-based travel management company. However, there can be no assurance we will be able to successfully identify desirable acquisition candidates in the future,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customers or investors.</w:t>
      </w:r>
    </w:p>
    <w:p>
      <w:pPr>
        <w:spacing w:after="0" w:line="12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encountered and may in the future encounter difficulties assimilating or integrating the businesses, technologies, products and platform capabilities, personnel, or operations of our acquired companies, assets, and businesses, particularly if key personnel of an acquired company choose not to work for us, their software is not easily adapted to work with our platform, or we have difficulty retaining the customers of any acquired business due to changes in ownership, management, or otherwise. We may also have difficulty establishing our company values with personnel of acquired companies, which may negatively impact our culture and work environment. Any such transactions that we are able to complete may not result in any synergies or other benefits we had expected to achieve, which could result in impairment charges that could be substantial. We have also experienced and may in the future experience difficulties and delays in integrating acquired companies and their systems into our controls environment, which may harm our ability to comply with reporting requirements, impact our understanding of certain details of our business and our ability to plan and forecast, or subject us to regulatory scrutiny.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38" w:name="page39"/>
    <w:bookmarkEnd w:id="38"/>
    <w:p>
      <w:pPr>
        <w:spacing w:after="0" w:line="2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the technology and information security systems and infrastructure of businesses we acquire may be underdeveloped or subject to vulnerabilities, subjecting us to additional liabilities. We have incurred and could in the future incur significant costs related to the implementation of enhancements to information security systems and infrastructure of acquired businesses and related to the remediation of any related security breaches. If security, data protection and information security measures in place at businesses we acquire are inadequate or breached, or are subject to cybersecurity attacks, or if any of the foregoing are reported or perceived to have occurred, our reputation and business could be damaged, and we could be subject to regulatory scrutiny, investigations, proceedings, and penalties. We may also acquire businesses whose operations may not be fully compliant with all applicable regulations, including governmental laws and requirements regarding economic and trade sanctions, anti-money laundering, counter-terror financing, and privacy and security laws, subjecting us to potential liabilities and requiring us to spend considerable time, effort, and resources to become compliant.</w:t>
      </w:r>
    </w:p>
    <w:p>
      <w:pPr>
        <w:spacing w:after="0" w:line="127"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as well as unfavorable accounting treatment and exposure to claims and disputes by third parties, including intellectual property claims. In addition, if an acquired business fails to meet our expectations, our business, financial condition, results of operations, and prospects could be adversely affected.</w:t>
      </w:r>
    </w:p>
    <w:p>
      <w:pPr>
        <w:spacing w:after="0" w:line="119" w:lineRule="exact"/>
        <w:rPr>
          <w:sz w:val="20"/>
          <w:szCs w:val="20"/>
          <w:color w:val="auto"/>
        </w:rPr>
      </w:pPr>
    </w:p>
    <w:p>
      <w:pPr>
        <w:ind w:right="840"/>
        <w:spacing w:after="0" w:line="294" w:lineRule="auto"/>
        <w:rPr>
          <w:sz w:val="20"/>
          <w:szCs w:val="20"/>
          <w:color w:val="auto"/>
        </w:rPr>
      </w:pPr>
      <w:r>
        <w:rPr>
          <w:rFonts w:ascii="Arial" w:cs="Arial" w:eastAsia="Arial" w:hAnsi="Arial"/>
          <w:sz w:val="18"/>
          <w:szCs w:val="18"/>
          <w:b w:val="1"/>
          <w:bCs w:val="1"/>
          <w:i w:val="1"/>
          <w:iCs w:val="1"/>
          <w:color w:val="auto"/>
        </w:rPr>
        <w:t>We plan to continue expanding our international operations which could subject us to additional costs and risks, and our continued expansion internationally may not be successful.</w:t>
      </w:r>
    </w:p>
    <w:p>
      <w:pPr>
        <w:spacing w:after="0" w:line="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significant amount of our revenue is derived from customers from outside the United States and we plan to continue expanding our operations internationally in the future. Revenue generated from customers outside the United States was $221.0 million, or 41% of our total revenue, and $184.8 million, or 46% of our total revenue, for fiscal years 2025 and 2024, respectively. Outside of the United States, we currently have direct and indirect subsidiaries in several countries, including Canada, the United Kingdom, France, Germany, Ireland, Israel, Singapore, India, the United Arab Emirates, Australia, and New Zealand, and have employees in 16 countries. Operating in international markets requires significant resources and management attention and subjects us to regulatory, economic and political risks that are different from those in the United States. In addition, there are significant costs and risks inherent in conducting business in international markets, including:</w:t>
      </w:r>
    </w:p>
    <w:p>
      <w:pPr>
        <w:spacing w:after="0" w:line="13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effective controls at foreign locations and the associated increased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adapting our platform and offerings to non-U.S. consumers’ preferences and customs;</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localizing our platform and features for specific countries, including translation into foreign languages, tax, and regulatory updates and associated expenses;</w:t>
      </w:r>
    </w:p>
    <w:p>
      <w:pPr>
        <w:spacing w:after="0" w:line="98"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our platform and offerings to cover travel methods and providers that are not part, or do not reflect a significant portion, of our offering in the U.S.;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competition from local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foreign laws, regulations and licensing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adapting to doing business in other languages and/or cultures;</w:t>
      </w:r>
    </w:p>
    <w:p>
      <w:pPr>
        <w:spacing w:after="0" w:line="171" w:lineRule="exact"/>
        <w:rPr>
          <w:rFonts w:ascii="Arial" w:cs="Arial" w:eastAsia="Arial" w:hAnsi="Arial"/>
          <w:sz w:val="18"/>
          <w:szCs w:val="18"/>
          <w:color w:val="auto"/>
        </w:rPr>
      </w:pPr>
    </w:p>
    <w:p>
      <w:pPr>
        <w:jc w:val="both"/>
        <w:ind w:left="660" w:right="160" w:hanging="328"/>
        <w:spacing w:after="0" w:line="318"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compliance with the laws of numerous taxing jurisdictions where we conduct business, potential double taxation of our international earnings, and potentially adverse tax consequences due to U.S. and foreign tax laws as they relate to our international operations;</w:t>
      </w:r>
    </w:p>
    <w:p>
      <w:pPr>
        <w:spacing w:after="0" w:line="75" w:lineRule="exact"/>
        <w:rPr>
          <w:rFonts w:ascii="Arial" w:cs="Arial" w:eastAsia="Arial" w:hAnsi="Arial"/>
          <w:sz w:val="17"/>
          <w:szCs w:val="17"/>
          <w:color w:val="auto"/>
        </w:rPr>
      </w:pPr>
    </w:p>
    <w:p>
      <w:pPr>
        <w:ind w:left="660" w:right="44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anti-bribery laws, such as the U.S. Foreign Corrupt Practices Act of 1977, or the FCPA, and the UK Bribery Act 2010, or the UK Bribery Act, by us, our team members, our suppliers, and our other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39" w:name="page40"/>
    <w:bookmarkEnd w:id="39"/>
    <w:p>
      <w:pPr>
        <w:spacing w:after="0" w:line="247" w:lineRule="exact"/>
        <w:rPr>
          <w:sz w:val="20"/>
          <w:szCs w:val="20"/>
          <w:color w:val="auto"/>
        </w:rPr>
      </w:pPr>
    </w:p>
    <w:p>
      <w:pPr>
        <w:ind w:left="660" w:right="12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international locations;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71"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complexity and other risks associated with current and future foreign legal requirements, including legal requirements related to data privacy and security frameworks, such as the European Union, or the EU, and UK General Data Protection Regulations, and other data privacy and security laws that impose different and potentially conflicting obligations with respect to how personal data is processed or require that customer data be stored in a designated territory;</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exchange rate fluctuations and related effects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 and practical difficulties of enforcing rights abroad;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costs of doing business internationally.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factors and other factors have historically posed and may in the future pose challenges to growing our international operations organically, and could harm our international operations and, consequently, negatively impact our business, results of operations, and financial condition. As we seek to continue to expand internationally, we will likely encounter unexpected challenges and expenses due to local regulations, requirements, practices, and markets. Further, we may incur significant operating expenses as a result of our international expansion, and it may not be successful. We also hold cash and cash equivalents internationally, and in some cases, such liquidity resources may not be easily transferred across jurisdictions, which may negatively impact our financial condition and results of operations. We have limited experience with regulatory environments and market practices internationally, and we may not be able to penetrate or successfully operate in new markets. If we are unable to continue to expand internationally and manage the complexity of our global operations successfully, our business, financial condition, results of operations, and prospects could be adversely affected.</w:t>
      </w:r>
    </w:p>
    <w:p>
      <w:pPr>
        <w:spacing w:after="0" w:line="129"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platform.</w:t>
      </w:r>
    </w:p>
    <w:p>
      <w:pPr>
        <w:spacing w:after="0" w:line="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ability to increase our customers and achieve broader market acceptance of our platform will depend to a significant extent on our ability to expand our sales and marketing teams and to deploy our sales and marketing resources efficiently. We intend to continue investing significantly in our sales force and capabilities to land customers with our Travel offering and expand their adoption, usage of, and engagement with additional offerings. Our growth and business strategy are dependent on our ability to successfully execute our sales strategies at increasing scale.</w:t>
      </w:r>
    </w:p>
    <w:p>
      <w:pPr>
        <w:spacing w:after="0" w:line="1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Successfully executing our sales and marketing strategy requires strong leadership, alignment across our sales and marketing functions, and the ability to scale across diverse customer types, channels, and geographies. If we are unable to recruit, hire, develop, and retain high-performing sales or marketing personnel, if our new sales or marketing personnel are unable to achieve desired productivity levels in a reasonable period of time, or if our sales and marketing leaders fail to execute our sales strategies effectively, our ability to attract new customers and expand usage of and engagement with our offerings could be harmed.</w:t>
      </w:r>
    </w:p>
    <w:p>
      <w:pPr>
        <w:spacing w:after="0" w:line="125" w:lineRule="exact"/>
        <w:rPr>
          <w:sz w:val="20"/>
          <w:szCs w:val="20"/>
          <w:color w:val="auto"/>
        </w:rPr>
      </w:pPr>
    </w:p>
    <w:p>
      <w:pPr>
        <w:jc w:val="both"/>
        <w:ind w:right="100" w:firstLine="324"/>
        <w:spacing w:after="0" w:line="268" w:lineRule="auto"/>
        <w:rPr>
          <w:sz w:val="20"/>
          <w:szCs w:val="20"/>
          <w:color w:val="auto"/>
        </w:rPr>
      </w:pPr>
      <w:r>
        <w:rPr>
          <w:rFonts w:ascii="Arial" w:cs="Arial" w:eastAsia="Arial" w:hAnsi="Arial"/>
          <w:sz w:val="18"/>
          <w:szCs w:val="18"/>
          <w:color w:val="auto"/>
        </w:rPr>
        <w:t>We have historically focused our customer acquisition strategy on targeting mid-size and larger customers with a direct sales-led motion via our dedicated sales team. These customers often have a travel and expense vendor already and are sometimes characterized by more complex customer requirements, higher upfront sales costs, and less predictability in the timing or likelihood of expanding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440" w:right="359" w:bottom="1440" w:gutter="0" w:footer="0" w:header="0"/>
        </w:sectPr>
      </w:pPr>
    </w:p>
    <w:bookmarkStart w:id="40" w:name="page41"/>
    <w:bookmarkEnd w:id="40"/>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their usage of and engagement with additional offerings following adoption of our Travel offering. In certain circumstances, a larger enterprise or company’s decision to initially adopt our platform, particularly our Travel offering, and expand their usage of and engagement with additional offerings, may be an company-wide decision, requiring additional education regarding the use and benefits of our platform for managing their business travel spend. As a result, the length of our sales cycle and ramp time for usage of and engagement with additional offerings has varied, and may continue to vary, significantly from customer to customer depending on the size and type of the customer. We have also more recently begun deploying our PLG go-to-market strategy to acquire new customers who have traditionally been unmanaged, meaning they have historically not used any travel and expense vendor or solution. Our success depends on our ability to maintain brand trust, execute effective growth marketing, deliver a flexible and intuitive platform experience, and demonstrate tangible cost savings and differentiated technology at scale, including compared to those of our competitors. These customers demand flexible deployment of our offerings within their companies and prioritize ease of use, particularly self-service implementation tools, to roll out our offerings across their employee base at their own pace. While we may adjust our sales strategies from time to time, including investing in newer motions such as our PLG strategy and targeting different customer channels, we have historically acquired the majority of our customers through our SLG strategy and expect such strategy and related customer channels to remain an important driver for new customer growth in the future. If we fail to allocate sufficient sales and marketing funds and resources to our SLG sales strategy, including due to prioritization of other sales strategies that do not generate meaningful return on our investment, our growth, including in new customer acquisition, and our business could be harmed.</w:t>
      </w:r>
    </w:p>
    <w:p>
      <w:pPr>
        <w:spacing w:after="0" w:line="14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also dedicate significant resources to sales and marketing programs, including digital advertising services. The effectiveness and cost of these programs may fluctuate due to competition for key search terms, changes in search engine use, and changes in the search algorithms used by major search engines. We have limited experience conducting broad brand marketing campaigns and other marketing initiatives.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we are not able to effectively develop our sales and marketing capabilities and implement our marketing strategies, our business, financial condition, results of operations, and prospects could be adversely affected.</w:t>
      </w:r>
    </w:p>
    <w:p>
      <w:pPr>
        <w:spacing w:after="0" w:line="131"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8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business software and travel industries are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platform and offerings to keep pace with changes in hardware systems and software applications, AI,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results of operations could be adversely affected. If new technologies emerge that deliver competitive products at lower prices, with more use cases, more efficiently, more conveniently, or more securely, it could adversely impact our ability to compete.</w:t>
      </w:r>
    </w:p>
    <w:p>
      <w:pPr>
        <w:spacing w:after="0" w:line="13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incorporated AI-based solutions into our offerings, including through our Navan Cognition framework powering our virtual agents, including our virtual agent chatbot software. As with many innovations, AI presents risks, challenges, and unintended consequences that could impact our successful ability to incorporate the use of AI in our business. For example, our algorithms may be flawed and not achieve sufficient levels of accuracy or contain biased information. Moreover, AI models may create flawed, incomplete, or inaccurate outputs, some of which may appear correct. This may happen if the inputs that the model relied on were inaccurate, incomplete, or flawed (including if a bad 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41" w:name="page42"/>
    <w:bookmarkEnd w:id="41"/>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“poisons” the AI with bad inputs or logic), or if the logic of the AI is flawed, resulting in a hallucination. Algorithms are also subject to privacy and data security laws, as well as increasing regulation and scrutiny. In addition, our competitors or other third parties may incorporate AI solutions into their products more successfully than us, and their AI solutions may achieve higher market acceptance than ours, which may result in us failing to recoup our investments in developing AI-powered applications. For example, competitors leveraging AI or other automation may drive increasing efficiency in their support costs while offering faster, more personalized service than ours. We have made significant investments in our AI technology, including in our Navan Cognition framework powering our virtual agents, including our virtual agent chatbot software, which are critical tools in the efficient scaling of our platform. Our ability to employ AI, or the ability of our competitors to do so better, may negatively impact our gross margins, impair our ability to compete effectively, result in reputational harm and have an adverse impact on our operating results. Our platform must also integrate with a variety of network, hardware, mobile, and software platforms and technologies. We need to continuously modify and enhance our platform and offerings to adapt to changes and innovation in these technologies as well as to demonstrate increasing benefits and efficiencies of our platform to customers and their employees, who are expected to demand continued innovation in the features and functionalities of our platform and offerings. This development effort will require significant engineering, marketing, and sales resources, all of which would affect our business and results of operations. Any failure of our platform to operate effectively with future technologies could reduce the demand for our platform. If we are unable to respond to these changes in a cost-effective manner, our platform may become less marketable and less competitive or obsolete, which could adversely affect our business, financial condition, results of operations, and prospects.</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corporate card offering exposes us to credit risk and other risks related to customers' ability to pay the balances incurred on their corporate cards.</w:t>
      </w:r>
    </w:p>
    <w:p>
      <w:pPr>
        <w:spacing w:after="0" w:line="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offer our corporate card product to a wide range of businesses, and the success of this product depends on our ability to effectively manage related risks and detect fraud. The credit decision-making process for our corporate card uses proprietary risk assessment methodologies and other techniques designed to analyze the credit risk of specific businesses based on, among other factors, their past purchase and transaction history. In addition, we bear the entire credit risk and are liable to the issuing bank to settle the transaction and may incur losses as a result of claims from the issuing banks. While we would seek to recover losses from a customer, we may not fully recover them if a customer is unwilling or unable to pay due to their financial condition. Because we are liable to the issuing bank,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phishing schemes, and identity theft. A single, significant incident or a series of incidents of fraud or theft involving our corporate cards could result in reputational damage to us, potentially reducing the use and acceptance of our corporate card offering or lead to greater regulation that would increase our compliance costs. Fraudulent activity could also result in the imposition of regulatory sanctions, including significant monetary fines. The foregoing could harm our business, results of operations, and financial condition.</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Additionally, our funding model relies on a variety of funding arrangements, including warehouse facilities and purchase arrangements, with a variety of funding sources. Any significant underperformance of the card receivables we own may adversely impact our relationship with such funding sources and result in an increase in our cost of financing, a modification or termination of our existing funding arrangements or our ability to procure funding,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42" w:name="page43"/>
    <w:bookmarkEnd w:id="42"/>
    <w:p>
      <w:pPr>
        <w:spacing w:after="0" w:line="249" w:lineRule="exact"/>
        <w:rPr>
          <w:sz w:val="20"/>
          <w:szCs w:val="20"/>
          <w:color w:val="auto"/>
        </w:rPr>
      </w:pPr>
    </w:p>
    <w:p>
      <w:pPr>
        <w:jc w:val="both"/>
        <w:ind w:right="100"/>
        <w:spacing w:after="0" w:line="272" w:lineRule="auto"/>
        <w:rPr>
          <w:sz w:val="20"/>
          <w:szCs w:val="20"/>
          <w:color w:val="auto"/>
        </w:rPr>
      </w:pPr>
      <w:r>
        <w:rPr>
          <w:rFonts w:ascii="Arial" w:cs="Arial" w:eastAsia="Arial" w:hAnsi="Arial"/>
          <w:sz w:val="18"/>
          <w:szCs w:val="18"/>
          <w:b w:val="1"/>
          <w:bCs w:val="1"/>
          <w:i w:val="1"/>
          <w:iCs w:val="1"/>
          <w:color w:val="auto"/>
        </w:rPr>
        <w:t>While we have entered into redundant relationships with third-party partners and issuing banks for our corporate cards, if we lose any of these services, or if the card network ceases to support our cards, our business, results of operations, financial condition, and growth prospects could be harmed.</w:t>
      </w:r>
    </w:p>
    <w:p>
      <w:pPr>
        <w:spacing w:after="0" w:line="10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corporate card is an important element of our growth strategy. We have entered into card issuing agreements with bank program managers and issuing banks for card issuing, compliance, transaction settlement, and related services. Those agreements include significant security, compliance, and operational obligations, including adherence on short notice to evolving regulatory requirements. If we are not able to comply with those obligations or our agreements with the third-party bank program managers and issuing banks are suspended, limited, or otherwise terminated for any reason (including, but not limited to, the failure by an issuing bank to comply with applicable regulations), we could experience service interruptions, delays, and additional expenses in arranging new services. As a result, we may be unable to replace these services on competitive terms, or at all, which could adversely affect our business, financial condition, results of operations, and prospects.</w:t>
      </w:r>
    </w:p>
    <w:p>
      <w:pPr>
        <w:spacing w:after="0" w:line="1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Navan Connect service enables customers to connect their non-Navan corporate cards to our expense management platform to automate reporting and, in some cases, enable the creation of virtual cards for travel bookings on our platform. We do not bear the credit risk or the risk on card losses on cards enrolled in Navan Connect are issued independently from Navan and, accordingly, we do not have agreements in place that would make Navan liable for those cards' transactions. We do not earn revenue from interchange on cards enrolled in Navan Connect. Navan Connect depends on us maintaining contractual relationships with card networks and card providers, and if a card network or card provider suspends or terminates its agreement with us, our business, financial condition, results of operations, and prospects could be harmed.</w:t>
      </w:r>
    </w:p>
    <w:p>
      <w:pPr>
        <w:spacing w:after="0" w:line="131"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b w:val="1"/>
          <w:bCs w:val="1"/>
          <w:i w:val="1"/>
          <w:iCs w:val="1"/>
          <w:color w:val="auto"/>
        </w:rPr>
        <w:t>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1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host our platform using third-party cloud infrastructure services. All of our offerings utilize resources operated by us through these providers.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transmitted by third-party internet service providers. We have periodically experienced service disruptions in the past,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 incident affecting our backup data storage locations that may be caused by fire, flood, severe storm, earthquake, power loss, telecommunications failures, unauthorized intrusion, computer viruses, disabling devices, natural disasters, military actions, terrorist attacks, negligence, and other similar events beyond our control could negatively affect our platform.</w:t>
      </w:r>
    </w:p>
    <w:p>
      <w:pPr>
        <w:spacing w:after="0" w:line="12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Beyond cloud hosting, we rely on numerous third parties to operate our critical business systems and process confidential and personal information, such as payment processors that handle customer credit card payments, cloud service providers, and customer care centers. Our ability to monitor these third parties' information security practices is limited, creating significant exposure to potential security events, disruptions, or outages outside our direct control. These third parties may inappropriately access confidential and personal information or may lack adequate security measures, potentially leading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43" w:name="page44"/>
    <w:bookmarkEnd w:id="43"/>
    <w:p>
      <w:pPr>
        <w:spacing w:after="0" w:line="24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security incidents that compromise the confidentiality, integrity, or availability of systems they operate for us or the information they process on our behalf.</w:t>
      </w:r>
    </w:p>
    <w:p>
      <w:pPr>
        <w:spacing w:after="0" w:line="9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example, the CrowdStrike incident and resulting systems outage in July 2024 significantly impacted airline operations and forced several major carriers to ground flights for a prolonged period. While we were not the source of that incident and the CrowdStrike incident did not have a direct impact on our operations, disruptions of this nature could in the future significantly affect our ability to provide timely travel services to customers who rely on our platform for booking, itinerary management and support. Substantial or sustained failures caused by third-party software issues, airline infrastructure outages or vulnerabilities in our systems could lead to service delays, reduced functionality, customer frustration and reduced trust in our platform. Any prolonged service disruption affecting our platform for any of the foregoing reasons could damage our reputation with current and potential customers, expose us to liability, cause us to lose s, or otherwise harm our business. Also, in the event of damage or interruption, our insurance policies may not adequately compensate us for any losses that we may incur. Such failures could adversely affect our business, financial condition, results of operations, and prospects.</w:t>
      </w:r>
    </w:p>
    <w:p>
      <w:pPr>
        <w:spacing w:after="0" w:line="127"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Supply chain attacks targeting service providers have increased in both frequency and severity in recent years. We cannot guarantee that our service providers' infrastructure or the infrastructure of their partners has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or provide sufficient mechanisms for indemnification or recovery from losses they cause us to incur.</w:t>
      </w:r>
    </w:p>
    <w:p>
      <w:pPr>
        <w:spacing w:after="0" w:line="1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platform is accessed by many customers, often at the same time. Any interruptions or delays in access to our platform, including due to third-party provider failures or incidents, could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1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Given the increasingly international nature of our business, we may also partner with local travel management companies in specific geographies that may not meet the cybersecurity controls expected or required by our suppliers and customers. These local partners may operate under different regulatory frameworks and security standards that don't align with our requirements or customer and supplier expectations, creating additional vulnerability points in our overall security posture. Security incidents involving these international partners could damage customer trust, result in regulatory violations across multiple jurisdictions, and create complex legal challenges due to varying international privacy laws if data these international partners process on our behalf is impacted.</w:t>
      </w:r>
    </w:p>
    <w:p>
      <w:pPr>
        <w:spacing w:after="0" w:line="130" w:lineRule="exact"/>
        <w:rPr>
          <w:sz w:val="20"/>
          <w:szCs w:val="20"/>
          <w:color w:val="auto"/>
        </w:rPr>
      </w:pPr>
    </w:p>
    <w:p>
      <w:pPr>
        <w:ind w:right="380"/>
        <w:spacing w:after="0" w:line="325" w:lineRule="auto"/>
        <w:rPr>
          <w:sz w:val="20"/>
          <w:szCs w:val="20"/>
          <w:color w:val="auto"/>
        </w:rPr>
      </w:pPr>
      <w:r>
        <w:rPr>
          <w:rFonts w:ascii="Arial" w:cs="Arial" w:eastAsia="Arial" w:hAnsi="Arial"/>
          <w:sz w:val="17"/>
          <w:szCs w:val="17"/>
          <w:b w:val="1"/>
          <w:bCs w:val="1"/>
          <w:i w:val="1"/>
          <w:iCs w:val="1"/>
          <w:color w:val="auto"/>
        </w:rPr>
        <w:t>We may not successfully develop or introduce new offerings, services, features, integrations, capabilities, and versions of our existing offerings that achieve market acceptance, and our business could be harmed and our revenue could suffer as a result.</w:t>
      </w:r>
    </w:p>
    <w:p>
      <w:pPr>
        <w:spacing w:after="0" w:line="6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offerings, services, features, integrations, capabilities, and versions of our existing offering. Unexpected delays in releasing new or enhanced offerings, or errors following their release, could result in loss of sales, delay in market acceptance of our platform, or customer claims against us, any of which could harm our business. The success of any new product, service, feature, integration, capability, or version depends on several factors, including timely completion and delivery, competitive pricing, adequate quality testing, integration with existing technologies, proper marketing of the offering, and market acceptance. For example, our Bleisure offering is a nascent offering, and there can be no assurance that it will reach the level of customer adoption that it was designed to achieve. We may not be able to develop new offerings successfully or to introduce and gain market acceptance of new offerings in a timely manner, or at all.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4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unable to expand our offerings in a manner that increases retention of existing customers and attracts new customers, or successfully drives adoption by our travel management customers of our expense management and corporate card offerings, our business, financial condition, results of operations, and prospects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6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business has historically been influenced by seasonality, primarily related to seasonal travel trends of business travelers, as our users typically travel less during holiday periods, though this effect varies regionally. As a result, our travel revenue has historically been stronger in the third fiscal quarter. Additionally, a portion of the revenue from our expense management offerings is driven by the volume of corporate card spending processed by our expense management platform, which tends to decrease during periods of decreased business travel. In addition, demand for travel generally fluctuates based on a number of factors, including periods of perceived or actual adverse economic conditions and times of political or economic uncertainty. As a result of quarterly fluctuations caused by these and other factors, comparisons of our results of operations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results of operations may not be useful and our results in any particular period will not necessarily be indicative of the results to be expected for any future period. Seasonality in our business can also be affected by introductions of new or enhanced offerings, including the costs associated with such introductions.</w:t>
      </w:r>
    </w:p>
    <w:p>
      <w:pPr>
        <w:spacing w:after="0" w:line="130"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maintain and expand our base of customers may be impaired, and our business and results of operations will be harmed.</w:t>
      </w:r>
    </w:p>
    <w:p>
      <w:pPr>
        <w:spacing w:after="0" w:line="8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Navan brand is critical to expanding our customer base and establishing and maintaining relationships with suppliers and other partners. Successful promotion and protection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Travel Management offerings but also in newer offerings, such as Bleisure, and to make substantial investments in new non-U.S. markets, which may not be successful. Marketing campaigns are also critical to the success of our product-led growth sales strategy.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In addition, existing and future brand-marketing campaigns and customer awareness strategies may have lengthy return on investment time horizons. We also have limited experience conducting broad marketing campaigns, such as global integrated marketing campaigns, and other marketing initiatives. As a result, we may not be able to adequately assess the benefits of such initiatives until we have made substantial investments of time and capital, which could also negatively impact our ability to effectively allocate sales and marketing funds and resources to the sales strategy that generates the greatest return on our investment. There could also be a negative reaction to certain advertising campaigns and values-based activity and communications.</w:t>
      </w:r>
    </w:p>
    <w:p>
      <w:pPr>
        <w:spacing w:after="0" w:line="14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Additionally, our brand could be damaged by incidents involving our suppliers, particularly if the incidents receive considerable negative publicity or result in litigation, some of which may occur in the ordinary course of our business or the business of our suppliers and other partners. In addition, our failure to provide timely and sufficient support services to our users and customers in connection with travel delays and incidents could harm our brand and reputation. Such incidents may arise from events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or may be beyond our control, such as actions taken (or not taken) by one or more suppliers, including flight delays and cancellations. If we fail to promote and maintain the Navan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face significant competition in the markets we serve, and if we do not compete effectively, our business, results of operations, and financial condition could be harmed.</w:t>
      </w:r>
    </w:p>
    <w:p>
      <w:pPr>
        <w:spacing w:after="0" w:line="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offerings address a highly competitive market with entrenched incumbent industry participants, ranging from legacy service providers to more modern software companies. Some of our competitors may have access to more financial resources, greater name recognition, and better-established customer bases in their target segments, differentiated business models, technology, and other capabilities or a differentiated geographic coverage, which may make it difficult for us to retain or attract new customers. In addition, competitors are increasingly using AI and automation to improve service quality and reduce operational costs, allowing them to deliver more personalized user experiences or more efficient support at scale. New AI-native entrants may bypass traditional models and gain traction quickly, particularly in the unmanaged travel market, including by offering products that more effectively streamline the travel booking and expense management process using AI or other digital-native tools. At the same time, legacy competitors may continue to benefit from their brand strength, customer relationships, and market influence while integrating AI into their offerings, particularly if certain enterprise customers continue to favor traditional offline travel management services. Our travel suppliers may also seek to develop and implement or further invest in existing direct distribution channels. If we cannot compete effectively, our business, financial condition, results of operations, and prospects could be adversely affected.</w:t>
      </w:r>
    </w:p>
    <w:p>
      <w:pPr>
        <w:spacing w:after="0" w:line="13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travel management, we currently compete, and will continue to compete, with a variety of travel and travel-related companies, including other corporate travel management service providers such as BCD Group, Global Business Travel Group, Inc., and SAP Concur, traditional travel agencies, and emerging and established online travel agencies. We compete, to a lesser extent, with credit card loyalty programs, online travel search and price comparison services, facilitators of alternative accommodations such as short-term home or condominium rentals, and social media and e-commerce websites, as well as direct-booking platforms from hotel chains and airliners.</w:t>
      </w:r>
    </w:p>
    <w:p>
      <w:pPr>
        <w:spacing w:after="0" w:line="1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addition, our expense management and corporate card offerings face significant competitive challenges from do-it-yourself approaches as well as companies that provide traditional horizontal platform solutions with expense management features, such as Expensify, Oracle, and SAP, corporate card providers, and expense management solutions, such as Brex and Ramp. Moreover, some travelers may prefer to use their existing travel rewards credit cards to book rather than our corporate card, even if their personal rewards from our expense management offerings would be superior. It is difficult to predict adoption rates and demand for our expense management offerings, the future growth rate and size of the market for expense management and other pre-accounting products, or the entry of competitive offerings. Some traditional horizontal platform solutions with expense management features have substantially greater revenue, personnel, and other resources than we do. We also face competition from a growing number of other businesses offering expense management solutions and corporate cards. Some of these companies are using AI to automate workflows and deliver more adaptive user experiences, which may shift customer expectations and alter how expense management solutions are evaluated and adopted. With the introduction of new technologies and the entry of new companies into the market, we expect competition to persist and intensify. Additionally, it is possible that larger companies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6" w:name="page47"/>
    <w:bookmarkEnd w:id="46"/>
    <w:p>
      <w:pPr>
        <w:spacing w:after="0" w:line="2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cannot assure you that we will be able to compete successfully against any current, emerging, and future competitors or provide sufficiently differentiated products and services to our customer base in any of the markets we serve. Increasing competition from current and emerging competitors, consolidation of our competitors, the introduction of new technologies, and the continued expansion of existing technologies may force us to make changes to our business model, which could adversely affect our business, financial condition, results of operations, and prospects.</w:t>
      </w:r>
    </w:p>
    <w:p>
      <w:pPr>
        <w:spacing w:after="0" w:line="127"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If our customers or users of our platform engage in, or are subject to, fraud, criminal activity, or inappropriate conduct, our reputation, brand, business, financial condition, and results of operations could be harmed.</w:t>
      </w:r>
    </w:p>
    <w:p>
      <w:pPr>
        <w:spacing w:after="0" w:line="8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not able to control or predict the actions of our customers or users during their engagement with our platform or otherwise. We face the risk of criminal activity, fraud, and inappropriate conduct from users or individuals impersonating users on our platform. Such risks include identity theft, use of stolen or fraudulent credit card data, social engineering attacks to gain unauthorized account access, and fraudulent exploitation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If our platform is perceived as a conduit for such activity or if we fail to effectively detect and prevent these threats, our brand reputation could be seriously damaged, resulting in negative press coverage, customer attrition, damage to our supplier relationships, and reduced market confidence. The financial impact of such fraudulent activities is often difficult to quantify quickly or with precision due to the complexity of certain of these schemes. Consequently, the negative effects on our financial results may continue into future periods or have a greater impact than initially anticipated, even after the fraudulent activity has been terminated. If the fraudulent activity occurs through systems controlled by any of our partners, such as our suppliers, we may be unable to remediate or prevent this activity in a timely manner or at all due to limitations in, or our ability to, interact with such systems. The process of identifying the full scope of losses often requires extensive investigation, potentially delaying financial reporting and creating additional operational challenges.</w:t>
      </w:r>
    </w:p>
    <w:p>
      <w:pPr>
        <w:spacing w:after="0" w:line="13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Our failure to adequately detect, address, or prevent these fraudulent transactions could result in multiple adverse consequences beyond direct financial losses, including:</w:t>
      </w:r>
    </w:p>
    <w:p>
      <w:pPr>
        <w:spacing w:after="0" w:line="9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damage to our reputation and brand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regulatory action across multiple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errors in financial statements potentially requiring corrections or restatements;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preparing and filing periodic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failures to meet our reporting and other obligations as a public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expenses for remediation and enhanced security measures.</w:t>
      </w:r>
    </w:p>
    <w:p>
      <w:pPr>
        <w:spacing w:after="0" w:line="1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These risks extend beyond direct fraud against our systems. If criminal, inappropriate, or other negative incidents occur due to the conduct of customers, users, suppliers, or other third parties using our platform, our ability to attract and retain business relationships may be harmed. These incidents can significantly undermine confidence in our services, even when we are not directly at fault.</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our platform continues to grow in scale and geographic reach, the sophistication and variety of potential fraud schemes will likely evolve in parallel. This requires continuous investment in fraud detection technologies, security protocols, and specialized personnel to protect our platform integrity and financial stability. The travel industry is particularly vulnerable to these risks due to the high transaction values and complex payment systems involved, making effective fraud prevention a critical component of our operational strategy and long-term business viability. If criminal, inappropriate, or other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4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incidents occur due to the conduct of third parties, our ability to attract and retain customers may be harmed, and our reputation, business, and financial results could be harmed.</w:t>
      </w:r>
    </w:p>
    <w:p>
      <w:pPr>
        <w:spacing w:after="0" w:line="101"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If the prices we charge in connection with our offerings are unacceptable to our customers, our business, financial condition, and results of operations may be adversely impacted.</w:t>
      </w:r>
    </w:p>
    <w:p>
      <w:pPr>
        <w:spacing w:after="0" w:line="8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primarily generate revenue through commissions received from our suppliers based on the dollar volume of bookings made by users on our platform as well as per-trip or per-transaction fees from customers for access to our travel management platform or on-demand travel management services. We also generate revenue from annual subscription fees paid by our customers for access to our expense management offerings. As the market for our platform matures, or as new or existing competitors introduce new products or services that compete with ours, we may experience pricing pressure and be unable to renew our agreements with existing customers or attract new customers at prices that are consistent with our pricing model and operating budget. Moreover, our pricing strategy may come under pressure due to industry developments or macroeconomic conditions that are out of our control, including changes in available travel inventory, changes in inventory network standards like the NDC, reduced commission rates, or changes to interchange fees, as well as overall inflation and budget constraints impacting customers in an uncertain macroeconomic environment. Our pricing strategy for existing and new offerings we introduce may prove to be unappealing to our customers, and our competitors could choose to bundle certain products and services competitive with ours. If this were to occur, it is possible that we would have to change our pricing strategies or reduce our prices, which could adversely affect our business, financial condition, results of operations, and prospects.</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0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internal tools have a number of limitations and our methodologies for tracking these metrics may change over time, which could result in unexpected changes to our metrics, including the metrics we report. We calculate and track performance metrics with internal tools, which are not independently verified by any third party. While we believe our metrics are reasonable estimates of our business and financial performance for the applicable period of measurement, the methodologies used to measure these metrics require significant judgment and may be susceptible to algorithm or other technical errors. For example, the accuracy and consistency of our performance metrics may be impacted by changes to internal assumptions regarding how we account for and track customers, limitations on system implementations, and limitations on third-party tools’ ability to match our database.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or growth trends; if we discover material inaccuracies in our metrics; or if the metrics we rely on to track our performance do not provide an accurate measurement of our business, our reputation may be harmed, we may be subject to legal or regulatory actions, and our business, financial condition, results of operations, and prospects could be adversely affected.</w:t>
      </w:r>
    </w:p>
    <w:p>
      <w:pPr>
        <w:spacing w:after="0" w:line="135"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included in this prospectus may prove to be inaccurate, and even if the markets in which we compete achieve the forecasted growth, our business could fail to grow at similar rates, if at all.</w:t>
      </w:r>
    </w:p>
    <w:p>
      <w:pPr>
        <w:spacing w:after="0" w:line="85" w:lineRule="exact"/>
        <w:rPr>
          <w:sz w:val="20"/>
          <w:szCs w:val="20"/>
          <w:color w:val="auto"/>
        </w:rPr>
      </w:pPr>
    </w:p>
    <w:p>
      <w:pPr>
        <w:jc w:val="both"/>
        <w:ind w:right="380" w:firstLine="324"/>
        <w:spacing w:after="0" w:line="268" w:lineRule="auto"/>
        <w:rPr>
          <w:sz w:val="20"/>
          <w:szCs w:val="20"/>
          <w:color w:val="auto"/>
        </w:rPr>
      </w:pPr>
      <w:r>
        <w:rPr>
          <w:rFonts w:ascii="Arial" w:cs="Arial" w:eastAsia="Arial" w:hAnsi="Arial"/>
          <w:sz w:val="18"/>
          <w:szCs w:val="18"/>
          <w:color w:val="auto"/>
        </w:rPr>
        <w:t>The estimates of market opportunity and forecasts of market growth included in this prospectus may prove to be inaccurate. Market opportunity estimates and growth forecasts included in this prospectus, including those we have generated ourselves or that include our data, are subject to significant uncertainty and are based on assumptions and estimates that may not prove to be accurate,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8" w:name="page49"/>
    <w:bookmarkEnd w:id="48"/>
    <w:p>
      <w:pPr>
        <w:spacing w:after="0" w:line="24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risks described herein. Even if the markets in which we compete achieve the forecasted growth, our business could fail to grow at similar rates, if at all.</w:t>
      </w:r>
    </w:p>
    <w:p>
      <w:pPr>
        <w:spacing w:after="0" w:line="9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or travelers covered by our market opportunity estimates will purchase our offerings at all or generate any particular level of revenue for us. Any expansion in the markets in which we operate depends on a number of factors, including the cost, performance, and perceived value associated with our platform and those of our competitors. Even if the markets in which we compete meet the size estimates and growth forecasts, our business could fail to grow at similar rates, if at all. Our growth is subject to many factors, including our success in implementing our business strategy, which is subject to many risks and uncertainties. Accordingly, our forecasts of market growth included in this prospectus should not be taken as indicative of our future growth.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People</w:t>
      </w:r>
    </w:p>
    <w:p>
      <w:pPr>
        <w:spacing w:after="0" w:line="17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If we lose Ariel Cohen, our co-founder and Chief Executive Officer, or other key members of our management team or are unable to attract and retain executives and employees we need to support our operations and growth, our business may be harmed.</w:t>
      </w:r>
    </w:p>
    <w:p>
      <w:pPr>
        <w:spacing w:after="0" w:line="8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throughout our organization. The loss of key personnel, including key members of our management team or members of our board of directors, as well as certain of our key marketing, sales, finance, support, product development, human resources, or technology personnel, could disrupt our operations and have a negative impact on our ability to grow our business. In particular, Ariel Cohen, our co-founder and Chief Executive Officer, is critical to our overall management, as well as the continued development of our platform, offerings, culture, and strategic direction. Additionally, certain key members of our management team are based in, or spend considerable time in, Israel, including at our office in Tel Aviv, and the escalating military conflict between Iran and Israel may impact their safety and availability, potentially disrupting our operations and business continuity. From time to time, there may be changes in our management team resulting from the hiring or departure of executives and key employees, which could disrupt our business. In addition, we may face challenges retaining senior management of companies we acquire. Our senior management and key employees are employed on an at-will basis. We currently do not have “key person” insurance for any of our employees. Certain of our key employees have been with us for a long period of time and have fully vested stock options or other long-term equity incentives that may cease to be as attractive once we are a public company and such awards are publicly tradable. The loss of our founders, or one or more of our senior management, key members of senior management of acquired companies, or other key employees could harm our business, and we may not be able to find adequate replacements. To retain our senior management and key employees, we may also decide to provide them with certain compensation types and structures that may be perceived negatively by certain stakeholders or advisory groups or result in stockholder complaints or disputes, which could negatively impact our reputation, stock price, and business.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13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addition, to execute our business strategy, we must attract and retain highly qualified personnel. Competition for highly skilled personnel is intense, especially in the San Francisco Bay Area where we are headquartered, and where we have a need for highly skilled personnel, and we may not be successful in hiring or retaining qualified personnel to fulfill our current or future needs. We compete with many other companies for software developers with high levels of experience in designing, developing, and managing cloud-based software and payment systems, as well as for skilled legal and compliance and risk operations professionals. We may also face increased competition for personnel from other companies which adopt approaches to remote work that differ from ours. In addition, the current regulatory environment related to immigration is uncertain, including with respect to the availability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440" w:right="379" w:bottom="1440" w:gutter="0" w:footer="0" w:header="0"/>
        </w:sectPr>
      </w:pPr>
    </w:p>
    <w:bookmarkStart w:id="49" w:name="page50"/>
    <w:bookmarkEnd w:id="49"/>
    <w:p>
      <w:pPr>
        <w:spacing w:after="0" w:line="24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certain visas. Many of the companies with which we compete for experienced personnel have greater resources than we do and can frequently offer such personnel substantially greater compensation than we can offer.</w:t>
      </w:r>
    </w:p>
    <w:p>
      <w:pPr>
        <w:spacing w:after="0" w:line="9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value of our equity or equity awards declines, experiences significant volatility, or increases such that prospective employees believe there is limited upside to the value of our equity awards, it may adversely affect our ability to recruit and retain highly skilled employees. If we fail to attract new personnel or fail to retain and motivate our current personnel, our business and future growth prospects would be severely harmed. Inflationary pressures, or stress over economic, geopolitical, or pandemic-related events such as those the global market is currently experiencing, may also result in employee attrition. Further, our competitors may be successful in recruiting and hiring members of our management team or other key employees, and it may be difficult for us to find suitable replacements on a timely basis, on competitive terms, or at all. If we fail to identify, attract, develop, and integrate new personnel, or fail to retain and motivate our current personnel, our growth prospects would be adversely affected, which could adversely affect our business, financial condition,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6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adversely affect our business, financial condition, results of operations, and prospects.</w:t>
      </w:r>
    </w:p>
    <w:p>
      <w:pPr>
        <w:spacing w:after="0" w:line="124"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Our company values have contributed to our success. If we cannot maintain these values as we grow, we could lose certain benefits we derive from them, and our employee turnover could increase, which could harm our business.</w:t>
      </w:r>
    </w:p>
    <w:p>
      <w:pPr>
        <w:spacing w:after="0" w:line="8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believe that our company values have been and will continue to be a key contributor to our success. We have rapidly increased our workforce across all departments, and we expect to continue to hire across our business. Our anticipated headcount growth, combined with our transition from a privately-held to a publicly-traded company, may result in changes to certain employees’ adherence to our core company values. If we do not continue to maintain our adherence to our company values as we grow, including through any future acquisitions or other strategic transactions, we may experience increased turnover in a portion of our current employee base and may not continue to be successful in hiring future employees. Moreover, many of our employees may be eligible to receive significant proceeds from the sale of Class A common stock in the public markets following this offering. This may lead to higher employee attrition rates. If we do not replace departing employees on a timely basis, our business and growth may be harmed.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Privacy, Cybersecurity, and Intellectual Property</w:t>
      </w:r>
    </w:p>
    <w:p>
      <w:pPr>
        <w:spacing w:after="0" w:line="17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are subject to stringent and changing privacy and security laws, regulations, standards, policies, and contractual obligations related to data privacy and security. Our actual or perceived failure to comply with such obligations could lead to government investigations or enforcement actions, a disruption of our services, private litigation, changes to our business practices, increased costs of operations, adverse publicity, limitations on the use or adoption of our services, and other negative effects on our results of operations and business.</w:t>
      </w:r>
    </w:p>
    <w:p>
      <w:pPr>
        <w:spacing w:after="0" w:line="11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Our customers and travelers store personal, business, financial, and other sensitive information on our platform. In addition, we receive, store, and otherwise process personal and business information and other data, including sensitive, proprietary, or confidential information from and about actual and prospective customers and travelers, in addition to our employees and service providers. Our handling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such information is subject to a variety of evolving privacy and security laws and regulations, including regulation by various government agencies, such as the U.S. Federal Trade Commission and various state, local, and foreign governments.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publish privacy and security policies, representations, certifications, standards, publications, contracts, and other obligations to third parties related to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federal and state consumer protection laws and regulations, and other similar laws (such as wiretapping laws) govern the collection, use, disclosure, and protection of personal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or the CCPA, requires, among other things, that covered businesses provide disclosures to California residents and afford residents abilities to opt-out of certain sales of personal information, and gives California residents the ability to limit use of certain sensitive information. The CCPA provides for fines and allows private litigants affected by certain data breaches to recover significant statutory damages. These laws demonstrate the evolving regulatory environment related to personal information and make it difficult to predict the impact of such laws on our business or operations. Such complexities have required and may continue to require us to modify our data-processing practices and policies and to incur substantial costs and expenses in an effort to comply. Similar laws are being considered in several other states, as well as at the federal and local levels, and we expect more states to pass similar laws in the future.</w:t>
      </w:r>
    </w:p>
    <w:p>
      <w:pPr>
        <w:spacing w:after="0" w:line="14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addition, several foreign countries and governmental bodies, including the EU, and the UK, have laws and regulations governing the handling and processing of personal information, which are more restrictive than those in the United States. Laws and regulations in these jurisdictions apply broadly to the collection, use, storage, disclosure, security, transfer, and other processing of various types of data, including data that identifies or may be used to identify an individual. Our current and prospective service offerings subject us to the European Union General Data Protection Regulation 2016/679, or the EU GDPR, the United Kingdom (UK) Data Protection Act of 2018 that effectively implemented EU GDPR under UK law and later amended by virtue of the European Union (Withdrawal) Act 2018, collectively the UK GDPR, other EU member state-implementing legislation, and the privacy laws of many other foreign jurisdictions.</w:t>
      </w:r>
    </w:p>
    <w:p>
      <w:pPr>
        <w:spacing w:after="0" w:line="12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For example, the EU GDPR and the UK GDPR impose stringent requirements for controllers and processors of personal data of individuals within the European Economic Area, or EEA, and the UK, respectively, and non-compliance may trigger robust regulatory investigation or enforcement and fines of up to the greater of €20 million or 4% of the annual global revenue in respect of the EU GDPR, and up to the greater of £17.5 million or up to 4% of annual global revenue in respect of the UK GDPR. Companies that violate the EU GDPR or the UK GDPR can also face prohibitions on data processing and other corrective action, such as class action lawsuits brought by classes of data subjects or by consumer protection organizations authorized at law to represent their interests. Other countries outside of Europe increasingly emulate European data protection laws. As another example, the General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Law (Lei Geral de Proteção de Dados Pessoais, or “LGPD”) (Law No. 13,709/2018) applies to our operations. The LGPD broadly regulates processing personal data of individuals in Brazil and imposes compliance obligations and penalties comparable to those of the EU GDPR. The Swiss Federal Act on Data Protection, or the FADP, also applies to the collection and processing of personal data, including health-related information, by companies located in Switzerland, or in certain circumstances, by companies located outside of Switzerland. We also have operations in Singapore and may be subject to new and emerging data privacy regimes in Asia, including Singapore’s Personal Data Protection Act. As a result, operating our business or offering our services in Europe or other countries with similar data protection laws would subject us to substantial compliance costs and potential liability and may require changes to the ways we collect and use personal information.</w:t>
      </w:r>
    </w:p>
    <w:p>
      <w:pPr>
        <w:spacing w:after="0" w:line="13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23"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(such as China, Russia, and Iran) and covered individuals (meaning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12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designed to protect our data and our customers’ data against loss, misuse, corruption, misappropriation caused by systems failures, or unauthorized access. If our policies, procedures, or measures relating to privacy, data protection, information security, marketing, or customer communications fail to comply with laws, regulations, policies, legal obligations, or industry standards, we may be subject to governmental enforcement actions, litigation, regulatory investigations, fines, penalties, and negative publicity, and it could cause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52" w:name="page53"/>
    <w:bookmarkEnd w:id="52"/>
    <w:p>
      <w:pPr>
        <w:spacing w:after="0" w:line="24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application providers, customers, suppliers, and other partners to lose trust in us, which could harm our business, financial condition, results of operations, and prospects.</w:t>
      </w:r>
    </w:p>
    <w:p>
      <w:pPr>
        <w:spacing w:after="0" w:line="9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Because the interpretation and application of privacy, data protection and information security laws, regulations, rules, and other standards and obligations are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negatively impact our business, financial condition, results of operations, and prospects.</w:t>
      </w:r>
    </w:p>
    <w:p>
      <w:pPr>
        <w:spacing w:after="0" w:line="12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Our business is heavily reliant on revenue from behavioral, interest-based, or tailored advertising, which we refer to collectively as targeted advertising, but delivering targeted advertisements is becoming increasingly difficult due to changes to our ability to gather information about user behavior through third party platforms, new laws and regulations, and consumer resistance. For example, in 2021,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The ePrivacy Regulation and national implementing laws are anticipated to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offerings, and any of these developments or changes could significantly impair our ability to reach new or existing customers or otherwise negatively affect our operations.</w:t>
      </w:r>
    </w:p>
    <w:p>
      <w:pPr>
        <w:spacing w:after="0" w:line="1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Further, our business relies significantly on our ability to accept credit or debit card payments. Such payments are subject to the Payment Card Industry, or PCI, Data Security Standard, which is a multifaceted security standard that is designed to protect credit card account data as mandated by PCI entities. We rely on vendors to handle PCI matters and to ensure PCI compliance. Despite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compliance efforts, we may become subject to claims that we have violated the PCI Data Security Standard, or PCI-DSS, based on past, present, and future business practices. In addition, payment card networks may adopt changes to the PCI-DSS, or change their interpretations of such rules in a way that we or our processors might find it difficult or even impossible to follow, or costly to implement. If we violate the PCI-DSS or other applicable rules, we may incur fines, restrictions on our ability to accept payment cards, or suffer reputational harm, all of which could have an adverse impact on our business. Noncompliance with PCI-DSS can result in penalties ranging from $5,000 to $100,000 per month by credit card companies, litigation, damage to our reputation, and revenue losses.</w:t>
      </w:r>
    </w:p>
    <w:p>
      <w:pPr>
        <w:spacing w:after="0" w:line="12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with whom we work have in some cases filed and may fail in the future to comply with such obligations, which could negatively impact our business operations. Any failure or perceived failure by us to comply with laws, regulations, policies, legal, or contractual obligations, industry standards, or regulatory guidance relating to privacy, data protection, or information security, may result in governmental investigations and enforcement actions, litigation (including class claims), fines and penalties, or adverse publicity, and could cause our customers, travelers, suppliers, and other partners to lose trust in us, which could have an adverse effect on our reputation and business. Furthermore, there can be no assurance that the limitations of liability in our contracts would be enforceable or adequate or would otherwise protect us from liabilities or damages if we fail to comply with applicable privacy and security laws, privacy policies, or data protection obligations related to information security or security breaches.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2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expect that there will continue to be new proposed laws, regulations, and industry standards relating to privacy, data protection, information security, marketing, and consumer communications,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customer base and increase revenue. Future restrictions on the collection, use, sharing, or disclosure of data, or additional requirements for express or implied consent of our customers, travelers, suppliers, or other partners for the use and disclosure of such information could require us to incur additional costs or modify our platform, possibly in a material manner, and could limit our ability to develop new functionality.</w:t>
      </w:r>
    </w:p>
    <w:p>
      <w:pPr>
        <w:spacing w:after="0" w:line="12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our business, financial condition, or reputation could be harmed, and we may be forced to implement new measures to reduce our exposure to this liability. This may require us to expend substantial resources or to discontinue certain products or services, which would negatively affect our business, financial condition, and results of operations. In addition, the increased attention focused upon liability issues as a result of lawsuits, regulatory investigations, and legislative proposals could harm our reputation or otherwise adversely affect the growth of our business. Furthermore, any costs incurred as a result of this potential liability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116"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In the ordinary course of our business, we, our suppliers, payment or expense service partners, our other partners, our customers, and the third-party vendors and data centers that we use, obtain and process large amounts of sensitive data, including personal data related to our customers and travelers and their transactions, as well as other data of the counterparties to their transactions.</w:t>
      </w:r>
    </w:p>
    <w:p>
      <w:pPr>
        <w:spacing w:after="0" w:line="11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and the suppliers, partners and other third-party vendors and data centers that we use, have experienced, and may in the future experience, cybersecurity attacks and threats, including threats or attempts to disrupt our information technology infrastructure and unauthorized attempts to gain access to sensitive or confidential information. Cybersecurity incidents and malicious internet-based activity continue to increase, and providers of cloud-based services have frequently been targeted by such attacks. These cybersecurity challenges, including threats to our own IT infrastructure or those of our customers or third-party providers, may take a variety of forms ranging from stolen credit cards, compromised business and personal information, errors or malfeasance of our personnel, including personnel who have authorized access to our systems and/or information, customer employee fraud, account takeover, social engineering (including through deep fakes, which may be increasingly more difficult to identify as fake, and phishing attacks), ransomware, malicious code (such as viruses and worms), malware (including as a result of advanced persistent threat intrusions), denial-of-service attacks, credential stuffing attacks, credential harvesting, personnel misconduct or error,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and can lead to significant interruptions in our operations, ability to provide our offerings,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These could be initiated by individuals or groups of hackers or sophisticated cyber criminals (including the deployment of harmful malware such as malicious code, viruses, and worms). State-sponsored cybersecurity attacks could also harm our business, financial condition, results of operations, and prospects.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significantly disrupt our systems and operations, supply chain, and ability to provide our services.</w:t>
      </w:r>
    </w:p>
    <w:p>
      <w:pPr>
        <w:spacing w:after="0" w:line="13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1"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color w:val="auto"/>
        </w:rPr>
        <w:t>We employ a shared responsibility model where our customers are responsible for using, configuring and otherwise implementing security measures related to our platform and offerings in a manner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40" w:right="359" w:bottom="1440" w:gutter="0" w:footer="0" w:header="0"/>
        </w:sectPr>
      </w:pPr>
    </w:p>
    <w:bookmarkStart w:id="55" w:name="page56"/>
    <w:bookmarkEnd w:id="55"/>
    <w:p>
      <w:pPr>
        <w:spacing w:after="0" w:line="2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be adversely impacted.</w:t>
      </w:r>
    </w:p>
    <w:p>
      <w:pPr>
        <w:spacing w:after="0" w:line="12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techniques used to sabotage or to obtain unauthorized access to our information technology systems or those upon whom we rely to process our information change frequently, and we have not always been able in the past and may be unable in the future to anticipate such techniques or implement adequate preventative measures or to stop security breaches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 Third parties may also attempt to and successfully exploit vulnerabilities in, or obtain unauthorized access to, platforms, systems, networks, and/or physical facilities utilized by us or others upon whom we rely. For more information on this risk, see the section titled “—Risks Related to Our Business and Industry—Dependence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2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Even if we have issued or otherwise made patches or information for vulnerabilities in our software applications or offerings, our customers may be unwilling or unable to deploy such patches and use such information effectively and in a timely manner. Vulnerabilities could be exploited and result in a security incident.</w:t>
      </w:r>
    </w:p>
    <w:p>
      <w:pPr>
        <w:spacing w:after="0" w:line="12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and our suppliers have in the past experienced cybersecurity incidents of a limited scale. We may be unable to anticipate or prevent techniques used in the future to obtain unauthorized access or to sabotage systems because they change frequently and often are not detected until after an incident has occurred.</w:t>
      </w:r>
    </w:p>
    <w:p>
      <w:pPr>
        <w:spacing w:after="0" w:line="11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certain administrative, technical, and physical security measures in place, and we have policies and procedures in place to contractually require service providers to whom we disclose data to implement and maintain reasonable privacy, data protection, and information security measures. Certain data privacy and security obligations have required us to implement and maintain specific security measures or industry-standard or reasonable security measures to protect our information technology systems and sensitive information. However, if our privacy protection, data protection, or information security measures or those of the previously mentioned third parties are inadequate or are breached or perceived to have occurred, our reputation and business could be damaged. Recent high-profile security breaches and related disclosures of sensitive data by large institutions suggest that the risk of such events is significant, even if privacy, data protection, and information security measures are implemented and enforced. If sensitive information is lost or improperly disclosed or threatened to be disclosed, we could incur significant costs associated with remediation and the implementation of additional security measures, and may incur significant liability and financial loss, and be subject to regulatory scrutiny, investigations, proceedings,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0" w:right="359" w:bottom="1440" w:gutter="0" w:footer="0" w:header="0"/>
        </w:sectPr>
      </w:pPr>
    </w:p>
    <w:bookmarkStart w:id="56" w:name="page57"/>
    <w:bookmarkEnd w:id="56"/>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Additionally, if our own confidential business information were improperly disclosed, our business, financial condition, results of operations, and prospects could be harmed.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other customers and travelers, prevent us from obtaining new partners and other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Further, applicable privacy and security obligations may require us to notify relevant stakeholders of security incidents. Such disclosures are costly, and the disclosures or the failure to comply with such requirements could lead to adverse consequences. Any actual or perceived security breach at a company providing services to us or our customers could have similar effects. Further, as many of our employees continue to work remotely, such as our customer support agents, these cybersecurity risks are heightened by an increased attack surface across our business and those of our partners and service providers. We have heightened monitoring in the face of such risks, but cannot guarantee that our efforts, or the efforts of those upon whom we rely and partner with, will be successful in preventing any such information security incidents.</w:t>
      </w:r>
    </w:p>
    <w:p>
      <w:pPr>
        <w:spacing w:after="0" w:line="13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or that of our customers could be leaked, disclosed, or revealed as a result of or in connection with our employees’, personnel’s, or vendors’ use of AI technologies.</w:t>
      </w:r>
    </w:p>
    <w:p>
      <w:pPr>
        <w:spacing w:after="0" w:line="122"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as a result of cybersecurity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negatively impact our business, financial condition, results of operations, and prospects.</w:t>
      </w:r>
    </w:p>
    <w:p>
      <w:pPr>
        <w:spacing w:after="0" w:line="13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suppliers and other partners, we may become less competitive and our business, results of operations, and financial condition may be harmed.</w:t>
      </w:r>
    </w:p>
    <w:p>
      <w:pPr>
        <w:spacing w:after="0" w:line="10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suppliers and other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(including legacy software) or APIs;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7" w:name="page58"/>
    <w:bookmarkEnd w:id="57"/>
    <w:p>
      <w:pPr>
        <w:spacing w:after="0" w:line="24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agreements under which we in-license intellectual property or technology from third parties may be complex, and certain provisions in such agreements may be susceptible to multiple interpretations. The resolution of any contract interpretation disagreement that may arise could narrow the scope of our rights to the relevant technology or increase our financial or other obligations. Moreover, if disputes over intellectual property we have in-licensed, or in-license in the future, prevent or impair our ability to maintain our licensing arrangements on commercially acceptable terms, we may experience disruptions to our business or to the development of product candidates. Any of the foregoing outcomes could harm our business, financial condition, and results of operations.</w:t>
      </w:r>
    </w:p>
    <w:p>
      <w:pPr>
        <w:spacing w:after="0" w:line="12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Should any of our third-party services or product providers modify their products or standards in a manner that degrades the functionality of our platform or gives preferential treatment to competitive products or services, whether to enhance their competitive position or for any other reason, or if we are not permitted or able to integrate with these and other third-party applications in the future, our business, results of operations, and financial condition could be harmed. In addition, some of our competitors may be able to disrupt the operations or compatibility of our platform with their products or services. Such competitors may also be able to exert strong business influence on our ability to, and the terms on which we, operate our platform.</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Further, our platform includes mobile applications to enable individuals and companies to access our platform through their mobile devices. If our mobile applications do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of our offerings and engagement with our platform. Also, we may not be successful in developing or maintaining relationships with key participants in the mobile industry or in ensuring that our platform operates effectively with a range of operating systems, networks, devices, browsers, protocols, and standards. If we are unable to effectively anticipate and manage these risks, or if it is difficult for customers to access and use our platform, our business, financial condition, results of operations, and prospects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open-source software in our platform, which could subject us to litigation or other actions.</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use open-source software in our platform. Using open source software can incur greater risk than using third-party commercial software due to the fact that open source licensors do not provide warranties, maintenance and support, or other contractual protections. Open source software may also present a heightened risk of security vulnerabilities, including due to the intentional acts of malicious actors who inject such vulnerabilities into the code, or to older versions of the software not remaining current with applicable updates and patches to address vulnerabilities or other bugs. In addition, if we were to combine our proprietary technology with open-source software in a certain manner under certain open-source licenses, we could be required to release the source code of our proprietary technology. While we take precautions to monitor our use of open-source software, if we inappropriately use or incorporate open-source software subject to certain types of open-source licenses that challenge the proprietary nature of our offerings, we may be subject to claims that we violated the license requirements, or be required to re-engineer such offerings, discontinue the sale of such offerings, or take other remedial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49"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10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currently use AI, including Gen AI and ML, in our platform framework and our offerings, as well as new agentic AI and Gen AI developments, including in our Navan Cognition framework. The rapid evolution of AI, including Gen AI and ML, technologies will continue to require the application of significant resources to adopt, develop, test, integrate, and maintain the technologies included in our platform framework and our offerings in order to remain competitive, implement these technologies responsibly, and minimize unintended or harmful impacts. There are significant risks involved in adopting, developing, maintaining, and deploying these technologies, and there can be no assurance that the usage of such technologies will enhance our offerings or services or be beneficial to our business, including our efficiency or profitability. In particular, AI, including Gen AI and ML, technologies may be incorrectly designed or implemented; may be trained or reliant on incomplete, inadequate, inaccurate, biased, or otherwise poor quality data or on data to which we or third parties do not have sufficient rights; may produce results that are inaccurate or incomplete or may take unintended actions from user queries and inputs, even with no hallucinations; and/or may be adversely impacted by unforeseen defects, technical challenges, cybersecurity threats, third-party litigation or regulatory action, or material performance issues. Any of the above could negatively impact the performance of our offerings and business, as well as our reputation, and we could be subject to civil claims or incur liability and costs resulting from the actual or perceived violation of laws or contracts to which we are a party.</w:t>
      </w:r>
    </w:p>
    <w:p>
      <w:pPr>
        <w:spacing w:after="0" w:line="13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AI technologies, including agentic AI, may be vulnerable to adversarial user behavior or create inaccurate or misleading content or other discriminatory or unexpected results or behaviors, such as hallucinatory behavior that can generate irrelevant, unintended, nonsensical, or factually incorrect results. Our customers may rely on or use this flawed content or information to their detriment, which may expose us to brand or reputational harm, competitive harm, consumer complaints, legal liability, and other adverse consequences, any of which could harm our business, results of operations, and financial condition.</w:t>
      </w:r>
    </w:p>
    <w:p>
      <w:pPr>
        <w:spacing w:after="0" w:line="12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Development, maintenance and operation of AI, including Gen AI and ML, technologies requires additional investment in the development of proprietary datasets, machine learning models, and systems to train and operate models, and monitor and test for accuracy, bias, and other variables, which are complex, costly, and could impact our profit margin as we expand the use of AI, including Gen AI and ML, technologies in our offerings.</w:t>
      </w:r>
    </w:p>
    <w:p>
      <w:pPr>
        <w:spacing w:after="0" w:line="12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to our proprietary technologies, we use, or may use, AI, including Gen AI and ML, technologies licensed from third parties. Our ability to continue to adopt, integrate and use such technologies at the scale we may need may be dependent on access to specific third-party software and infrastructure, such as processing hardware or third-party AI models, and we cannot control the quality, availability or pricing of such third-party software and infrastructure, especially in a highly competitive environment. If any such third-party AI, including Gen AI and ML, technologies become incompatible with our offerings or unavailable for use or have degradations in performance, or if the providers of such models unfavorably change the terms on which their AI, including Gen AI and ML, technologies are offered or terminate their relationship with us, our solutions may become less appealing to our customers. In addition, to the extent any third-party AI, including Gen AI and ML, technologies are used as a vendor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31"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face competition from other companies in our industry with respect to the development and deployment of AI, including Gen AI and ML, technologies to enhance our competitive offerings. Those other companies may develop AI, including Gen AI and ML, technologies that are similar or superior to ours and/or are more cost-effective and/or quicker to develop, deploy, and maintain. Any inability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4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develop, offer or deploy new AI, including Gen AI and ML, technologies as effectively, quickly and/or as cost-efficiently as our competitors could negatively impact our operating results, customer relationships, and growth.</w:t>
      </w:r>
    </w:p>
    <w:p>
      <w:pPr>
        <w:spacing w:after="0" w:line="9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regulatory and intellectual property frameworks governing the use and protection of AI, including Gen AI and ML, technologies and of its outputs are rapidly evolving, and we cannot predict how future legislation and regulation will impact our ability to offer and protect offerings that we develop which leverage AI, including Gen AI and ML, technologies. Many federal, state, and foreign government bodies and agencies have introduced or proposed additional laws and regulations, such as the EU AI Act. Additionally, existing laws and regulations may be interpreted in ways that would affect the operation of and availability of IP protection for our AI, including Gen AI and ML, technologies, as well as the outputs from our use of such technologies. As a result,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 Already, certain existing legal regimes (such as those relating to data privacy) regulate certain aspects of AI, including Gen AI and ML, technologies, and new laws regulating AI, including Gen AI and ML, technologies are expected to continue to be proposed and enacted in the United States and globally. Additionally, certain privacy laws extend rights to consumers (such as the right to delete certain personal data) and regulate automated decision making, which may be incompatible with our use of AI, including Gen AI and ML. These obligations may make it harder for us to conduct our business using AI, including Gen AI and ML, lead to regulatory fines or penalties, require us to change our business practices, retrain our AI, including Gen AI and ML, or prevent or limit our use of AI, including Gen AI and ML. For example, the FTC has required other companies to turn over (or disgorge) valuable insights or trainings generated through the use of AI, including Gen AI and ML where they allege the company has violated privacy and consumer protection laws.</w:t>
      </w:r>
    </w:p>
    <w:p>
      <w:pPr>
        <w:spacing w:after="0" w:line="13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It is also possible that new laws and regulations will be adopted in the United States and in other non-U.S. jurisdictions, or that existing laws and regulations, including data privacy, consumer protection, competition laws, may be interpreted in ways that would limit our ability to use AI, including Gen AI and ML, technologies for our business, or require us to change the way we use AI, including Gen AI and ML, technologies in a manner that negatively affects the performance of our offerings, services, and business and requires us to expend resources and adjust our offerings or services in certain jurisdictions. Further, the cost to comply with such laws, regulations, or decisions and/or guidance interpreting existing laws, could be significant and would increase our operating expenses (such as by imposing additional reporting obligations regarding our use of AI, including Gen AI and ML, technologies). Such an increase in operating expenses, as well as any actual or perceived failure to comply with such laws and regulations, could adversely affect our business, financial condition and results of operations.</w:t>
      </w:r>
    </w:p>
    <w:p>
      <w:pPr>
        <w:spacing w:after="0" w:line="12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Any sensitive information (including confidential, competitive, proprietary, or personal data) that we or our customers and their users input into a third-party Gen AI, including Gen AI or ML, platform could be leaked or disclosed to others, including if sensitive information is used to train the third parties’ AI, including Gen AI or ML, model. Additionally, where an AI, including Gen AI or ML, model ingests personal data and makes connections using such data, those technologies may reveal other personal or sensitive information generated by the model.</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failure or inability to protect our intellectual property rights, or claims by others that we are infringing upon or unlawfully using their intellectual property, could diminish the value of our brand and weaken our competitive position, and could adversely affect our business, financial condition, results of operations, and prospects.</w:t>
      </w:r>
    </w:p>
    <w:p>
      <w:pPr>
        <w:spacing w:after="0" w:line="104" w:lineRule="exact"/>
        <w:rPr>
          <w:sz w:val="20"/>
          <w:szCs w:val="20"/>
          <w:color w:val="auto"/>
        </w:rPr>
      </w:pPr>
    </w:p>
    <w:p>
      <w:pPr>
        <w:ind w:right="300" w:firstLine="324"/>
        <w:spacing w:after="0" w:line="291" w:lineRule="auto"/>
        <w:rPr>
          <w:sz w:val="20"/>
          <w:szCs w:val="20"/>
          <w:color w:val="auto"/>
        </w:rPr>
      </w:pPr>
      <w:r>
        <w:rPr>
          <w:rFonts w:ascii="Arial" w:cs="Arial" w:eastAsia="Arial" w:hAnsi="Arial"/>
          <w:sz w:val="17"/>
          <w:szCs w:val="17"/>
          <w:color w:val="auto"/>
        </w:rPr>
        <w:t>We currently rely on a combination of copyright, patent, trademark, trade secret, and unfair competition laws, as well as confidentiality agreements and procedures and licensing arrangements, to establish and protect our intellectual property rights. We have devoted substantial resources to the development of our proprietary technologies and related processes. In order to protect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technologies and processes, we rely in part on trade-secret laws and confidentiality agreements with our employees, licensees, independent contractors, suppliers, partners, and other advisors. These agreements may not effectively prevent disclosure of confidential information and may not provide an adequate remedy in the event of unauthorized disclosure of confidential information. We cannot be certain that the steps taken by us to protect our intellectual property rights will be adequate to prevent infringement of such rights by others. Additionally, the process of obtaining patent or trademark protection is expensive and time-consuming, and we may not be able to prosecute all necessary or desirable patent applications or apply for all necessary or desirable trademark applications at a reasonable cost or in a timely manner. Even if we are successful in such prosecutions, such legal protections may be incomplete or time-limited. Though an issued patent is presumed valid and enforceable, this presumption is not conclusive. Patents, if issued, may be challenged, deemed unenforceable, invalidated or circumvented and the related proceedings could be costly. And even if not invalidated, patents only have a limited lifespan.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that are competitive with our offerings. Thus, any patents that we may own may not provide any protection against competitors. Competitors may also attempt to replicate or reverse engineer our offerings, design around our patents, or develop and obtain patent protection for more effective products.</w:t>
      </w:r>
    </w:p>
    <w:p>
      <w:pPr>
        <w:spacing w:after="0" w:line="131"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Moreover,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Costly and time-consuming litigation could be necessary to enforce and determine the scope of our proprietary rights, and our failure or inability to obtain or maintain trade-secret protection or otherwise protect our proprietary rights could adversely affect our business, financial condition, results of operations, and prospects.</w:t>
      </w:r>
    </w:p>
    <w:p>
      <w:pPr>
        <w:spacing w:after="0" w:line="12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Additionally, although we require our employees, third-party providers, and contractors to assign or grant us rights in the intellectual property they create while working for us, we may not have entered into enforceable agreements in every case or may not have sufficient rights to certain works developed before the execution of such agreements. Further, applicable laws may limit the enforceability or scope of such assignments. If we are unable to adequately establish our ownership of intellectual property created for us, or if such intellectual property is later found to be owned by others, we could face claims of infringement, be required to obtain additional licenses on unfavorable terms, or lose valuable rights, any of which could adversely affect our business, financial condition, results of operations, and prospects.</w:t>
      </w:r>
    </w:p>
    <w:p>
      <w:pPr>
        <w:spacing w:after="0" w:line="12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have in the past and may in the future be subject to patent infringement and trademark claims and lawsuits in various jurisdictions, and we cannot be certain that our platform and solutions or activities do not violate the patents, trademarks, or other intellectual property rights of third-party claimants. Companies in the technology industry and other patent, copyright, and trademark-holders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 As we face increasing competition and gain an increasingly high profile, the intellectual property rights claims against us have grown and will likely continue to grow.</w:t>
      </w:r>
    </w:p>
    <w:p>
      <w:pPr>
        <w:spacing w:after="0" w:line="12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Further, from time to time, we may receive letters from third parties alleging that we are infringing upon their intellectual property rights or inviting us to license their intellectual property rights. Our technologies and other intellectual property may not be able to withstand such third-party claims, and successful infringement claims against us could result in significant monetary liability, prevent us from selling some of our products and services, or require us to change our branding. In addition, resolution of claims may require us to redesign our platform and offerings, license rights from third parties at a significant expense, or cease using those rights altogether. We may in the future bring claims against third parties for infringing our intellectual property rights. Costs of supporting such litigation and disputes may be considerable, and there can be no assurances that a favorable outcome will be obtained.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infringement, trademark infringement, trade secret misappropriation, and other intellectual property claims and proceedings brought against us or brought by us, whether successful or not, could require significant attention of our management and resources and have in the past and could further result in substantial costs, harm to our brand, and could adversely affect our business, financial condition, results of operations, and prospects.</w:t>
      </w:r>
    </w:p>
    <w:p>
      <w:pPr>
        <w:spacing w:after="0" w:line="124"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If we do not adequately identify our patentable inventions or protect our patent rights, the value of our offerings may be adversely affected and our business, financial condition, results of operations, and prospects could be adversely affected.</w:t>
      </w:r>
    </w:p>
    <w:p>
      <w:pPr>
        <w:spacing w:after="0" w:line="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issued patents and a number of pending patent applications in the United States to protect our intellectual property and competitive position. However, we may fail to timely identify or protect patentable inventions, particularly those arising in the course of development activities conducted by or on behalf of us. If we do not file for patent protection in a timely manner, we may lose the opportunity to secure such protection. Moreover, although we enter into confidentiality and non-disclosure agreements with employees, consultants, collaborators, suppliers, and other third parties, there is a risk that such parties could breach these agreements and disclose proprietary information before a patent application is filed, thereby jeopardizing our rights. We may also rely on in-licenses to patents or patent applications owned by third parties. Depending on the terms of the applicable licenses, we may not have control over the prosecution, maintenance, or enforcement of such intellectual property rights, and such activities may not be conducted in a manner that is consistent with our best interests.</w:t>
      </w:r>
    </w:p>
    <w:p>
      <w:pPr>
        <w:spacing w:after="0" w:line="12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Additionally, some of our current and future patents and applications may share ownership with or require cross-licenses with third parties. If we are unable to obtain exclusive rights to such shared or cross-licensed intellectual property, the other co-owners may license their rights to third parties, including competitors. Furthermore, enforcement of shared patents may require cooperation from co-owners, which may not be forthcoming. Any of these factors could impair our ability to protect our innovations, limit our competitive advantage, and adversely affect our business, financial condition, and results of operations.</w:t>
      </w:r>
    </w:p>
    <w:p>
      <w:pPr>
        <w:spacing w:after="0" w:line="127"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i w:val="1"/>
          <w:iCs w:val="1"/>
          <w:color w:val="auto"/>
        </w:rPr>
        <w:t>Our reliance on third parties, including employees located outside of the United States, for the development of our intellectual property exposes us to additional risks, including limited enforceability of intellectual property rights, potential violations of U.S. export controls, and increased risk of intellectual property theft or misappropriation.</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rely, or may rely, on employees and third-party service providers located outside of the United States for certain aspects of development for our products and services. The use of foreign developers may expose us to risks related to trade secrets, confidentiality, and the assignment of intellectual property rights, particularly where local laws may not recognize or enforce contractual provisions related to ownership or confidentiality in the same manner as we expect in the United States. We also face risks related to compliance with U.S. export control laws and regulations when sharing technology or technical data with foreign nationals. Any failure to adequately secure our intellectual property rights or comply with applicable laws could harm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73"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or may become material to our business. Our failure to comply could harm our business.</w:t>
      </w:r>
    </w:p>
    <w:p>
      <w:pPr>
        <w:spacing w:after="0" w:line="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directly and indirectly subject to local, state, and federal laws, rules, regulations, licensing and other authorization schemes, including card network scheme rules, and industry standards that govern our business, activities, as well as the services our vendors and our partners provide (such as our corporate card offering, which our partner banks offer via Navan). These laws, rules, regulations, and licensing and authorization schemes include, or may in the future include, those relating to banking, invoicing, cross-border and domestic money transmission, foreign exchange, payments services (such as payment processing and settlement services), lending, brokering, servicing, debt collection, anti-money laundering, counter-terrorism financing, escheatment, U.S. and international sanctions regimes,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compliance with the PCI Data Security Standard, which is a set of requirements designed to ensure that all companies that process, store, or transmit payment card information maintain a secure environment to protect cardholder data. These laws, rules, regulations, licensing and other authorization schemes, and industry standards are complex, subject to change, vary across different jurisdictions, and are implemented and enforced, in the United States by multiple authorities and governing bodies, including but not limited to the U.S. Department of the Treasury, the Federal Deposit Insurance Corporation, the Board of Governors of the Federal Reserve System, the U.S. Department of Treasury’s Office of Foreign Assets Control, or OFAC, self-regulatory organizations, state banking departments, and numerous state and local governmental and regulatory authorities. We may not always be able to accurately predict the scope or applicability of certain laws, rules, regulations, licensing schemes, or standards to our business, or interpretations of the same, particularly as we expand into new areas of operations, which could have a significant negative effect on our existing business and our ability to pursue future plans.</w:t>
      </w:r>
    </w:p>
    <w:p>
      <w:pPr>
        <w:spacing w:after="0" w:line="12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Banking agencies, including the Office of the Comptroller of the Currency, also have imposed requirements on regulated financial institutions to manage their third-party service providers. Among other things, these requirements include performing appropriate due diligence when selecting third -party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Our relationships with our banks, as well as third-party service providers we engage in connection with our banking relationships, require accommodating these requirements and therefore impose additional costs and risks on us in connection with such arrangements. We expect to expend significant resources on an ongoing basis in an effort to assist our bank partners in meeting their legal requirements.</w:t>
      </w:r>
    </w:p>
    <w:p>
      <w:pPr>
        <w:spacing w:after="0" w:line="12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may result in additional compliance and licensing or registration requirements, and may increase regulatory scrutiny of our business. We have been and may continue to be subject to such regulatory scrutiny. In particular, while we believe that we are not currently subject to licensing, registration, and related types of regulatory requirements with respect to our expense management offerings, we may still receive inquiries from regulators given our offering to corporate customers of credit cards issued by an issuing bank. Further, if any of our current or future product offerings become subject to additional lending-, payment-, or other financial service-related laws or regulations in the future, we could be subject to licensing and registration requirements that impose obligations and restrictions with respect to the investment of customer funds, reporting requirements, bonding requirements, minimum capital requirements, customer disclosure requirements, and oversight and examination by state regulatory agencies concerning various aspects of our business. This could also require changes to the manner in which we conduct some aspects of our business and increase our compliance costs.</w:t>
      </w:r>
    </w:p>
    <w:p>
      <w:pPr>
        <w:spacing w:after="0" w:line="136"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adoption of new or amended money transmitter or money services business statutes and regulations or changes in regulators’ interpretation of existing state and federal money transmitter or money services business statutes or regulations could subject us to new registration or licensing requirements. Such changes could also limit business activities until we are appropriately licensed. There can be no assurance that we will be able to obtain or maintain any such licenses, and, even if we were able to do so, there could be substantial costs and potential product changes involved in obtaining and maintaining such licenses, which could negatively impact our business. In addition, we may be forced to restrict or change our operations or business practices, make product changes, or delay planned product launches or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these laws and regulations are evolving, unclear, and inconsistent across various jurisdictions, and ensuring compliance with them is difficult and costly. With increasing frequency, federal and state regulators are holding businesses in the lending and payments industry to higher standards of training, monitoring, and compliance, including monitoring for possible violations of laws by our customers and people who do business with our customers while using our products. If we fail to comply with laws and regulations applicable to our business in a timely and appropriate manner, we may be subject to litigation or regulatory proceedings, we may have to pay fines and penalties, and our customer relationships and reputation may be adversely affected, which could negatively impact our business, results of operations, and financial condition. Any of the foregoing could negatively impact our brand, reputation, business, results of operations, and financial condition.</w:t>
      </w:r>
    </w:p>
    <w:p>
      <w:pPr>
        <w:spacing w:after="0" w:line="133" w:lineRule="exact"/>
        <w:rPr>
          <w:sz w:val="20"/>
          <w:szCs w:val="20"/>
          <w:color w:val="auto"/>
        </w:rPr>
      </w:pPr>
    </w:p>
    <w:p>
      <w:pPr>
        <w:jc w:val="both"/>
        <w:ind w:right="520"/>
        <w:spacing w:after="0" w:line="272"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counter-terrorism financing that could impair our ability to compete in international markets or subject us to criminal or civil liability if we violate such laws.</w:t>
      </w:r>
    </w:p>
    <w:p>
      <w:pPr>
        <w:spacing w:after="0" w:line="1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we continue to expand internationally, we will become subject to additional laws and regulations, and will need to implement new regulatory controls to comply with applicable laws. We are currently required to comply with U.S. economic and trade sanctions administered by OFAC, and we have processes in place to comply with such OFAC regulations as well as similar requirements in other jurisdictions, including the United Kingdom and European Union. Under OFAC and other applicable sanctions laws and regulations, direct and indirect transactions or other business dealings and activities, including the facilitation of such transactions and the provision of certain products and/or services, to specified countries, governments, individuals, and entities are prohibited. As part of our compliance efforts, we scan our customers and counterparties against OFAC and other governmental watch lists. We are also subject to or otherwise required by contract to comply with and address various anti-money laundering and counter-terrorist financing laws, regulations, and standards around the world that require the maintenance of an anti-money laundering compliance program and prohibit, among other things, facilitating transactions involving the proceeds of criminal activities or other illicit activities. Our financial institution partners as well as regulators in the United States and globally continue to increase their scrutiny of compliance with these obligations, which may require us to further invest resources in, or otherwise revise or expand our compliance program, including the procedures we use to verify the identity of our customers and to monitor transactions facilitated through our services, including payments to persons outside of the United States. Additionally, we currently engage in limited activity in OFAC-sanctioned regions based upon general licenses issued by OFAC to engage in such activity. We also have sought specific licenses from OFAC when required. We continue to review the OFAC sanctions and our practices to verify compliance. We could be subject to fines or other enforcement action, and cease and desist orders, if we are found to violate these laws, and our relationships with our financial institution partners could be at risk of or could be subject to termination or other adverse consequences.</w:t>
      </w:r>
    </w:p>
    <w:p>
      <w:pPr>
        <w:spacing w:after="0" w:line="13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Violations of sanctions and anti-money laundering laws and regulations could lead to fines, criminal sanctions against us, our officers, or our employees, cessation of business activities in sanctioned countries, implementation of compliance programs, and prohibitions on the conduct of our business. Any such violations could include prohibitions on our ability to offer our services in our or more countries, and could significantly damage our reputation, our brand, our international expansion efforts, our ability to attract and retain employees, and our business, prospects, operating results, and financial condition.</w:t>
      </w:r>
    </w:p>
    <w:p>
      <w:pPr>
        <w:spacing w:after="0" w:line="127"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subject to the FCPA, U.S. domestic bribery laws, and other anti-corruption laws, including the UK Bribery Act. Anti-corruption and anti-bribery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40" w:right="359" w:bottom="1440" w:gutter="0" w:footer="0" w:header="0"/>
        </w:sectPr>
      </w:pPr>
    </w:p>
    <w:bookmarkStart w:id="64" w:name="page65"/>
    <w:bookmarkEnd w:id="64"/>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expand operations abroad, we may engage with business partners and third-party intermediaries to market our services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In addition, we cannot assure you that all of our employees and agents will not take actions in violation of our Company compliance policies and applicable law, for which we may be ultimately held responsible. As we increase our international sales and business, our risks under these laws may increase.</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could harm our business, financial condition, results of operations, and prospects. Responding to any investigation or action will likely result in a significant diversion of management’s attention and resources and significant defense costs and other professional fees. If any subpoenas are received or investigations are launched, or governmental or other sanctions are imposed, or if we do not prevail in any possible civil or criminal proceeding, our business, financial condition, results of operations, and prospects could be adversely affected. In addition, the U.S. government may seek to hold us liable for successor liability for FCPA violations committed by companies in which we invest or that we acquire. As a general matter, investigations, enforcement actions, and sanctions could harm our reputation,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face risks associated with the growth of our business with certain heavily regulated industry verticals.</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market and sell our offering to customers in heavily regulated industry verticals. As a result, we face additional regulatory scrutiny, risks, and burdens from the governmental entities and agencies which regulate those industries. Selling to and supporting customers in heavily regulated verticals and expanding in those verticals will continue to require significant resources, and there is no guarantee that such efforts will be successful or beneficial to us. If we are unable to successfully maintain or expand our market share in such verticals, or cost-effectively comply with governmental and regulatory requirements applicable to our activities with customers in such verticals, our business, financial condition, and results of operations may be harmed.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to intellectual property litigation, we have in the past and may in the future become subject to legal proceedings and claims or regulatory inquiries or proceedings that arise in the ordinary course of business, such as claims brought by our customers in connection with commercial disputes, employment claims made by our current or former employees, or claims for reimbursement following misappropriation of customer data.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results of operations and leading analysts or potential investors to reduce their expectations of our performance, which could reduce the trading price of our Class A common stock. Litigation might result in substantial costs and may divert management’s attention and resources,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65" w:name="page66"/>
    <w:bookmarkEnd w:id="65"/>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additional tax liabilities as a result of changes in tax laws.</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subject to U.S. federal, state, and local income, sales, and other taxes in the United States, as well as foreign income, withholding, and value-added taxes, and other indirect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1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the tax regimes we are subject to or operate under are unsettled and may be subject to significant change, which may become increasingly challenging as we expand our operations globally. Changes in tax laws, issuance of new tax rulings, or changes in interpretations of existing laws could cause us to be subject to additional income-based and non-income-based taxes, including payroll, sales, use, value-added, digital, net worth, property, and goods and services taxes, which could adversely affect our results of operations and financial condition. In particular, the U.S. government has proposed and may enact significant changes to the taxation of business entities including, among other changes, the imposition of minimum taxes or surtaxes on certain types of income, changes to the taxation of income derived from international operations, changes in the deduction and amortization of research and development expenditures, and limitations on the deductibility of business interest. For example, in 2022, the Inflation Reduction Act was signed into law in the United States, which enacted, among other changes, a minimum tax on certain corporations with book income of at least $1 billion, subject to certain adjustments, and a 1% excise tax on certain stock buybacks and similar corporate actions. The issuance of additional regulatory or accounting guidance related to these and any future changes in tax law could significantly affect our tax obligations and effective tax rate in the period issued.</w:t>
      </w:r>
    </w:p>
    <w:p>
      <w:pPr>
        <w:spacing w:after="0" w:line="11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our tax obligations and effective tax rate in the countries where we do business could increase as a result of international tax developments, including the implementation of certain initiatives led by the Organization for Economic Cooperation and Development, or the OECD, and the European Commission. For example, the OECD has been leading multilateral efforts on proposals, commonly referred to as “BEPS 2.0”, which involve the reallocation of taxing rights in respect of certain multinational enterprises above a fixed profit margin to the jurisdictions in which they carry on business (referred to as “Pillar One”) and the imposition of a minimum effective corporate tax rate (referred to as “Pillar Two”). A number of countries in which we conduct business have enacted, or are in the process of enacting, core elements of the Pillar Two rules. Based on our understanding of the applicable minimum revenue thresholds, we currently expect that we do not fall within the scope of either Pillar One or Pillar Two rules, however, we anticipate that we may become subject to the Pillar Two rules in the foreseeable future, which could increase our overall tax obligations and result in additional compliance costs.</w:t>
      </w:r>
    </w:p>
    <w:p>
      <w:pPr>
        <w:spacing w:after="0" w:line="12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Due to expansion of our international business activities, any changes in the U.S. taxation and foreign taxation of our cross-border activities may increase our worldwide effective tax rate and adversely affect our results of operations and financial condition. The enactment of legislation implementing changes in the U.S. taxation of international business activities or the adoption of other tax reform policies globally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6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As of January 31, 2025, we had net operating loss, or NOL, carryforwards of approximately $805.0 million, $628.6 million and $20.0 million for federal, state, and foreign tax purposes, respectively, that are available to reduce future taxable income. Under current U.S. federal income tax law, our NOLs generated in tax years beginning before January 1, 2018 will begin expiring in 2036, and our NOLs generated in tax years beginning after December 31, 2017 may be carried forward indefinitely,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utilization of such post-2017 NOLs that are carried forward to taxable years beginning after December 31, 2020 is limited to a maximum of 80% of the taxable income for such year determined without regard to such carryforwards. Our state NOL carryforwards will begin to expire in 2036. Our foreign NOLs will carryforward indefinitely. As of January 31, 2025, we had available research and development tax credit carryforwards of approximately $15.5 million and $11.1 million for federal and state tax purposes, respectively. If not utilized, our federal tax credits will expire at various dates beginning in 2036. Our state tax credits do not expire and will carry forward indefinitely. Also, for state income tax purposes, the extent to which states will conform to the U.S. federal income tax laws is uncertain and there may be periods during which the use of NOL carryforwards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 Any such limitations could harm our business, results of operations, financial condition or prospects.</w:t>
      </w:r>
    </w:p>
    <w:p>
      <w:pPr>
        <w:spacing w:after="0" w:line="12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addition, under Sections 382 and 383 of the Code, a corporation that undergoes an “ownership change,” generally defined as a greater-than-50-percentage-point change (by value) in its equity ownership by certain stockholders over a three-year period, is subject to limitations on its ability to utilize its pre-change NOLs and other tax attributes such as research tax credits to offset future taxable income or income tax. We have identified certain ownership changes since our inception but do not believe that these changes resulted in any limitations on our ability to use our NOL carryforwards and tax credit carryforwards. We may have experienced additional ownership changes that have not yet been identified that could result in the expiration of our NOL carryforwards and tax credit carryforwards before utilization.</w:t>
      </w:r>
    </w:p>
    <w:p>
      <w:pPr>
        <w:spacing w:after="0" w:line="11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we may experience ownership changes as a result of this offering or future offerings or other changes in the ownership of our stock.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significant portion of the NOLs, even if we were to achieve profitability. In addition, any future changes in tax laws could impact our ability to utilize NOLs in future years and may result in greater tax liabilities than we would otherwise incur and adversely affect our cash flows and financial position.</w:t>
      </w:r>
    </w:p>
    <w:p>
      <w:pPr>
        <w:spacing w:after="0" w:line="130"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sales and use tax, value added tax, or other transaction taxes, and we could be subject to liability with respect to all or a portion of past or future sales.</w:t>
      </w:r>
    </w:p>
    <w:p>
      <w:pPr>
        <w:spacing w:after="0" w:line="8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spacing w:after="0" w:line="12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burdensome tax jurisdictions, result in substantial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liabilities related to past or future sales, or otherwise seriously harm our business, results of operations, financial condition or prospects.</w:t>
      </w:r>
    </w:p>
    <w:p>
      <w:pPr>
        <w:spacing w:after="0" w:line="173"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could adversely affect our business, financial condition, results of operations, and prospects.</w:t>
      </w:r>
    </w:p>
    <w:p>
      <w:pPr>
        <w:spacing w:after="0" w:line="10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are continuing to expand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transfer-pricing regulations administered by taxing authorities in various jurisdictions in which we operate with potentially divergent tax laws. The amount of taxes we pay in different jurisdictions will depend on the application of the tax laws of the various jurisdictions, including the United States, to our international business activities, changes in tax rates, new or revised tax laws or interpretations of existing tax laws and policies by taxing authorities and courts in various jurisdictions, and our ability to operate our business in a manner consistent with our corporate structure and intercompany arrangements then in effect. It is not uncommon for tax authorities in different countries to have conflicting views, for instance, with respect to, among other things, the manner in which the arm’s length standard is applied for transfer pricing purposes, the transfer-pricing and charges for intercompany services and other transactions, or with respect to the valuation of intellectual property. If taxing authorities in any of the jurisdictions in which we conduct our international operations were to successfully challenge our transfer pricing, we could be required to reallocate part or all of our income to reflect transfer-pricing adjustments, which could result in an increased tax liability to us. In such circumstances, if the country from which the income was reallocated does not agree to the reallocation, we could become subject to tax on the same income in both countries, resulting in double taxation.</w:t>
      </w:r>
    </w:p>
    <w:p>
      <w:pPr>
        <w:spacing w:after="0" w:line="1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we have been and may continue to be audited in various foreign jurisdictions, and such jurisdictions, including jurisdictions in which we are not currently filing, may assess new or additional taxes, sales taxes and value added taxes against us. Although we believe our tax estimates are reasonable, the final determination of any tax audits or litigation could be significantly different from our historical tax provisions and accruals, which could have an adverse effect on our results of operations or cash flows in the period or periods for which a determination is made, and could significantly harm our business, financial condition, results of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results of operations.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71" w:lineRule="exact"/>
        <w:rPr>
          <w:sz w:val="20"/>
          <w:szCs w:val="20"/>
          <w:color w:val="auto"/>
        </w:rPr>
      </w:pPr>
    </w:p>
    <w:p>
      <w:pPr>
        <w:ind w:left="660" w:right="8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U.S. and international jurisdictions in which we operate due to differing statutory tax rates in various jurisdictions;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international operations, corporate structure, business model, or intercompany arrangements;</w:t>
      </w:r>
    </w:p>
    <w:p>
      <w:pPr>
        <w:spacing w:after="0" w:line="171" w:lineRule="exact"/>
        <w:rPr>
          <w:rFonts w:ascii="Arial" w:cs="Arial" w:eastAsia="Arial" w:hAnsi="Arial"/>
          <w:sz w:val="18"/>
          <w:szCs w:val="18"/>
          <w:color w:val="auto"/>
        </w:rPr>
      </w:pPr>
    </w:p>
    <w:p>
      <w:pPr>
        <w:jc w:val="both"/>
        <w:ind w:left="660" w:right="160" w:hanging="328"/>
        <w:spacing w:after="0" w:line="318"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tax-planning strategies, and the economic and political environments in which we do business;</w:t>
      </w:r>
    </w:p>
    <w:p>
      <w:pPr>
        <w:spacing w:after="0" w:line="75"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developments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40" w:right="359" w:bottom="1440" w:gutter="0" w:footer="0" w:header="0"/>
        </w:sectPr>
      </w:pPr>
    </w:p>
    <w:bookmarkStart w:id="68" w:name="page69"/>
    <w:bookmarkEnd w:id="68"/>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3"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business, financial condition, results of operations, and prospects could be adversely affected.</w:t>
      </w:r>
    </w:p>
    <w:p>
      <w:pPr>
        <w:spacing w:after="0" w:line="8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those related to revenue recognition, contract acquisition costs, valuation of embedded derivative liabilities, stock-based compensation, common stock valuations, and business combinations. Additionally, as a result of the current macroeconomic uncertainty, many of management’s estimates and assumptions have required and will continue to require increased judgment and carry a higher degree of variability and volatility. Our business, financial condition, results of operations, and prospects could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negatively impact our business, financial condition, results of operations, and prospects, or cause an adverse deviation from our revenue and operating profit target, which may negatively impact our results of operations.</w:t>
      </w:r>
    </w:p>
    <w:p>
      <w:pPr>
        <w:spacing w:after="0" w:line="131"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For as long as we continue to be an emerging growth company, we may take advantage of certain exemptions from various reporting requirements that are applicable to other public companies that are not emerging growth companies, including (i) not being required to comply with the independent auditor attestation requirements of the Sarbanes-Oxley Act of 2002, or the Sarbanes-Oxley Act, (ii) reduced disclosure obligations regarding executive compensation in this prospectus and our periodic reports and proxy statements and the required number of years of audited financial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in this prospectus.</w:t>
      </w:r>
    </w:p>
    <w:p>
      <w:pPr>
        <w:spacing w:after="0" w:line="12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could be an emerging growth company for up to five fiscal years following the completion of this offering. However, certain circumstances could cause us to lose that status earlier, including the date on which we are deemed to be a “large accelerated filer,” under applicable SEC rules, if we have total annual gross revenue of $1.235 billion or more, or if we issue more than $1.0 billion in non-convertible debt during any three-year period before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69" w:name="page70"/>
    <w:bookmarkEnd w:id="69"/>
    <w:p>
      <w:pPr>
        <w:spacing w:after="0" w:line="247"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Accordingly, our consolidated financial statements may therefore not be comparable to those of companies that comply with such new or revised accounting standards.</w:t>
      </w:r>
    </w:p>
    <w:p>
      <w:pPr>
        <w:spacing w:after="0" w:line="122"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Investors may find our Class A common stock less attractive because we may rely on certain of these exemptions. If some investors find our common stock less attractive as a result, there may be a less active trading market for our Class A common stock and our price may be more volatile and may decline.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demands on management resources as a result of operating as a public company.</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a public company, we will incur significant legal, accounting, compliance, investor relations, and other expenses that we did not incur as a private company and these expenses will increase even more after we are no longer an “emerging growth company.” Our management and other personnel will need to devote a substantial amount of time and incur significant expense in connection with legal, compliance, and investor relations initiatives. For example, in anticipation of becoming a public company, we will need to adopt additional internal controls and disclosure controls and procedures, retain a transfer agent, and adopt insider trading policies and procedures. As a public company, we will bear all of the internal and external costs of preparing and distributing periodic public reports in compliance with our obligations under the securities laws.</w:t>
      </w:r>
    </w:p>
    <w:p>
      <w:pPr>
        <w:spacing w:after="0" w:line="1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regulations and standards relating to corporate governance and public disclosure, including the Sarbanes-Oxley Act, and the related rules and regulations implemented by the Securities and Exchange Commission, or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particularly to serve on our audit committee and compensation committee, and qualified executive officers. If we are unable to effectively manage these increased costs and demands upon management resources, our business, financial condition, results of operations, and prospects could be adversely affected.</w:t>
      </w:r>
    </w:p>
    <w:p>
      <w:pPr>
        <w:spacing w:after="0" w:line="135"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1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in the future, discover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1440" w:right="379" w:bottom="1440" w:gutter="0" w:footer="0" w:header="0"/>
        </w:sectPr>
      </w:pPr>
    </w:p>
    <w:bookmarkStart w:id="70" w:name="page71"/>
    <w:bookmarkEnd w:id="70"/>
    <w:p>
      <w:pPr>
        <w:spacing w:after="0" w:line="247"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We have previously identified a material weakness in our internal control over financial reporting, which resulted from a lack of established internal controls and procedures and an insufficient number of accounting and finance personnel possessing the necessary GAAP technical expertise at our Reed &amp; Mackay subsidiary, resulting in a series of adjustments, including controls and procedures:</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ensure journal entries are properly reviewed and approved;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ensure compliance with GAAP, specifically as it relates to accounting for revenue.</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After the material weakness was identified, we implemented a remediation plan that included new controls and processes, hiring additional accounting and finance personnel with an appropriate level of expertise, and improved group level oversight over and review of significant and complex transactions. As of January 31, 2025, we completed our remediation efforts, including the testing of the operating effectiveness of the controls, and we have concluded that the material weakness has been remediated. However, we recognize that maintaining effective internal control over financial reporting will continue to require significant attention from management and expense, and we cannot assure that we will not identify material weaknesses in the future.</w:t>
      </w:r>
    </w:p>
    <w:p>
      <w:pPr>
        <w:spacing w:after="0" w:line="128"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will be a public company in the United States subject to the Sarbanes-Oxley Act after the completion of this offering. Section 404 of the Sarbanes-Oxley Act requires that we include a report of management on our internal control over financial reporting in our annual report on Form 10-K beginning with our second annual report.</w:t>
      </w:r>
    </w:p>
    <w:p>
      <w:pPr>
        <w:spacing w:after="0" w:line="11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or Nasdaq.</w:t>
      </w:r>
    </w:p>
    <w:p>
      <w:pPr>
        <w:spacing w:after="0" w:line="133"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8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the Dodd-Frank Wall Street Reform and Consumer Protection Act of 2010, the listing requirements of Nasdaq, and other applicable securities rules and regulations. We expect that compliance with these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1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71" w:name="page72"/>
    <w:bookmarkEnd w:id="71"/>
    <w:p>
      <w:pPr>
        <w:spacing w:after="0" w:line="24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to maintain and improve the effectiveness of our internal controls and procedures, we have expended, and anticipate that we will continue to expend, significant resources, including accounting-related costs and significant management oversight.</w:t>
      </w:r>
    </w:p>
    <w:p>
      <w:pPr>
        <w:spacing w:after="0" w:line="9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However, while we remain an “emerging growth company,” we will not be required to include an attestation report on internal control over financial reporting issued by our independent registered public accounting firm. Ineffective disclosure controls and procedures and internal control over financial reporting could also cause investors to lose confidence in our reported financial and other information, which would likely have a negative effect on the market price of our Class A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w:t>
      </w:r>
    </w:p>
    <w:p>
      <w:pPr>
        <w:spacing w:after="0" w:line="13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cause a decline in the price of our Class A common stock and could negatively impact our business, financial condition, results of operations, and prospects.</w:t>
      </w:r>
    </w:p>
    <w:p>
      <w:pPr>
        <w:spacing w:after="0" w:line="128" w:lineRule="exact"/>
        <w:rPr>
          <w:sz w:val="20"/>
          <w:szCs w:val="20"/>
          <w:color w:val="auto"/>
        </w:rPr>
      </w:pPr>
    </w:p>
    <w:p>
      <w:pPr>
        <w:jc w:val="both"/>
        <w:ind w:right="360" w:firstLine="324"/>
        <w:spacing w:after="0" w:line="268" w:lineRule="auto"/>
        <w:rPr>
          <w:sz w:val="20"/>
          <w:szCs w:val="20"/>
          <w:color w:val="auto"/>
        </w:rPr>
      </w:pPr>
      <w:r>
        <w:rPr>
          <w:rFonts w:ascii="Arial" w:cs="Arial" w:eastAsia="Arial" w:hAnsi="Arial"/>
          <w:sz w:val="18"/>
          <w:szCs w:val="18"/>
          <w:color w:val="auto"/>
        </w:rPr>
        <w:t>Upon becoming a public company, and particularly after we are no longer an “emerging growth company,” significant resources and management oversight will be required. As a result, management’s attention may be diverted from other business concerns, which could harm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debt-service obligations may adversely affect our financial condition and results of operations.</w:t>
      </w:r>
    </w:p>
    <w:p>
      <w:pPr>
        <w:spacing w:after="0" w:line="16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a significant amount of debt arrangements, as described further in the section titled “Description of Material Indebtedness.” Our ability to make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40" w:right="379" w:bottom="1440" w:gutter="0" w:footer="0" w:header="0"/>
        </w:sectPr>
      </w:pPr>
    </w:p>
    <w:bookmarkStart w:id="72" w:name="page73"/>
    <w:bookmarkEnd w:id="72"/>
    <w:p>
      <w:pPr>
        <w:spacing w:after="0" w:line="247"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99" w:lineRule="exact"/>
        <w:rPr>
          <w:sz w:val="20"/>
          <w:szCs w:val="20"/>
          <w:color w:val="auto"/>
        </w:rPr>
      </w:pPr>
    </w:p>
    <w:p>
      <w:pPr>
        <w:ind w:left="660" w:right="40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 We are also required to comply with the restrictive covenants set forth in certain of our debt arrangements, including a requirement that we satisfy certain financial liquidity conditions, certain limitations on our ability to incur additional indebtedness, and other operating restrictions that could adversely impact our ability to engage in certain transactions and conduct our business.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For additional information regarding the Warehouse Credit Facility (as defined below), see the section titled “Description of Material Indebtedness—Warehouse Credit Facility.” In addition, changes by any rating agency to our credit rating may negatively impact the value and liquidity of our securities. Downgrades in our credit ratings could restrict our ability to obtain additional financing in the future and could affect the terms of any such financing. If we are unable to effectively manage our debt-service obligations, our business, financial condition, results of operations, and prospects could be adversely affected.</w:t>
      </w:r>
    </w:p>
    <w:p>
      <w:pPr>
        <w:spacing w:after="0" w:line="138"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8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funded our operations since inception primarily through equity and debt financings as well as cash generated from operations.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 The trading prices for technology companies have been highly volatile, especially recently due to rising interest rates, inflation, and the uncertain macroeconomic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you could lose all or part of your investment.</w:t>
      </w:r>
    </w:p>
    <w:p>
      <w:pPr>
        <w:spacing w:after="0" w:line="16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cannot predict the prices at which our Class A common stock will trade. The initial public offering price of our Class A common stock will be determined by negotiations between us and the underwriters and may not bear any relationship to the market price at which our Class A common stock will trade after this offering or to any other established criteria of the value of our business and prospects and the market price of our Class A common stock following this offering may fluctuate substantially and may be lower than the initial public offering price. The market price of our Class A common stock following this offering will depend on a number of factors, including those described in this “Risk Factors” section, many of which are beyond our control and may not be related to our operating performance. In addition, the limited public float of our Class A common stock following this offering will tend to increase the volatility of the trading price of our Class A common stock. These fluctuations could cause you to lose all or part of your investment in our Class A common stock, since you might not be able to sell your shares at or above the price you paid in this offering. Factors that could cause fluctuations in the market price of our Class A common stock include the following:</w:t>
      </w:r>
    </w:p>
    <w:p>
      <w:pPr>
        <w:spacing w:after="0" w:line="131" w:lineRule="exact"/>
        <w:rPr>
          <w:sz w:val="20"/>
          <w:szCs w:val="20"/>
          <w:color w:val="auto"/>
        </w:rPr>
      </w:pPr>
    </w:p>
    <w:p>
      <w:pPr>
        <w:ind w:left="660" w:right="10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GBV, payment volume, revenue, gross margins, and other results of operations as well as in demand for business travel;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developments in the travel industry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1"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8"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Class A common stock by us or our stockholders;</w:t>
      </w:r>
    </w:p>
    <w:p>
      <w:pPr>
        <w:spacing w:after="0" w:line="98"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third-party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1440" w:right="379" w:bottom="1440" w:gutter="0" w:footer="0" w:header="0"/>
        </w:sectPr>
      </w:pPr>
    </w:p>
    <w:bookmarkStart w:id="74" w:name="page75"/>
    <w:bookmarkEnd w:id="74"/>
    <w:p>
      <w:pPr>
        <w:spacing w:after="0" w:line="24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or expectations with respect to sales of shares of our Class A common stock by us or our security holders;</w:t>
      </w:r>
    </w:p>
    <w:p>
      <w:pPr>
        <w:spacing w:after="0" w:line="171"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macroeconomic conditions, including rising interest rates, inflation, foreign currency fluctuation, instability in the global banking system, risks of economic recession, and slow or negative growth of our markets;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political unrest or instability; and</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including the ongoing conflicts in Ukraine and the Middle East and tensions between China and Taiwan.</w:t>
      </w:r>
    </w:p>
    <w:p>
      <w:pPr>
        <w:spacing w:after="0" w:line="9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adversely affect our business, financial condition, results of operations, and prospects.</w:t>
      </w:r>
    </w:p>
    <w:p>
      <w:pPr>
        <w:spacing w:after="0" w:line="131"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this offering, there has been no public market or active private market for our Class A common stock. We intend to apply to list</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Class A common stock on .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Class A common stock. An inactive market may also impair our ability to raise capital by selling shares and may impair our ability to acquire other companies or technologies by using our shares as consideration, and could negatively impact our business, financial condition, results of operations, and prospects.</w:t>
      </w:r>
    </w:p>
    <w:p>
      <w:pPr>
        <w:spacing w:after="0" w:line="133"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85"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w:t>
      </w:r>
    </w:p>
    <w:p>
      <w:pPr>
        <w:spacing w:after="0" w:line="2" w:lineRule="exact"/>
        <w:rPr>
          <w:sz w:val="20"/>
          <w:szCs w:val="20"/>
          <w:color w:val="auto"/>
        </w:rPr>
      </w:pPr>
    </w:p>
    <w:p>
      <w:pPr>
        <w:spacing w:after="0"/>
        <w:tabs>
          <w:tab w:leader="none" w:pos="2740" w:val="left"/>
          <w:tab w:leader="none" w:pos="8840" w:val="left"/>
        </w:tabs>
        <w:rPr>
          <w:sz w:val="20"/>
          <w:szCs w:val="20"/>
          <w:color w:val="auto"/>
        </w:rPr>
      </w:pPr>
      <w:r>
        <w:rPr>
          <w:rFonts w:ascii="Arial" w:cs="Arial" w:eastAsia="Arial" w:hAnsi="Arial"/>
          <w:sz w:val="18"/>
          <w:szCs w:val="18"/>
          <w:color w:val="auto"/>
        </w:rPr>
        <w:t>stock to decline. Based on</w:t>
      </w:r>
      <w:r>
        <w:rPr>
          <w:sz w:val="20"/>
          <w:szCs w:val="20"/>
          <w:color w:val="auto"/>
        </w:rPr>
        <w:tab/>
      </w:r>
      <w:r>
        <w:rPr>
          <w:rFonts w:ascii="Arial" w:cs="Arial" w:eastAsia="Arial" w:hAnsi="Arial"/>
          <w:sz w:val="18"/>
          <w:szCs w:val="18"/>
          <w:color w:val="auto"/>
        </w:rPr>
        <w:t>shares of our Class A common stock outstanding as of</w:t>
      </w:r>
      <w:r>
        <w:rPr>
          <w:sz w:val="20"/>
          <w:szCs w:val="20"/>
          <w:color w:val="auto"/>
        </w:rPr>
        <w:tab/>
      </w:r>
      <w:r>
        <w:rPr>
          <w:rFonts w:ascii="Arial" w:cs="Arial" w:eastAsia="Arial" w:hAnsi="Arial"/>
          <w:sz w:val="17"/>
          <w:szCs w:val="17"/>
          <w:color w:val="auto"/>
        </w:rPr>
        <w:t>, 2025, we will have</w:t>
      </w:r>
    </w:p>
    <w:p>
      <w:pPr>
        <w:spacing w:after="0" w:line="9" w:lineRule="exact"/>
        <w:rPr>
          <w:sz w:val="20"/>
          <w:szCs w:val="20"/>
          <w:color w:val="auto"/>
        </w:rPr>
      </w:pPr>
    </w:p>
    <w:p>
      <w:pPr>
        <w:spacing w:after="0"/>
        <w:tabs>
          <w:tab w:leader="none" w:pos="10040" w:val="left"/>
        </w:tabs>
        <w:rPr>
          <w:sz w:val="20"/>
          <w:szCs w:val="20"/>
          <w:color w:val="auto"/>
        </w:rPr>
      </w:pPr>
      <w:r>
        <w:rPr>
          <w:rFonts w:ascii="Arial" w:cs="Arial" w:eastAsia="Arial" w:hAnsi="Arial"/>
          <w:sz w:val="18"/>
          <w:szCs w:val="18"/>
          <w:color w:val="auto"/>
        </w:rPr>
        <w:t>shares (if the underwriters exercise their option to purchase additional shares in full) of our Class A common stock and</w:t>
      </w:r>
      <w:r>
        <w:rPr>
          <w:sz w:val="20"/>
          <w:szCs w:val="20"/>
          <w:color w:val="auto"/>
        </w:rPr>
        <w:tab/>
      </w:r>
      <w:r>
        <w:rPr>
          <w:rFonts w:ascii="Arial" w:cs="Arial" w:eastAsia="Arial" w:hAnsi="Arial"/>
          <w:sz w:val="18"/>
          <w:szCs w:val="18"/>
          <w:color w:val="auto"/>
        </w:rPr>
        <w:t>shares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 outstanding after this offering.</w:t>
      </w:r>
    </w:p>
    <w:p>
      <w:pPr>
        <w:spacing w:after="0" w:line="153"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All of the shares of Class A common stock sold in this offering will be freely tradable without restrictions or further registration under the Securities Act, except for any shares held by our affiliates as defined in Rule 144 under the Securities Act (including any shares that may be purchased by any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4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affiliates in this offering). The remaining shares of our common stock are subject to the lock-up agreement or market stand-off agreements described below.</w:t>
      </w:r>
    </w:p>
    <w:p>
      <w:pPr>
        <w:spacing w:after="0" w:line="99" w:lineRule="exact"/>
        <w:rPr>
          <w:sz w:val="20"/>
          <w:szCs w:val="20"/>
          <w:color w:val="auto"/>
        </w:rPr>
      </w:pPr>
    </w:p>
    <w:p>
      <w:pPr>
        <w:jc w:val="both"/>
        <w:ind w:right="140" w:firstLine="324"/>
        <w:spacing w:after="0" w:line="272" w:lineRule="auto"/>
        <w:rPr>
          <w:sz w:val="20"/>
          <w:szCs w:val="20"/>
          <w:color w:val="auto"/>
        </w:rPr>
      </w:pPr>
      <w:r>
        <w:rPr>
          <w:rFonts w:ascii="Arial" w:cs="Arial" w:eastAsia="Arial" w:hAnsi="Arial"/>
          <w:sz w:val="17"/>
          <w:szCs w:val="17"/>
          <w:color w:val="auto"/>
        </w:rPr>
        <w:t>Subject to certain exceptions, we, all of our directors and executive officers, and substantially all of the holders of our common stock, or securities exercisable for or convertible into our common stock outstanding immediately prior to this offering, are subject to market stand-off agreements or have agreed not to offer, sell, or agree to sell, directly or indirectly, any shares of common stock without the permission of</w:t>
      </w:r>
    </w:p>
    <w:p>
      <w:pPr>
        <w:spacing w:after="0" w:line="1" w:lineRule="exact"/>
        <w:rPr>
          <w:sz w:val="20"/>
          <w:szCs w:val="20"/>
          <w:color w:val="auto"/>
        </w:rPr>
      </w:pPr>
    </w:p>
    <w:p>
      <w:pPr>
        <w:ind w:right="60" w:firstLine="600"/>
        <w:spacing w:after="0" w:line="250" w:lineRule="auto"/>
        <w:rPr>
          <w:sz w:val="20"/>
          <w:szCs w:val="20"/>
          <w:color w:val="auto"/>
        </w:rPr>
      </w:pPr>
      <w:r>
        <w:rPr>
          <w:rFonts w:ascii="Arial" w:cs="Arial" w:eastAsia="Arial" w:hAnsi="Arial"/>
          <w:sz w:val="18"/>
          <w:szCs w:val="18"/>
          <w:color w:val="auto"/>
        </w:rPr>
        <w:t>, on behalf of the underwriters, for a period of days from the date of this prospectus. When the lock-up period expires, we and our securityholders subject to a lock-up agreement or market stand-off agreement will be able to sell our shares in the public market. In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 , on behalf of the underwriters, may, in its sole discretion, release all or some portion of the shares subject to lock-up agreements prior to the expiration of the lock-up period. See the section titled “Shares Eligible for Future Sale” for more information.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29" w:lineRule="exact"/>
        <w:rPr>
          <w:sz w:val="20"/>
          <w:szCs w:val="20"/>
          <w:color w:val="auto"/>
        </w:rPr>
      </w:pPr>
    </w:p>
    <w:p>
      <w:pPr>
        <w:ind w:left="340"/>
        <w:spacing w:after="0"/>
        <w:tabs>
          <w:tab w:leader="none" w:pos="2780" w:val="left"/>
          <w:tab w:leader="none" w:pos="10360" w:val="left"/>
        </w:tabs>
        <w:rPr>
          <w:sz w:val="20"/>
          <w:szCs w:val="20"/>
          <w:color w:val="auto"/>
        </w:rPr>
      </w:pPr>
      <w:r>
        <w:rPr>
          <w:rFonts w:ascii="Arial" w:cs="Arial" w:eastAsia="Arial" w:hAnsi="Arial"/>
          <w:sz w:val="18"/>
          <w:szCs w:val="18"/>
          <w:color w:val="auto"/>
        </w:rPr>
        <w:t>In addition, as of</w:t>
      </w:r>
      <w:r>
        <w:rPr>
          <w:sz w:val="20"/>
          <w:szCs w:val="20"/>
          <w:color w:val="auto"/>
        </w:rPr>
        <w:tab/>
      </w:r>
      <w:r>
        <w:rPr>
          <w:rFonts w:ascii="Arial" w:cs="Arial" w:eastAsia="Arial" w:hAnsi="Arial"/>
          <w:sz w:val="18"/>
          <w:szCs w:val="18"/>
          <w:color w:val="auto"/>
        </w:rPr>
        <w:t>, 2025, we had options outstanding that, if fully exercised, would result in the issuance of</w:t>
      </w:r>
      <w:r>
        <w:rPr>
          <w:sz w:val="20"/>
          <w:szCs w:val="20"/>
          <w:color w:val="auto"/>
        </w:rPr>
        <w:tab/>
      </w:r>
      <w:r>
        <w:rPr>
          <w:rFonts w:ascii="Arial" w:cs="Arial" w:eastAsia="Arial" w:hAnsi="Arial"/>
          <w:sz w:val="17"/>
          <w:szCs w:val="17"/>
          <w:color w:val="auto"/>
        </w:rPr>
        <w:t>shares of</w:t>
      </w:r>
    </w:p>
    <w:p>
      <w:pPr>
        <w:spacing w:after="0" w:line="27"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Class A common stock and</w:t>
      </w:r>
      <w:r>
        <w:rPr>
          <w:sz w:val="20"/>
          <w:szCs w:val="20"/>
          <w:color w:val="auto"/>
        </w:rPr>
        <w:tab/>
      </w:r>
      <w:r>
        <w:rPr>
          <w:rFonts w:ascii="Arial" w:cs="Arial" w:eastAsia="Arial" w:hAnsi="Arial"/>
          <w:sz w:val="17"/>
          <w:szCs w:val="17"/>
          <w:color w:val="auto"/>
        </w:rPr>
        <w:t>shares of Class B common stock, restricted stock units, or RSUs, outstanding to be settled in</w:t>
      </w:r>
    </w:p>
    <w:p>
      <w:pPr>
        <w:spacing w:after="0" w:line="9" w:lineRule="exact"/>
        <w:rPr>
          <w:sz w:val="20"/>
          <w:szCs w:val="20"/>
          <w:color w:val="auto"/>
        </w:rPr>
      </w:pPr>
    </w:p>
    <w:p>
      <w:pPr>
        <w:ind w:left="660"/>
        <w:spacing w:after="0"/>
        <w:tabs>
          <w:tab w:leader="none" w:pos="9800" w:val="left"/>
        </w:tabs>
        <w:rPr>
          <w:sz w:val="20"/>
          <w:szCs w:val="20"/>
          <w:color w:val="auto"/>
        </w:rPr>
      </w:pPr>
      <w:r>
        <w:rPr>
          <w:rFonts w:ascii="Arial" w:cs="Arial" w:eastAsia="Arial" w:hAnsi="Arial"/>
          <w:sz w:val="18"/>
          <w:szCs w:val="18"/>
          <w:color w:val="auto"/>
        </w:rPr>
        <w:t>shares of Class A common stock, and warrants outstanding that, if exercised, would result in the issuance of</w:t>
      </w:r>
      <w:r>
        <w:rPr>
          <w:sz w:val="20"/>
          <w:szCs w:val="20"/>
          <w:color w:val="auto"/>
        </w:rPr>
        <w:tab/>
      </w:r>
      <w:r>
        <w:rPr>
          <w:rFonts w:ascii="Arial" w:cs="Arial" w:eastAsia="Arial" w:hAnsi="Arial"/>
          <w:sz w:val="17"/>
          <w:szCs w:val="17"/>
          <w:color w:val="auto"/>
        </w:rPr>
        <w:t>shares of Class A</w:t>
      </w:r>
    </w:p>
    <w:p>
      <w:pPr>
        <w:spacing w:after="0" w:line="9" w:lineRule="exact"/>
        <w:rPr>
          <w:sz w:val="20"/>
          <w:szCs w:val="20"/>
          <w:color w:val="auto"/>
        </w:rPr>
      </w:pPr>
    </w:p>
    <w:p>
      <w:pPr>
        <w:spacing w:after="0"/>
        <w:tabs>
          <w:tab w:leader="none" w:pos="4820" w:val="left"/>
          <w:tab w:leader="none" w:pos="8340" w:val="left"/>
        </w:tabs>
        <w:rPr>
          <w:sz w:val="20"/>
          <w:szCs w:val="20"/>
          <w:color w:val="auto"/>
        </w:rPr>
      </w:pPr>
      <w:r>
        <w:rPr>
          <w:rFonts w:ascii="Arial" w:cs="Arial" w:eastAsia="Arial" w:hAnsi="Arial"/>
          <w:sz w:val="18"/>
          <w:szCs w:val="18"/>
          <w:color w:val="auto"/>
        </w:rPr>
        <w:t>common stock. We also granted options to purchase</w:t>
      </w:r>
      <w:r>
        <w:rPr>
          <w:sz w:val="20"/>
          <w:szCs w:val="20"/>
          <w:color w:val="auto"/>
        </w:rPr>
        <w:tab/>
      </w:r>
      <w:r>
        <w:rPr>
          <w:rFonts w:ascii="Arial" w:cs="Arial" w:eastAsia="Arial" w:hAnsi="Arial"/>
          <w:sz w:val="18"/>
          <w:szCs w:val="18"/>
          <w:color w:val="auto"/>
        </w:rPr>
        <w:t>shares of Class A common stock and</w:t>
      </w:r>
      <w:r>
        <w:rPr>
          <w:sz w:val="20"/>
          <w:szCs w:val="20"/>
          <w:color w:val="auto"/>
        </w:rPr>
        <w:tab/>
      </w:r>
      <w:r>
        <w:rPr>
          <w:rFonts w:ascii="Arial" w:cs="Arial" w:eastAsia="Arial" w:hAnsi="Arial"/>
          <w:sz w:val="18"/>
          <w:szCs w:val="18"/>
          <w:color w:val="auto"/>
        </w:rPr>
        <w:t>shares of Class B common stock,</w:t>
      </w:r>
    </w:p>
    <w:p>
      <w:pPr>
        <w:spacing w:after="0" w:line="9" w:lineRule="exact"/>
        <w:rPr>
          <w:sz w:val="20"/>
          <w:szCs w:val="20"/>
          <w:color w:val="auto"/>
        </w:rPr>
      </w:pPr>
    </w:p>
    <w:p>
      <w:pPr>
        <w:spacing w:after="0"/>
        <w:tabs>
          <w:tab w:leader="none" w:pos="2680" w:val="left"/>
          <w:tab w:leader="none" w:pos="8180" w:val="left"/>
        </w:tabs>
        <w:rPr>
          <w:sz w:val="20"/>
          <w:szCs w:val="20"/>
          <w:color w:val="auto"/>
        </w:rPr>
      </w:pPr>
      <w:r>
        <w:rPr>
          <w:rFonts w:ascii="Arial" w:cs="Arial" w:eastAsia="Arial" w:hAnsi="Arial"/>
          <w:sz w:val="18"/>
          <w:szCs w:val="18"/>
          <w:color w:val="auto"/>
        </w:rPr>
        <w:t>and RSUs to be settled in</w:t>
      </w:r>
      <w:r>
        <w:rPr>
          <w:sz w:val="20"/>
          <w:szCs w:val="20"/>
          <w:color w:val="auto"/>
        </w:rPr>
        <w:tab/>
      </w:r>
      <w:r>
        <w:rPr>
          <w:rFonts w:ascii="Arial" w:cs="Arial" w:eastAsia="Arial" w:hAnsi="Arial"/>
          <w:sz w:val="18"/>
          <w:szCs w:val="18"/>
          <w:color w:val="auto"/>
        </w:rPr>
        <w:t>shares of Class A common stock subsequent to</w:t>
      </w:r>
      <w:r>
        <w:rPr>
          <w:sz w:val="20"/>
          <w:szCs w:val="20"/>
          <w:color w:val="auto"/>
        </w:rPr>
        <w:tab/>
      </w:r>
      <w:r>
        <w:rPr>
          <w:rFonts w:ascii="Arial" w:cs="Arial" w:eastAsia="Arial" w:hAnsi="Arial"/>
          <w:sz w:val="17"/>
          <w:szCs w:val="17"/>
          <w:color w:val="auto"/>
        </w:rPr>
        <w:t>, 2025. All of the shares of Class A</w:t>
      </w:r>
    </w:p>
    <w:p>
      <w:pPr>
        <w:spacing w:after="0" w:line="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common stock and Class B common stock issuable upon the exercise stock options and settlement of RSUs,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2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Immediately following this offering, the holders of shares of our capital stock have rights, subject to some conditions, to require us to file registration statements for the public resale of such capital stock or to include such shares in registration statements that we may file for us or other stockholders.</w:t>
      </w:r>
    </w:p>
    <w:p>
      <w:pPr>
        <w:spacing w:after="0" w:line="11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If we are unable to effectively manage the risks relating to the price of our Class A common stock, our business, financial condition, results of operations, and prospects could be adversely affected.</w:t>
      </w:r>
    </w:p>
    <w:p>
      <w:pPr>
        <w:spacing w:after="0" w:line="119"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power with Ariel Cohen and Ilan Twig, our co-founders, which will limit your ability to influence the outcome of important transactions, including a change in control.</w:t>
      </w:r>
    </w:p>
    <w:p>
      <w:pPr>
        <w:spacing w:after="0" w:line="8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Class B common stock has votes per share, and our Class A common stock, which is the stock we are offering by means of this prospectus, has one vote per share. Upon the closing of this offering, our co-founders will together hold all of the issued and outstanding shares of our Class B common stock. Accordingly, upon the closing of this offering, Ariel Cohen, our co-founder, Chief Executive Officer, and a member of our board of directors will hold, together with his affiliates, approximately % of the voting power of our outstanding capital stock; and Ilan Twig, our co-founder, Chief Technology Officer, and a member of our board of directors, will hold, together with his affiliates, approximately % of the voting power of our outstanding capital stock. Therefore, our co-founders, individually or together, will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Our co-founders, individually or together, may have interests that differ from yours and may vote in a way with which you disagree and which may be adverse to your interests. This concentrated control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6" w:name="page77"/>
    <w:bookmarkEnd w:id="76"/>
    <w:p>
      <w:pPr>
        <w:spacing w:after="0" w:line="247"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76" w:lineRule="exact"/>
        <w:rPr>
          <w:sz w:val="20"/>
          <w:szCs w:val="20"/>
          <w:color w:val="auto"/>
        </w:rPr>
      </w:pPr>
    </w:p>
    <w:p>
      <w:pPr>
        <w:ind w:right="120" w:firstLine="324"/>
        <w:spacing w:after="0" w:line="260" w:lineRule="auto"/>
        <w:rPr>
          <w:sz w:val="20"/>
          <w:szCs w:val="20"/>
          <w:color w:val="auto"/>
        </w:rPr>
      </w:pPr>
      <w:r>
        <w:rPr>
          <w:rFonts w:ascii="Arial" w:cs="Arial" w:eastAsia="Arial" w:hAnsi="Arial"/>
          <w:sz w:val="18"/>
          <w:szCs w:val="18"/>
          <w:color w:val="auto"/>
        </w:rPr>
        <w:t>Future transfers by the holders of Class B common stock will generally result in those shares converting into shares of Class A common stock, subject to limited exceptions, such as certain transfers effected for estate planning or charitable purposes. In addition, each share of</w:t>
      </w:r>
    </w:p>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Class B common stock will convert automatically into one share of Class A common stock upon . For information about our dual class structure, see the section titled “Description of Capital Stock.” If we are unable to effectively manage these risks, our business, financial condition, results of operations, and prospects could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6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adverse publicity, or other adverse consequences. Certain stock index providers exclude companies with multi-class share structures from being added to certain of its indices. In addition, several stockholder advisory firms and large institutional investors oppose the use of multiple class structures. As a result, the dual class structure of our common stock may make us ineligible for inclusion in certain indices and may discourage such indices from selecting us for inclusion, notwithstanding our automatic termination provision, may cause stockholder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stockholder advisory firms or institutional investors critical of our corporate governance practices or capital structure could also adversely affect the value of our Class A common stock, and could adversely affect our business, financial condition, results of operations, and prospects.</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There is an increasing focus from certain investors, employees, customers,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1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adversely affected.</w:t>
      </w:r>
    </w:p>
    <w:p>
      <w:pPr>
        <w:spacing w:after="0" w:line="127"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85"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results of operations fail to meet, or significantly exceed, our announced guidance or the expectations of analysts or public investors, analysts could downgrade our Class A common stock or publish unfavorable research about us. If one or more of these analysts cease coverage of our Class A common stock or fail to publish reports on us regularly, our visibility in the financial markets could decrease, which in turn could cause our stock price or trading volume to decline and could cause our business, financial condition, results of operations, and prospects to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could adversely affect our business, financial condition, results of operations, and prospects.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results of operations, and prospects could be harmed, and the market price of our Class A common stock could decline, and our business, financial condition, results of operations, and prospects could be adversely affected.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29"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 which may never occur.</w:t>
      </w:r>
    </w:p>
    <w:p>
      <w:pPr>
        <w:spacing w:after="0" w:line="8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 addition, the Warehouse Credit Facility and ABL Facility contain restrictions on our ability to pay cash dividends on our capital stock. For additional information regarding the Warehouse Credit Facility and ABL Facility, see the section titled “Description of Material Indebtedness.”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49"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Because the initial public offering price of our Class A common stock will be substantially higher than the pro forma net tangible book value per share of our outstanding common stock following this offering, new investors will experience immediate and substantial dilution.</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 shares of our Class A common stock in this offering, based on the midpoint of the offering price range set forth on the cover page of this prospectus,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and the issuance of shares of Class A common stock in this offering, you will experience immediate dilution of $ per share, the difference between the price per share you pay for our Class A common stock and its pro forma net tangible book value per share as of</w:t>
      </w:r>
    </w:p>
    <w:p>
      <w:pPr>
        <w:spacing w:after="0" w:line="1" w:lineRule="exact"/>
        <w:rPr>
          <w:sz w:val="20"/>
          <w:szCs w:val="20"/>
          <w:color w:val="auto"/>
        </w:rPr>
      </w:pPr>
    </w:p>
    <w:p>
      <w:pPr>
        <w:jc w:val="both"/>
        <w:ind w:right="40" w:firstLine="1708"/>
        <w:spacing w:after="0" w:line="258"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2025. Furthermore, if the underwriters exercise their option to purchase additional shares, if outstanding stock options and warrants are exercised, if we issue awards to our employees under our equity incentive plans, or if we otherwise issue additional shares of our Class A common stock, you could experience further dilution. See the section titled “Dilution” for additional information.</w:t>
      </w:r>
    </w:p>
    <w:p>
      <w:pPr>
        <w:spacing w:after="0" w:line="126"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85" w:lineRule="exact"/>
        <w:rPr>
          <w:sz w:val="20"/>
          <w:szCs w:val="20"/>
          <w:color w:val="auto"/>
        </w:rPr>
      </w:pPr>
    </w:p>
    <w:p>
      <w:pPr>
        <w:jc w:val="both"/>
        <w:ind w:right="100" w:firstLine="324"/>
        <w:spacing w:after="0" w:line="278" w:lineRule="auto"/>
        <w:rPr>
          <w:sz w:val="20"/>
          <w:szCs w:val="20"/>
          <w:color w:val="auto"/>
        </w:rPr>
      </w:pPr>
      <w:r>
        <w:rPr>
          <w:rFonts w:ascii="Arial" w:cs="Arial" w:eastAsia="Arial" w:hAnsi="Arial"/>
          <w:sz w:val="17"/>
          <w:szCs w:val="17"/>
          <w:color w:val="auto"/>
        </w:rPr>
        <w:t>Provisions in our amended and restated certificate of incorporation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amended and restated certificate of incorporation and restated bylaws include provisions that:</w:t>
      </w:r>
    </w:p>
    <w:p>
      <w:pPr>
        <w:spacing w:after="0" w:line="11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right="60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restated bylaws;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our chief executive officer or a majority of our board of directors will be authorized to call a special meeting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directors may only be removed “for cause” and only with the approval of two-thirds of our stockholders;</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a dual-class common stock structure in which holders of our Class B common stock may have the ability to significantly influence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440" w:right="379" w:bottom="1440" w:gutter="0" w:footer="0" w:header="0"/>
        </w:sectPr>
      </w:pPr>
    </w:p>
    <w:bookmarkStart w:id="79" w:name="page80"/>
    <w:bookmarkEnd w:id="79"/>
    <w:p>
      <w:pPr>
        <w:spacing w:after="0" w:line="24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is expressly authorized to make, alter, or repeal our bylaws; and</w:t>
      </w:r>
    </w:p>
    <w:p>
      <w:pPr>
        <w:spacing w:after="0" w:line="171"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advance-notice requirements for nominations for election to our board of directors or for proposing matters that can be acted upon by stockholders at annual stockholder meetings.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Moreover, Section 203 of the Delaware General Corporation Law, or the DGCL, may discourage, delay, or prevent a change in control of our company. Section 203 imposes certain restrictions on mergers, business combinations, and other transactions between us and holders of 15% or more of our common stock.</w:t>
      </w:r>
    </w:p>
    <w:p>
      <w:pPr>
        <w:spacing w:after="0" w:line="119"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exclusive forum provisions for certain claims, which may limit our stockholders’ ability to obtain a favorable judicial forum for disputes with us or our directors, officers, or employees.</w:t>
      </w:r>
    </w:p>
    <w:p>
      <w:pPr>
        <w:spacing w:after="0" w:line="8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w:t>
      </w:r>
    </w:p>
    <w:p>
      <w:pPr>
        <w:spacing w:after="0" w:line="1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will, to the fullest extent permitted by law, be the exclusive forum for resolving any complaint asserting a cause of action arising under the Securities Act, or the Federal Forum Provision. Our decision to adopt the Federal Forum Provision followed a decision by the Supreme Court of the State of Delaware holding that such provisions are facially valid under Delaware law. While there can be no assurance that federal or state courts will follow the holding of the Supreme Court of the State of Delaware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2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2"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Our stockholders will not be deemed to have waived our compliance with the federal securities laws and the regulations promulgated thereunder.</w:t>
      </w:r>
    </w:p>
    <w:p>
      <w:pPr>
        <w:spacing w:after="0" w:line="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global tariff uncertainty, labor shortages, supply chain disruptions, rising interest rates, inflation, international trade relations, weak economic conditions in certain regions, political turmoil, natural catastrophes, warfare, terrorist attacks on the United States, Europe, the Asia Pacific region, including Japan, or elsewhere, could cause a decrease in business investments by existing or potential customers, including spending on travel and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offering. We cannot predict the timing, strength, or duration of any economic slowdown, instability, or recovery, generally or within any particular industry.</w:t>
      </w:r>
    </w:p>
    <w:p>
      <w:pPr>
        <w:spacing w:after="0" w:line="133"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We may be adversely affected by natural disasters, pandemics, cyberattacks and other catastrophic events, and by man-made problems such as terrorism, that could disrupt our business operations, and our business continuity and disaster recovery plans may not adequately protect us from a serious disaster.</w:t>
      </w:r>
    </w:p>
    <w:p>
      <w:pPr>
        <w:spacing w:after="0" w:line="1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negatively impact our business, financial condition, results of operations, and prospects. Our business operations are also subject to interruption by fire, power shortages, flooding, and other events beyond our control. In addition, our global operations expose us to risks associated with public health crises, such as pandemics and epidemics, which could harm our business and cause our results of operations to suffer. Further, acts of war, armed conflict, terrorism, and other geopolitical unrest, such as the ongoing conflicts in Ukraine and the Middle East and tensions between China and Taiwan, could cause disruptions in our business or the businesses of our customers, suppliers or the economy as a whole. In particular, we have operations and customers in Israel, and certain of our customers in other regions have substantial operations and customers in Israel. Our growth, business, and results of operations could be negatively impacted if the current conflicts in the Middle East, including the escalating conflict between Israel and Iran, continues, worsens or expands to other nations or regions, including if our customers are harmed and reduce their engagement with our platform.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negatively impact our business, financial condition, results of operations, and prospects. For example, our corporate headquarters is located in the San Francisco Bay Area in California, a state that frequently experiences earthquakes, wildfires, heatwaves, and droughts. Additionally, all the aforementioned risks will be further increased if we do not implement an effective disaster recovery plan or our suppliers’ or other partners’ disaster recovery plans prove to be inadequate.</w:t>
      </w:r>
    </w:p>
    <w:p>
      <w:pPr>
        <w:spacing w:after="0" w:line="141"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85"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As we continue to expand our international operations, we become more exposed to the effects of fluctuations in currency exchange rates. Although the majority of our sales contracts have historically been denominated in U.S. dollars, and therefore, most of our revenue has not been subject to foreign currency risk, we also book significant sales in Euros and Pounds, and any changes in the value of foreign currencies relative to the U.S. dollar could affect our revenue and results of operations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81" w:name="page82"/>
    <w:bookmarkEnd w:id="81"/>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transactional and translational remeasurement that is reflected in our earnings. In addition, we incur expenses for employee compensation and other operating expenses at our non -U.S. locations in the local currency. Fluctuations in the exchange rates between the U.S. dollar and other currencies could result in the dollar equivalent of such expenses being higher. These exposures may change over time as business practices evolve and economic conditions change, such as shifts driven by monetary policy changes and geopolitical events, and could have a negative impact on our results of operations, revenue and net income (loss) as expressed in U.S. dollars. Although we may in the future decide to undertake foreign exchange hedging transactions to cover a portion of our foreign currency exchange exposure, we currently do not hedge our exposure to foreign currency exchange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20" w:top="1440" w:right="399" w:bottom="1440" w:gutter="0" w:footer="0" w:header="0"/>
        </w:sectPr>
      </w:pPr>
    </w:p>
    <w:bookmarkStart w:id="82" w:name="page83"/>
    <w:bookmarkEnd w:id="82"/>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including statements regarding our future results of operations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171" w:lineRule="exact"/>
        <w:rPr>
          <w:sz w:val="20"/>
          <w:szCs w:val="20"/>
          <w:color w:val="auto"/>
        </w:rPr>
      </w:pPr>
    </w:p>
    <w:p>
      <w:pPr>
        <w:ind w:left="660" w:right="160" w:hanging="328"/>
        <w:spacing w:after="0" w:line="26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GBV, payment volume, revenue, cost of revenue, gross profit or gross margin, operating expenses, including changes in operating expenses, and our ability to achieve and maintain future profitability;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total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overall demand for business travel and global travel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customers’ T&amp;E budgets and IT spending budgets;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acceptance of our platform and our ability to increase adoption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sales within our existing customers;</w:t>
      </w:r>
    </w:p>
    <w:p>
      <w:pPr>
        <w:spacing w:after="0" w:line="171"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drive adoption and expansion of our additional offerings, including Payments, Expense Management, Meetings and Events, VIP, and Bleisure;</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continue developing, improving, and implementing AI and ML into our platform and offerings, including Navan Cognition, our proprietary AI framework for our platform, and related AI features and functionalities;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timely and effectively scale, enhance and adapt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develop and introduce new offerings and products and bring them to market in a timely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operate and expand internationally;</w:t>
      </w:r>
    </w:p>
    <w:p>
      <w:pPr>
        <w:spacing w:after="0" w:line="171"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our expectations concerning relationships with suppliers and payment partners, and our ability to maintain commission rates and access to travel inventory;</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 and our ability to successfully integrate them into our business and operations;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40" w:right="359" w:bottom="1440" w:gutter="0" w:footer="0" w:header="0"/>
        </w:sectPr>
      </w:pPr>
    </w:p>
    <w:bookmarkStart w:id="83" w:name="page84"/>
    <w:bookmarkEnd w:id="83"/>
    <w:p>
      <w:pPr>
        <w:spacing w:after="0" w:line="247" w:lineRule="exact"/>
        <w:rPr>
          <w:sz w:val="20"/>
          <w:szCs w:val="20"/>
          <w:color w:val="auto"/>
        </w:rPr>
      </w:pPr>
    </w:p>
    <w:p>
      <w:pPr>
        <w:ind w:left="660" w:right="14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may become applicable to our business both in the United States and internationally;</w:t>
      </w:r>
    </w:p>
    <w:p>
      <w:pPr>
        <w:spacing w:after="0" w:line="98"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high-quality, cost-effective customer support, including through automation and AI-enabled tools, while controlling customer support costs;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 including as it relates to AI;</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remote and hybrid work models on our business, operations, and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operate and grow our business in light of macroeconomic uncertainty;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expenses associated with being a public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statements regarding our future operations, financial condition, and prospects and business strategies.</w:t>
      </w:r>
    </w:p>
    <w:p>
      <w:pPr>
        <w:spacing w:after="0" w:line="17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2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prospectus or to conform these statements to actual results or to changes in our expectations, except as required by law.</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5"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Within this prospectus, we reference information, statistics, estimates, and forecasts regarding our industry, including the market size and growth of the markets in which we participate. We have obtained this information, and these statistics, estimates, and forecasts from publicly available information and various independent third-party sources, including independent industry publications, reports by market research firms and other independent sources, such as Euromonitor International Limited and the Global Business Travel Association. Some data and other information contained in this prospectus are also based on management’s estimates and calculations, which are derived from our review and interpretation of internal surveys and data and independent third-party sources. Data regarding the industries in which we compete and our market position and market share within these industries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sections titled “Risk Factors” and “Special Note Regarding Forward-Looking Statements.” These and other factors could cause our future performance to differ materially from our assumptions and estimates. As a result, you should be aware that market, ranking and other similar industry data included in this prospectus, and estimates and beliefs based on that data, may not be reliable. Neither we, the selling stockholders nor the underwriters can guarantee the accuracy or completeness of any such information contained in this prospectus.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sources of certain statistics, estimates, and forecasts contained in this prospectus are:</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Euromonitor International Limited, </w:t>
      </w:r>
      <w:r>
        <w:rPr>
          <w:rFonts w:ascii="Arial" w:cs="Arial" w:eastAsia="Arial" w:hAnsi="Arial"/>
          <w:sz w:val="18"/>
          <w:szCs w:val="18"/>
          <w:i w:val="1"/>
          <w:iCs w:val="1"/>
          <w:color w:val="auto"/>
        </w:rPr>
        <w:t>Global Business Travel Industry Assessment Report</w:t>
      </w:r>
      <w:r>
        <w:rPr>
          <w:rFonts w:ascii="Arial" w:cs="Arial" w:eastAsia="Arial" w:hAnsi="Arial"/>
          <w:sz w:val="18"/>
          <w:szCs w:val="18"/>
          <w:color w:val="auto"/>
        </w:rPr>
        <w:t>, June 2025, commissioned by us.</w:t>
      </w:r>
    </w:p>
    <w:p>
      <w:pPr>
        <w:spacing w:after="0" w:line="17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Euromonitor International Limited, </w:t>
      </w:r>
      <w:r>
        <w:rPr>
          <w:rFonts w:ascii="Arial" w:cs="Arial" w:eastAsia="Arial" w:hAnsi="Arial"/>
          <w:sz w:val="18"/>
          <w:szCs w:val="18"/>
          <w:i w:val="1"/>
          <w:iCs w:val="1"/>
          <w:color w:val="auto"/>
        </w:rPr>
        <w:t>Embedded Finance Powered Transformation Across Travel – Intermediaries, Lodging, Shopping,</w:t>
      </w:r>
      <w:r>
        <w:rPr>
          <w:rFonts w:ascii="Arial" w:cs="Arial" w:eastAsia="Arial" w:hAnsi="Arial"/>
          <w:sz w:val="18"/>
          <w:szCs w:val="18"/>
          <w:color w:val="auto"/>
        </w:rPr>
        <w:t xml:space="preserve"> </w:t>
      </w:r>
      <w:r>
        <w:rPr>
          <w:rFonts w:ascii="Arial" w:cs="Arial" w:eastAsia="Arial" w:hAnsi="Arial"/>
          <w:sz w:val="18"/>
          <w:szCs w:val="18"/>
          <w:i w:val="1"/>
          <w:iCs w:val="1"/>
          <w:color w:val="auto"/>
        </w:rPr>
        <w:t>and Food and Dining</w:t>
      </w:r>
      <w:r>
        <w:rPr>
          <w:rFonts w:ascii="Arial" w:cs="Arial" w:eastAsia="Arial" w:hAnsi="Arial"/>
          <w:sz w:val="18"/>
          <w:szCs w:val="18"/>
          <w:color w:val="auto"/>
        </w:rPr>
        <w:t>, May 2024.</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Global Business Travel Association, </w:t>
      </w:r>
      <w:r>
        <w:rPr>
          <w:rFonts w:ascii="Arial" w:cs="Arial" w:eastAsia="Arial" w:hAnsi="Arial"/>
          <w:sz w:val="18"/>
          <w:szCs w:val="18"/>
          <w:i w:val="1"/>
          <w:iCs w:val="1"/>
          <w:color w:val="auto"/>
        </w:rPr>
        <w:t>2024 Business Travel Index Outlook: Annual Report and Forecast</w:t>
      </w:r>
      <w:r>
        <w:rPr>
          <w:rFonts w:ascii="Arial" w:cs="Arial" w:eastAsia="Arial" w:hAnsi="Arial"/>
          <w:sz w:val="18"/>
          <w:szCs w:val="18"/>
          <w:color w:val="auto"/>
        </w:rPr>
        <w:t>, July 2024.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World Travel &amp; Tourism Council, </w:t>
      </w:r>
      <w:r>
        <w:rPr>
          <w:rFonts w:ascii="Arial" w:cs="Arial" w:eastAsia="Arial" w:hAnsi="Arial"/>
          <w:sz w:val="18"/>
          <w:szCs w:val="18"/>
          <w:i w:val="1"/>
          <w:iCs w:val="1"/>
          <w:color w:val="auto"/>
        </w:rPr>
        <w:t>Economic Impact Report</w:t>
      </w:r>
      <w:r>
        <w:rPr>
          <w:rFonts w:ascii="Arial" w:cs="Arial" w:eastAsia="Arial" w:hAnsi="Arial"/>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440" w:right="359" w:bottom="1440" w:gutter="0" w:footer="0" w:header="0"/>
        </w:sectPr>
      </w:pPr>
    </w:p>
    <w:bookmarkStart w:id="85" w:name="page86"/>
    <w:bookmarkEnd w:id="85"/>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estimate that the net proceeds from our sale of shares of our Class A common stock in this offering at an assumed initial public offering price of $ per share, which is the midpoint of the offering price range set forth on the cover page of this prospectus, and after deducting underwriting discounts and commissions and estimated offering expenses, will be approximately $ million, or $ million if the underwriters’ option to purchase additional shares is exercised in full. We will not receive any proceeds from sales of shares of Class A common stock by the selling stockholders.</w:t>
      </w:r>
    </w:p>
    <w:p>
      <w:pPr>
        <w:spacing w:after="0" w:line="125"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The principal purposes of this offering are to create a public market for our Class A common stock, increase our visibility in the marketplace, obtain additional capital, increase our capitalization and financial flexibility and facilitate an orderly distribution of shares for the</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selling stockholders. We intend to use approximately $ million of the net proceeds from this offering to repay outstanding term loans under and terminate our credit agreement with VCP Capital Markets, LLC, referred to as the Vista Facility, which currently bears interest at a variable interest rate based on the 3-month SOFR rate (with a 1.00% SOFR floor) plus (A) if we have elected to pay the interest in cash, 6.50% per annum in cash or (B) if we have elected to pay interest partially in cash and partially paid in kind, 6.50% per annum (of which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5.00% shall be paid in cash and 1.50% paid in kind) and matures on February 24, 2030. Proceeds from the Vista Facility were used to repay</w:t>
      </w:r>
    </w:p>
    <w:p>
      <w:pPr>
        <w:spacing w:after="0" w:line="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then-outstanding indebtedness. As of , 2025, the outstanding principal amount under the Vista Facility was $ million. For a further description of the Vista Facility, see the section titled “Description of Material Indebtedness.”</w:t>
      </w:r>
    </w:p>
    <w:p>
      <w:pPr>
        <w:spacing w:after="0" w:line="117"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We also intend to use $ million of the net proceeds from this offering to pay the anticipated tax withholding and remittance obligations related to the RSU Net Settlement, assuming (i) the fair market value of our Class A common stock at the time of settlement will be equal to the assumed initial public offering price per share of $ , the midpoint of the price range set forth on the cover page of this prospectus, and</w:t>
      </w:r>
    </w:p>
    <w:p>
      <w:pPr>
        <w:spacing w:after="0" w:line="1"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(ii) an assumed</w:t>
      </w:r>
      <w:r>
        <w:rPr>
          <w:sz w:val="20"/>
          <w:szCs w:val="20"/>
          <w:color w:val="auto"/>
        </w:rPr>
        <w:tab/>
      </w:r>
      <w:r>
        <w:rPr>
          <w:rFonts w:ascii="Arial" w:cs="Arial" w:eastAsia="Arial" w:hAnsi="Arial"/>
          <w:sz w:val="18"/>
          <w:szCs w:val="18"/>
          <w:color w:val="auto"/>
        </w:rPr>
        <w:t>% tax withholding rate.</w:t>
      </w:r>
    </w:p>
    <w:p>
      <w:pPr>
        <w:spacing w:after="0" w:line="15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intend to use the remaining net proceeds we receive from this offering for working capital and other general corporate purposes, which may include product and platform development, general and administrative matters, and capital expenditures. We may also use a portion of the remaining net proceeds for the acquisition of, or investment in, technologies, solutions, or businesses that complement our business. However, we do not have agreements or commitments for any material acquisitions or investments outside the ordinary course of business at this time.</w:t>
      </w:r>
    </w:p>
    <w:p>
      <w:pPr>
        <w:spacing w:after="0" w:line="125"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will have broad discretion over the uses of the remaining net proceeds of this offering. We cannot specify with certainty all of the particular uses for the remaining net proceeds to us from this offering. We intend to invest the net proceeds from this offering in short-term, investment-grade interest-bearing securities, such as money market funds, certificates of deposit, commercial paper, and guaranteed obligations of the U.S. government.</w:t>
      </w:r>
    </w:p>
    <w:p>
      <w:pPr>
        <w:spacing w:after="0" w:line="122" w:lineRule="exact"/>
        <w:rPr>
          <w:sz w:val="20"/>
          <w:szCs w:val="20"/>
          <w:color w:val="auto"/>
        </w:rPr>
      </w:pPr>
    </w:p>
    <w:p>
      <w:pPr>
        <w:ind w:right="240" w:firstLine="324"/>
        <w:spacing w:after="0" w:line="260" w:lineRule="auto"/>
        <w:rPr>
          <w:sz w:val="20"/>
          <w:szCs w:val="20"/>
          <w:color w:val="auto"/>
        </w:rPr>
      </w:pPr>
      <w:r>
        <w:rPr>
          <w:rFonts w:ascii="Arial" w:cs="Arial" w:eastAsia="Arial" w:hAnsi="Arial"/>
          <w:sz w:val="18"/>
          <w:szCs w:val="18"/>
          <w:color w:val="auto"/>
        </w:rPr>
        <w:t>A $1.00 increase (decrease) in the assumed initial public offering price of $ per share, which is the midpoint of the offering price range set forth on the cover page of this prospectus, would increase (decrease) the net proceeds to us from this offering by approximately</w:t>
      </w:r>
    </w:p>
    <w:p>
      <w:pPr>
        <w:spacing w:after="0" w:line="2" w:lineRule="exact"/>
        <w:rPr>
          <w:sz w:val="20"/>
          <w:szCs w:val="20"/>
          <w:color w:val="auto"/>
        </w:rPr>
      </w:pPr>
    </w:p>
    <w:p>
      <w:pPr>
        <w:jc w:val="both"/>
        <w:ind w:right="120" w:firstLine="8"/>
        <w:spacing w:after="0" w:line="265" w:lineRule="auto"/>
        <w:tabs>
          <w:tab w:leader="none" w:pos="35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million, assuming the number of shares of our Class A common stock offered by us remains the same and after deducting underwriting discounts and commissions. Similarly, each increase (decrease) of 1.0 million shares in the number of shares of our Class A common stock</w:t>
      </w:r>
    </w:p>
    <w:p>
      <w:pPr>
        <w:jc w:val="both"/>
        <w:ind w:right="40"/>
        <w:spacing w:after="0" w:line="258" w:lineRule="auto"/>
        <w:rPr>
          <w:sz w:val="20"/>
          <w:szCs w:val="20"/>
          <w:color w:val="auto"/>
        </w:rPr>
      </w:pPr>
      <w:r>
        <w:rPr>
          <w:rFonts w:ascii="Arial" w:cs="Arial" w:eastAsia="Arial" w:hAnsi="Arial"/>
          <w:sz w:val="18"/>
          <w:szCs w:val="18"/>
          <w:color w:val="auto"/>
        </w:rPr>
        <w:t>offered would increase (decrease) the net proceeds from this offering by approximately $ million, assuming that the assumed initial public offering price of $ , which is the midpoint of the offering price range set forth on the cover page of this prospectus, remains the same, and after deducting the underwriting discounts and commissions.</w:t>
      </w:r>
    </w:p>
    <w:p>
      <w:pPr>
        <w:spacing w:after="0" w:line="1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Each $1.00 increase (decrease) in the assumed initial public offering price per share of $ , which is the midpoint of the price range set forth on the cover page of this prospectus, assuming no change in the assumed settlement date or applicable tax withholding rate, would increase (decrease) the amount we would be required to pay to satisfy our tax withholding and remittance obligations described above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320" w:top="1440" w:right="379" w:bottom="1440" w:gutter="0" w:footer="0" w:header="0"/>
        </w:sectPr>
      </w:pPr>
    </w:p>
    <w:bookmarkStart w:id="86" w:name="page87"/>
    <w:bookmarkEnd w:id="86"/>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approximately $ million. In addition, each 1.0% increase (decrease) in the tax withholding rate, assuming no change in the assumed initial public offering price per share, would increase (decrease) the amount of tax withholding and remittance obligations described above by</w:t>
      </w:r>
    </w:p>
    <w:p>
      <w:pPr>
        <w:spacing w:after="0" w:line="2"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320" w:top="1440" w:right="379" w:bottom="1440" w:gutter="0" w:footer="0" w:header="0"/>
        </w:sectPr>
      </w:pPr>
    </w:p>
    <w:bookmarkStart w:id="87" w:name="page88"/>
    <w:bookmarkEnd w:id="87"/>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dividends on our capital stock in the foreseeable future. Additionally, our ability to pay dividends or make distributions is limited by certain restrictions in connection with the Warehouse Credit Facility, the Vista Facility, and ABL Facility. For additional information regarding the Warehouse Credit Facility, the Vista Facility, and ABL Facility, see the section titled “Description of Material Indebtedness.” Additionally, our ability to pay dividends may be further restricted by agreements we may enter into in the future. Any future determination to declare dividends will be made at the discretion of our board of directors and will depend on our financial condition, results of operations, contractual restrictions,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440" w:right="379" w:bottom="1440" w:gutter="0" w:footer="0" w:header="0"/>
        </w:sectPr>
      </w:pPr>
    </w:p>
    <w:bookmarkStart w:id="88" w:name="page89"/>
    <w:bookmarkEnd w:id="88"/>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r>
              <w:rPr>
                <w:rFonts w:ascii="Arial" w:cs="Arial" w:eastAsia="Arial" w:hAnsi="Arial"/>
                <w:sz w:val="18"/>
                <w:szCs w:val="18"/>
                <w:color w:val="auto"/>
              </w:rPr>
              <w:t>The following table sets forth our cash and cash equivalents and our capitalization as of</w:t>
            </w:r>
          </w:p>
        </w:tc>
        <w:tc>
          <w:tcPr>
            <w:tcW w:w="1200" w:type="dxa"/>
            <w:vAlign w:val="bottom"/>
          </w:tcPr>
          <w:p>
            <w:pPr>
              <w:ind w:left="360"/>
              <w:spacing w:after="0"/>
              <w:rPr>
                <w:sz w:val="20"/>
                <w:szCs w:val="20"/>
                <w:color w:val="auto"/>
              </w:rPr>
            </w:pPr>
            <w:r>
              <w:rPr>
                <w:rFonts w:ascii="Arial" w:cs="Arial" w:eastAsia="Arial" w:hAnsi="Arial"/>
                <w:sz w:val="18"/>
                <w:szCs w:val="18"/>
                <w:color w:val="auto"/>
                <w:w w:val="96"/>
              </w:rPr>
              <w:t>, 2025, on:</w:t>
            </w:r>
          </w:p>
        </w:tc>
      </w:tr>
    </w:tbl>
    <w:p>
      <w:pPr>
        <w:spacing w:after="0" w:line="13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pro forma basis, which reflects (i) the automatic conversion of all outstanding shares of our redeemable convertible preferred stock</w:t>
      </w:r>
    </w:p>
    <w:p>
      <w:pPr>
        <w:spacing w:after="0" w:line="39" w:lineRule="exact"/>
        <w:rPr>
          <w:sz w:val="20"/>
          <w:szCs w:val="20"/>
          <w:color w:val="auto"/>
        </w:rPr>
      </w:pPr>
    </w:p>
    <w:p>
      <w:pPr>
        <w:ind w:left="660" w:right="240"/>
        <w:spacing w:after="0" w:line="250" w:lineRule="auto"/>
        <w:rPr>
          <w:sz w:val="20"/>
          <w:szCs w:val="20"/>
          <w:color w:val="auto"/>
        </w:rPr>
      </w:pPr>
      <w:r>
        <w:rPr>
          <w:rFonts w:ascii="Arial" w:cs="Arial" w:eastAsia="Arial" w:hAnsi="Arial"/>
          <w:sz w:val="18"/>
          <w:szCs w:val="18"/>
          <w:color w:val="auto"/>
        </w:rPr>
        <w:t>outstanding as of , 2025, into shares of our Class A common stock pursuant to the Capital Stock Conversion in connection with the closing of this offering pursuant to the terms of our amended and restated certificate of incorporation, (ii) the conversion of the aggregate principal and accrued and unpaid interest on the Convertible Notes pursuant to the Note Conversion,</w:t>
      </w:r>
    </w:p>
    <w:p>
      <w:pPr>
        <w:spacing w:after="0" w:line="1"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into shares of our Class A common stock, based upon (A) the assumed initial public offering price of $ per share, which is the midpoint of the offering price range set forth on the cover page of this prospectus, and (B) an assumed closing date of this</w:t>
      </w:r>
    </w:p>
    <w:p>
      <w:pPr>
        <w:sectPr>
          <w:pgSz w:w="11900" w:h="16838" w:orient="portrait"/>
          <w:cols w:equalWidth="0" w:num="1">
            <w:col w:w="11180"/>
          </w:cols>
          <w:pgMar w:left="320" w:top="1440" w:right="399" w:bottom="1440" w:gutter="0" w:footer="0" w:header="0"/>
        </w:sectPr>
      </w:pPr>
    </w:p>
    <w:p>
      <w:pPr>
        <w:ind w:left="660" w:right="40"/>
        <w:spacing w:after="0" w:line="250" w:lineRule="auto"/>
        <w:rPr>
          <w:sz w:val="20"/>
          <w:szCs w:val="20"/>
          <w:color w:val="auto"/>
        </w:rPr>
      </w:pPr>
      <w:r>
        <w:rPr>
          <w:rFonts w:ascii="Arial" w:cs="Arial" w:eastAsia="Arial" w:hAnsi="Arial"/>
          <w:sz w:val="18"/>
          <w:szCs w:val="18"/>
          <w:color w:val="auto"/>
        </w:rPr>
        <w:t>offering of , 2025, (iii) the conversion of the aggregate principal and accrued and unpaid interest on the outstanding SAFEs pursuant to the SAFE Conversion, into shares of our Class A common stock, based upon (A) the assumed initial public offering price of $ per share, which is the midpoint of the offering price range set forth on the cover page of this prospectus, and (B) an assumed closing date of this offering of , 2025, (iv) the net issuance of shares of Class A common stock in connection with the RSU Net Settlement, after withholding shares to satisfy estimated tax withholding and remittance obligations of $ million, based on (A) the assumed initial public offering price of $ per share, the midpoint of the price range set forth on the cover page of this prospectus, and (B) an assumed % tax withholding rate, (v) the automatic conversion of the</w:t>
      </w:r>
    </w:p>
    <w:p>
      <w:pPr>
        <w:sectPr>
          <w:pgSz w:w="11900" w:h="16838" w:orient="portrait"/>
          <w:cols w:equalWidth="0" w:num="1">
            <w:col w:w="11180"/>
          </w:cols>
          <w:pgMar w:left="320" w:top="1440" w:right="399" w:bottom="1440" w:gutter="0" w:footer="0" w:header="0"/>
          <w:type w:val="continuous"/>
        </w:sectPr>
      </w:pPr>
    </w:p>
    <w:p>
      <w:pPr>
        <w:spacing w:after="0" w:line="3"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redeemable convertible preferred stock warrant to a Class A common stock warrant, and the resulting remeasurement and assumed reclassification of the redeemable convertible preferred stock warrant liability to additional paid-in capital, and (vi) the filing and effectiveness of our amended and restated certificate of incorporation that will become effective immediately prior to the completion of this offering; and</w:t>
      </w:r>
    </w:p>
    <w:p>
      <w:pPr>
        <w:sectPr>
          <w:pgSz w:w="11900" w:h="16838" w:orient="portrait"/>
          <w:cols w:equalWidth="0" w:num="1">
            <w:col w:w="11180"/>
          </w:cols>
          <w:pgMar w:left="320" w:top="1440" w:right="399" w:bottom="1440" w:gutter="0" w:footer="0" w:header="0"/>
          <w:type w:val="continuous"/>
        </w:sectPr>
      </w:pP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80" w:hanging="4"/>
        <w:spacing w:after="0" w:line="278" w:lineRule="auto"/>
        <w:rPr>
          <w:sz w:val="20"/>
          <w:szCs w:val="20"/>
          <w:color w:val="auto"/>
        </w:rPr>
      </w:pPr>
      <w:r>
        <w:rPr>
          <w:rFonts w:ascii="Arial" w:cs="Arial" w:eastAsia="Arial" w:hAnsi="Arial"/>
          <w:sz w:val="18"/>
          <w:szCs w:val="18"/>
          <w:color w:val="auto"/>
        </w:rPr>
        <w:t>a pro forma as adjusted basis, which reflects (i) the pro forma adjustments set forth above, (ii) the sale and issuance of</w:t>
      </w:r>
      <w:r>
        <w:rPr>
          <w:sz w:val="20"/>
          <w:szCs w:val="20"/>
          <w:color w:val="auto"/>
        </w:rPr>
        <w:t xml:space="preserve"> </w:t>
      </w:r>
      <w:r>
        <w:rPr>
          <w:rFonts w:ascii="Arial" w:cs="Arial" w:eastAsia="Arial" w:hAnsi="Arial"/>
          <w:sz w:val="18"/>
          <w:szCs w:val="18"/>
          <w:color w:val="auto"/>
        </w:rPr>
        <w:t>shares of our Class A common stock in this offering at an assumed initial public offering price of $ per share, which is the midpoint of the offering price range set forth on the cover page of this prospectus, and our receipt of $ million in estimated net proceeds from</w:t>
      </w:r>
    </w:p>
    <w:p>
      <w:pPr>
        <w:spacing w:after="0" w:line="191" w:lineRule="exact"/>
        <w:rPr>
          <w:sz w:val="20"/>
          <w:szCs w:val="20"/>
          <w:color w:val="auto"/>
        </w:rPr>
      </w:pPr>
    </w:p>
    <w:p>
      <w:pPr>
        <w:sectPr>
          <w:pgSz w:w="11900" w:h="16838" w:orient="portrait"/>
          <w:cols w:equalWidth="0" w:num="2">
            <w:col w:w="400" w:space="260"/>
            <w:col w:w="10520"/>
          </w:cols>
          <w:pgMar w:left="320" w:top="1440" w:right="399" w:bottom="1440" w:gutter="0" w:footer="0" w:header="0"/>
          <w:type w:val="continuous"/>
        </w:sectPr>
      </w:pPr>
    </w:p>
    <w:p>
      <w:pPr>
        <w:ind w:left="660" w:right="580"/>
        <w:spacing w:after="0" w:line="263" w:lineRule="auto"/>
        <w:rPr>
          <w:sz w:val="20"/>
          <w:szCs w:val="20"/>
          <w:color w:val="auto"/>
        </w:rPr>
      </w:pPr>
      <w:r>
        <w:rPr>
          <w:rFonts w:ascii="Arial" w:cs="Arial" w:eastAsia="Arial" w:hAnsi="Arial"/>
          <w:sz w:val="17"/>
          <w:szCs w:val="17"/>
          <w:color w:val="auto"/>
        </w:rPr>
        <w:t>the offering, after deducting underwriting discounts and commissions and estimated offering expenses, and (iii) the use of net proceeds from this offering, together with existing cash and cash equivalents, if necessary, to (A) satisfy the estimated tax withholding and remittance obligations reflected in the pro forma adjustments described in the preceding bullet and (B) repay</w:t>
      </w:r>
    </w:p>
    <w:p>
      <w:pPr>
        <w:spacing w:after="0" w:line="1" w:lineRule="exact"/>
        <w:rPr>
          <w:sz w:val="20"/>
          <w:szCs w:val="20"/>
          <w:color w:val="auto"/>
        </w:rPr>
      </w:pPr>
    </w:p>
    <w:p>
      <w:pPr>
        <w:ind w:left="1060" w:hanging="40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million in outstanding loans under and terminate the Vista Facility.</w:t>
      </w:r>
    </w:p>
    <w:p>
      <w:pPr>
        <w:spacing w:after="0" w:line="15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information below is illustrative only and our capitalization following this offering will be adjusted based on the actual initial public offering price and other terms of the offering determined at pricing. You should read this table together with our consolidated financial statements and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320" w:top="1440" w:right="399" w:bottom="1440" w:gutter="0" w:footer="0" w:header="0"/>
          <w:type w:val="continuous"/>
        </w:sectPr>
      </w:pPr>
    </w:p>
    <w:bookmarkStart w:id="89" w:name="page90"/>
    <w:bookmarkEnd w:id="89"/>
    <w:p>
      <w:pPr>
        <w:spacing w:after="0" w:line="24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and the section titled “Management’s Discussion and Analysis of Financial Condition and Results of Operations,” that are included elsewhere in this prospectus.</w:t>
      </w:r>
    </w:p>
    <w:p>
      <w:pPr>
        <w:spacing w:after="0" w:line="149"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 2025</w:t>
      </w:r>
    </w:p>
    <w:p>
      <w:pPr>
        <w:spacing w:after="0" w:line="35" w:lineRule="exact"/>
        <w:rPr>
          <w:sz w:val="20"/>
          <w:szCs w:val="20"/>
          <w:color w:val="auto"/>
        </w:rPr>
      </w:pPr>
    </w:p>
    <w:tbl>
      <w:tblPr>
        <w:tblLayout w:type="fixed"/>
        <w:tblInd w:w="6340" w:type="dxa"/>
        <w:tblCellMar>
          <w:top w:w="0" w:type="dxa"/>
          <w:left w:w="0" w:type="dxa"/>
          <w:bottom w:w="0" w:type="dxa"/>
          <w:right w:w="0" w:type="dxa"/>
        </w:tblCellMar>
      </w:tblPr>
      <w:tr>
        <w:trPr>
          <w:trHeight w:val="146"/>
        </w:trPr>
        <w:tc>
          <w:tcPr>
            <w:tcW w:w="1560" w:type="dxa"/>
            <w:vAlign w:val="bottom"/>
            <w:tcBorders>
              <w:top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Actual</w:t>
            </w:r>
          </w:p>
        </w:tc>
        <w:tc>
          <w:tcPr>
            <w:tcW w:w="1680" w:type="dxa"/>
            <w:vAlign w:val="bottom"/>
            <w:tcBorders>
              <w:top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Pro Forma</w:t>
            </w:r>
          </w:p>
        </w:tc>
        <w:tc>
          <w:tcPr>
            <w:tcW w:w="1660" w:type="dxa"/>
            <w:vAlign w:val="bottom"/>
            <w:tcBorders>
              <w:top w:val="single" w:sz="8" w:color="auto"/>
            </w:tcBorders>
          </w:tcPr>
          <w:p>
            <w:pPr>
              <w:jc w:val="center"/>
              <w:ind w:left="28"/>
              <w:spacing w:after="0" w:line="146"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32"/>
        </w:trPr>
        <w:tc>
          <w:tcPr>
            <w:tcW w:w="156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166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-19685</wp:posOffset>
            </wp:positionV>
            <wp:extent cx="3111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cash, current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Debt, current and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ABL Facility</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line="217" w:lineRule="auto"/>
        <w:rPr>
          <w:sz w:val="20"/>
          <w:szCs w:val="20"/>
          <w:color w:val="auto"/>
        </w:rPr>
      </w:pPr>
      <w:r>
        <w:rPr>
          <w:rFonts w:ascii="Arial" w:cs="Arial" w:eastAsia="Arial" w:hAnsi="Arial"/>
          <w:sz w:val="16"/>
          <w:szCs w:val="16"/>
          <w:color w:val="auto"/>
        </w:rPr>
        <w:t>Vista Facility</w:t>
      </w:r>
      <w:r>
        <w:rPr>
          <w:rFonts w:ascii="Arial" w:cs="Arial" w:eastAsia="Arial" w:hAnsi="Arial"/>
          <w:sz w:val="21"/>
          <w:szCs w:val="21"/>
          <w:color w:val="auto"/>
          <w:vertAlign w:val="superscript"/>
        </w:rPr>
        <w:t>(3)</w:t>
      </w:r>
    </w:p>
    <w:p>
      <w:pPr>
        <w:ind w:left="240"/>
        <w:spacing w:after="0"/>
        <w:rPr>
          <w:sz w:val="20"/>
          <w:szCs w:val="20"/>
          <w:color w:val="auto"/>
        </w:rPr>
      </w:pPr>
      <w:r>
        <w:rPr>
          <w:rFonts w:ascii="Arial" w:cs="Arial" w:eastAsia="Arial" w:hAnsi="Arial"/>
          <w:sz w:val="16"/>
          <w:szCs w:val="16"/>
          <w:color w:val="auto"/>
        </w:rPr>
        <w:t>Trade loan facility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Warehouse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Convertible notes,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Simple agreements for future equity (SAFEs)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Total debt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Redeemable convertible preferred stock; $0.00000625 par value per</w:t>
      </w:r>
    </w:p>
    <w:p>
      <w:pPr>
        <w:spacing w:after="0" w:line="5" w:lineRule="exact"/>
        <w:rPr>
          <w:sz w:val="20"/>
          <w:szCs w:val="20"/>
          <w:color w:val="auto"/>
        </w:rPr>
      </w:pPr>
    </w:p>
    <w:p>
      <w:pPr>
        <w:ind w:left="180" w:right="5040"/>
        <w:spacing w:after="0" w:line="264" w:lineRule="auto"/>
        <w:rPr>
          <w:sz w:val="20"/>
          <w:szCs w:val="20"/>
          <w:color w:val="auto"/>
        </w:rPr>
      </w:pPr>
      <w:r>
        <w:rPr>
          <w:rFonts w:ascii="Arial" w:cs="Arial" w:eastAsia="Arial" w:hAnsi="Arial"/>
          <w:sz w:val="16"/>
          <w:szCs w:val="16"/>
          <w:color w:val="auto"/>
        </w:rPr>
        <w:t>share; 471,082,741 shares authorized, 439,080,808 shares issued and outstanding, actual; no shares authorized, issued, and outstanding, pro forma and pro forma as adjusted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 equity:</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2"/>
        </w:trPr>
        <w:tc>
          <w:tcPr>
            <w:tcW w:w="6140" w:type="dxa"/>
            <w:vAlign w:val="bottom"/>
            <w:gridSpan w:val="5"/>
          </w:tcPr>
          <w:p>
            <w:pPr>
              <w:ind w:left="240"/>
              <w:spacing w:after="0"/>
              <w:rPr>
                <w:sz w:val="20"/>
                <w:szCs w:val="20"/>
                <w:color w:val="auto"/>
              </w:rPr>
            </w:pPr>
            <w:r>
              <w:rPr>
                <w:rFonts w:ascii="Arial" w:cs="Arial" w:eastAsia="Arial" w:hAnsi="Arial"/>
                <w:sz w:val="16"/>
                <w:szCs w:val="16"/>
                <w:color w:val="auto"/>
              </w:rPr>
              <w:t>Preferred stock; $0.00000625 par value per share; no shares authorized, issued,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2440" w:type="dxa"/>
            <w:vAlign w:val="bottom"/>
          </w:tcPr>
          <w:p>
            <w:pPr>
              <w:ind w:left="400"/>
              <w:spacing w:after="0"/>
              <w:rPr>
                <w:sz w:val="20"/>
                <w:szCs w:val="20"/>
                <w:color w:val="auto"/>
              </w:rPr>
            </w:pPr>
            <w:r>
              <w:rPr>
                <w:rFonts w:ascii="Arial" w:cs="Arial" w:eastAsia="Arial" w:hAnsi="Arial"/>
                <w:sz w:val="16"/>
                <w:szCs w:val="16"/>
                <w:color w:val="auto"/>
              </w:rPr>
              <w:t>and outstanding, actual;</w:t>
            </w: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shares authorized, no shares issued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4200" w:type="dxa"/>
            <w:vAlign w:val="bottom"/>
            <w:gridSpan w:val="3"/>
          </w:tcPr>
          <w:p>
            <w:pPr>
              <w:ind w:left="400"/>
              <w:spacing w:after="0"/>
              <w:rPr>
                <w:sz w:val="20"/>
                <w:szCs w:val="20"/>
                <w:color w:val="auto"/>
              </w:rPr>
            </w:pPr>
            <w:r>
              <w:rPr>
                <w:rFonts w:ascii="Arial" w:cs="Arial" w:eastAsia="Arial" w:hAnsi="Arial"/>
                <w:sz w:val="16"/>
                <w:szCs w:val="16"/>
                <w:color w:val="auto"/>
              </w:rPr>
              <w:t>outstanding, pro forma and pro forma as adjusted</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80" w:type="dxa"/>
            <w:vAlign w:val="bottom"/>
            <w:gridSpan w:val="5"/>
          </w:tcPr>
          <w:p>
            <w:pPr>
              <w:ind w:left="620"/>
              <w:spacing w:after="0"/>
              <w:rPr>
                <w:sz w:val="20"/>
                <w:szCs w:val="20"/>
                <w:color w:val="auto"/>
              </w:rPr>
            </w:pPr>
            <w:r>
              <w:rPr>
                <w:rFonts w:ascii="Arial" w:cs="Arial" w:eastAsia="Arial" w:hAnsi="Arial"/>
                <w:sz w:val="16"/>
                <w:szCs w:val="16"/>
                <w:color w:val="auto"/>
              </w:rPr>
              <w:t>—</w:t>
            </w:r>
          </w:p>
        </w:tc>
      </w:tr>
      <w:tr>
        <w:trPr>
          <w:trHeight w:val="203"/>
        </w:trPr>
        <w:tc>
          <w:tcPr>
            <w:tcW w:w="42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Common stock; $0.00000625 par value per share;</w:t>
            </w: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shares authorized,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6140" w:type="dxa"/>
            <w:vAlign w:val="bottom"/>
            <w:gridSpan w:val="5"/>
            <w:shd w:val="clear" w:color="auto" w:fill="CCEEFF"/>
          </w:tcPr>
          <w:p>
            <w:pPr>
              <w:ind w:left="400"/>
              <w:spacing w:after="0"/>
              <w:rPr>
                <w:sz w:val="20"/>
                <w:szCs w:val="20"/>
                <w:color w:val="auto"/>
              </w:rPr>
            </w:pPr>
            <w:r>
              <w:rPr>
                <w:rFonts w:ascii="Arial" w:cs="Arial" w:eastAsia="Arial" w:hAnsi="Arial"/>
                <w:sz w:val="16"/>
                <w:szCs w:val="16"/>
                <w:color w:val="auto"/>
              </w:rPr>
              <w:t>shares issued and outstanding, actual; no shares authorized, issued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42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outstanding, pro forma and pro forma as adjusted</w:t>
            </w: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02"/>
        </w:trPr>
        <w:tc>
          <w:tcPr>
            <w:tcW w:w="6140" w:type="dxa"/>
            <w:vAlign w:val="bottom"/>
            <w:gridSpan w:val="5"/>
          </w:tcPr>
          <w:p>
            <w:pPr>
              <w:ind w:left="240"/>
              <w:spacing w:after="0"/>
              <w:rPr>
                <w:sz w:val="20"/>
                <w:szCs w:val="20"/>
                <w:color w:val="auto"/>
              </w:rPr>
            </w:pPr>
            <w:r>
              <w:rPr>
                <w:rFonts w:ascii="Arial" w:cs="Arial" w:eastAsia="Arial" w:hAnsi="Arial"/>
                <w:sz w:val="16"/>
                <w:szCs w:val="16"/>
                <w:color w:val="auto"/>
              </w:rPr>
              <w:t>Class A common stock; $0.00000625 par value per share; no shares authorized,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2760" w:type="dxa"/>
            <w:vAlign w:val="bottom"/>
            <w:gridSpan w:val="2"/>
          </w:tcPr>
          <w:p>
            <w:pPr>
              <w:ind w:left="400"/>
              <w:spacing w:after="0"/>
              <w:rPr>
                <w:sz w:val="20"/>
                <w:szCs w:val="20"/>
                <w:color w:val="auto"/>
              </w:rPr>
            </w:pPr>
            <w:r>
              <w:rPr>
                <w:rFonts w:ascii="Arial" w:cs="Arial" w:eastAsia="Arial" w:hAnsi="Arial"/>
                <w:sz w:val="16"/>
                <w:szCs w:val="16"/>
                <w:color w:val="auto"/>
              </w:rPr>
              <w:t>issued, and outstanding, actual;</w:t>
            </w:r>
          </w:p>
        </w:tc>
        <w:tc>
          <w:tcPr>
            <w:tcW w:w="3380" w:type="dxa"/>
            <w:vAlign w:val="bottom"/>
            <w:gridSpan w:val="3"/>
          </w:tcPr>
          <w:p>
            <w:pPr>
              <w:ind w:left="320"/>
              <w:spacing w:after="0"/>
              <w:rPr>
                <w:sz w:val="20"/>
                <w:szCs w:val="20"/>
                <w:color w:val="auto"/>
              </w:rPr>
            </w:pPr>
            <w:r>
              <w:rPr>
                <w:rFonts w:ascii="Arial" w:cs="Arial" w:eastAsia="Arial" w:hAnsi="Arial"/>
                <w:sz w:val="16"/>
                <w:szCs w:val="16"/>
                <w:color w:val="auto"/>
              </w:rPr>
              <w:t>shares authorized, no shares issued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9"/>
        </w:trPr>
        <w:tc>
          <w:tcPr>
            <w:tcW w:w="2440" w:type="dxa"/>
            <w:vAlign w:val="bottom"/>
          </w:tcPr>
          <w:p>
            <w:pPr>
              <w:ind w:left="400"/>
              <w:spacing w:after="0"/>
              <w:rPr>
                <w:sz w:val="20"/>
                <w:szCs w:val="20"/>
                <w:color w:val="auto"/>
              </w:rPr>
            </w:pPr>
            <w:r>
              <w:rPr>
                <w:rFonts w:ascii="Arial" w:cs="Arial" w:eastAsia="Arial" w:hAnsi="Arial"/>
                <w:sz w:val="16"/>
                <w:szCs w:val="16"/>
                <w:color w:val="auto"/>
              </w:rPr>
              <w:t>outstanding, pro forma;</w:t>
            </w: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shares authorized,</w:t>
            </w:r>
          </w:p>
        </w:tc>
        <w:tc>
          <w:tcPr>
            <w:tcW w:w="1940" w:type="dxa"/>
            <w:vAlign w:val="bottom"/>
            <w:gridSpan w:val="2"/>
          </w:tcPr>
          <w:p>
            <w:pPr>
              <w:ind w:left="20"/>
              <w:spacing w:after="0"/>
              <w:rPr>
                <w:sz w:val="20"/>
                <w:szCs w:val="20"/>
                <w:color w:val="auto"/>
              </w:rPr>
            </w:pPr>
            <w:r>
              <w:rPr>
                <w:rFonts w:ascii="Arial" w:cs="Arial" w:eastAsia="Arial" w:hAnsi="Arial"/>
                <w:sz w:val="16"/>
                <w:szCs w:val="16"/>
                <w:color w:val="auto"/>
              </w:rPr>
              <w:t>shares issued and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3"/>
        </w:trPr>
        <w:tc>
          <w:tcPr>
            <w:tcW w:w="4200" w:type="dxa"/>
            <w:vAlign w:val="bottom"/>
            <w:gridSpan w:val="3"/>
          </w:tcPr>
          <w:p>
            <w:pPr>
              <w:ind w:left="400"/>
              <w:spacing w:after="0"/>
              <w:rPr>
                <w:sz w:val="20"/>
                <w:szCs w:val="20"/>
                <w:color w:val="auto"/>
              </w:rPr>
            </w:pPr>
            <w:r>
              <w:rPr>
                <w:rFonts w:ascii="Arial" w:cs="Arial" w:eastAsia="Arial" w:hAnsi="Arial"/>
                <w:sz w:val="16"/>
                <w:szCs w:val="16"/>
                <w:color w:val="auto"/>
              </w:rPr>
              <w:t>outstanding, pro forma as adjusted</w:t>
            </w: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180" w:type="dxa"/>
            <w:vAlign w:val="bottom"/>
            <w:gridSpan w:val="5"/>
          </w:tcPr>
          <w:p>
            <w:pPr>
              <w:ind w:left="620"/>
              <w:spacing w:after="0"/>
              <w:rPr>
                <w:sz w:val="20"/>
                <w:szCs w:val="20"/>
                <w:color w:val="auto"/>
              </w:rPr>
            </w:pPr>
            <w:r>
              <w:rPr>
                <w:rFonts w:ascii="Arial" w:cs="Arial" w:eastAsia="Arial" w:hAnsi="Arial"/>
                <w:sz w:val="16"/>
                <w:szCs w:val="16"/>
                <w:color w:val="auto"/>
              </w:rPr>
              <w:t>—</w:t>
            </w:r>
          </w:p>
        </w:tc>
      </w:tr>
      <w:tr>
        <w:trPr>
          <w:trHeight w:val="203"/>
        </w:trPr>
        <w:tc>
          <w:tcPr>
            <w:tcW w:w="614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Class B common stock; $0.00000625 par value per share; no shares authorized,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2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issued, and outstanding, actual;</w:t>
            </w:r>
          </w:p>
        </w:tc>
        <w:tc>
          <w:tcPr>
            <w:tcW w:w="17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shares authorized,</w:t>
            </w:r>
          </w:p>
        </w:tc>
        <w:tc>
          <w:tcPr>
            <w:tcW w:w="1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shares issued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89"/>
        </w:trPr>
        <w:tc>
          <w:tcPr>
            <w:tcW w:w="2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and outstanding, pro forma;</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shares authorized,</w:t>
            </w: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shares issued and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44"/>
        </w:trPr>
        <w:tc>
          <w:tcPr>
            <w:tcW w:w="42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outstanding, pro forma as adjusted</w:t>
            </w: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180" w:type="dxa"/>
            <w:vAlign w:val="bottom"/>
            <w:gridSpan w:val="5"/>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42"/>
        </w:trPr>
        <w:tc>
          <w:tcPr>
            <w:tcW w:w="244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4"/>
        </w:trPr>
        <w:tc>
          <w:tcPr>
            <w:tcW w:w="42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2"/>
        </w:trPr>
        <w:tc>
          <w:tcPr>
            <w:tcW w:w="2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10"/>
        </w:trPr>
        <w:tc>
          <w:tcPr>
            <w:tcW w:w="42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Total stockholders’ (deficit) equity</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r>
      <w:tr>
        <w:trPr>
          <w:trHeight w:val="208"/>
        </w:trPr>
        <w:tc>
          <w:tcPr>
            <w:tcW w:w="2440" w:type="dxa"/>
            <w:vAlign w:val="bottom"/>
          </w:tcPr>
          <w:p>
            <w:pPr>
              <w:ind w:left="680"/>
              <w:spacing w:after="0"/>
              <w:rPr>
                <w:sz w:val="20"/>
                <w:szCs w:val="20"/>
                <w:color w:val="auto"/>
              </w:rPr>
            </w:pPr>
            <w:r>
              <w:rPr>
                <w:rFonts w:ascii="Arial" w:cs="Arial" w:eastAsia="Arial" w:hAnsi="Arial"/>
                <w:sz w:val="16"/>
                <w:szCs w:val="16"/>
                <w:color w:val="auto"/>
              </w:rPr>
              <w:t>Total capitalization</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64"/>
        </w:trPr>
        <w:tc>
          <w:tcPr>
            <w:tcW w:w="2440" w:type="dxa"/>
            <w:vAlign w:val="bottom"/>
          </w:tcPr>
          <w:p>
            <w:pPr>
              <w:spacing w:after="0"/>
              <w:rPr>
                <w:sz w:val="20"/>
                <w:szCs w:val="20"/>
                <w:color w:val="auto"/>
              </w:rPr>
            </w:pPr>
            <w:r>
              <w:rPr>
                <w:rFonts w:ascii="Arial" w:cs="Arial" w:eastAsia="Arial" w:hAnsi="Arial"/>
                <w:sz w:val="16"/>
                <w:szCs w:val="16"/>
                <w:color w:val="auto"/>
              </w:rPr>
              <w:t>_______________</w:t>
            </w: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5"/>
        </w:trPr>
        <w:tc>
          <w:tcPr>
            <w:tcW w:w="6140" w:type="dxa"/>
            <w:vAlign w:val="bottom"/>
            <w:gridSpan w:val="5"/>
          </w:tcPr>
          <w:p>
            <w:pPr>
              <w:spacing w:after="0"/>
              <w:rPr>
                <w:sz w:val="20"/>
                <w:szCs w:val="20"/>
                <w:color w:val="auto"/>
              </w:rPr>
            </w:pPr>
            <w:r>
              <w:rPr>
                <w:rFonts w:ascii="Arial" w:cs="Arial" w:eastAsia="Arial" w:hAnsi="Arial"/>
                <w:sz w:val="16"/>
                <w:szCs w:val="16"/>
                <w:color w:val="auto"/>
              </w:rPr>
              <w:t>(1)  Each $1.00 increase (decrease) in the assumed initial public offering price of $</w:t>
            </w:r>
          </w:p>
        </w:tc>
        <w:tc>
          <w:tcPr>
            <w:tcW w:w="5100" w:type="dxa"/>
            <w:vAlign w:val="bottom"/>
            <w:gridSpan w:val="7"/>
          </w:tcPr>
          <w:p>
            <w:pPr>
              <w:ind w:left="120"/>
              <w:spacing w:after="0"/>
              <w:rPr>
                <w:sz w:val="20"/>
                <w:szCs w:val="20"/>
                <w:color w:val="auto"/>
              </w:rPr>
            </w:pPr>
            <w:r>
              <w:rPr>
                <w:rFonts w:ascii="Arial" w:cs="Arial" w:eastAsia="Arial" w:hAnsi="Arial"/>
                <w:sz w:val="16"/>
                <w:szCs w:val="16"/>
                <w:color w:val="auto"/>
              </w:rPr>
              <w:t>per share, which is the midpoint of the offering price range set forth</w:t>
            </w:r>
          </w:p>
        </w:tc>
      </w:tr>
    </w:tbl>
    <w:p>
      <w:pPr>
        <w:ind w:left="340" w:right="240"/>
        <w:spacing w:after="0" w:line="283" w:lineRule="auto"/>
        <w:rPr>
          <w:sz w:val="20"/>
          <w:szCs w:val="20"/>
          <w:color w:val="auto"/>
        </w:rPr>
      </w:pPr>
      <w:r>
        <w:rPr>
          <w:rFonts w:ascii="Arial" w:cs="Arial" w:eastAsia="Arial" w:hAnsi="Arial"/>
          <w:sz w:val="16"/>
          <w:szCs w:val="16"/>
          <w:color w:val="auto"/>
        </w:rPr>
        <w:t>on the cover page of this prospectus, would increase (decrease) our pro forma as adjusted cash and cash equivalents, additional paid-in capital, total stockholders’ (deficit) equity, and total capitalization by $ million, assuming that the number of shares offered by us, as set forth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52" w:lineRule="exact"/>
        <w:rPr>
          <w:sz w:val="20"/>
          <w:szCs w:val="20"/>
          <w:color w:val="auto"/>
        </w:rPr>
      </w:pPr>
    </w:p>
    <w:p>
      <w:pPr>
        <w:ind w:left="340" w:right="160"/>
        <w:spacing w:after="0" w:line="263" w:lineRule="auto"/>
        <w:rPr>
          <w:sz w:val="20"/>
          <w:szCs w:val="20"/>
          <w:color w:val="auto"/>
        </w:rPr>
      </w:pPr>
      <w:r>
        <w:rPr>
          <w:rFonts w:ascii="Arial" w:cs="Arial" w:eastAsia="Arial" w:hAnsi="Arial"/>
          <w:sz w:val="16"/>
          <w:szCs w:val="16"/>
          <w:color w:val="auto"/>
        </w:rPr>
        <w:t>cover page of this prospectus, remains the same and after deducting the underwriting discounts and commissions. Similarly, each increase (decrease) of 1.0 million shares in the number of shares of our Class A common stock offered by us would increase (decrease) the amount of our pro forma as</w:t>
      </w:r>
    </w:p>
    <w:tbl>
      <w:tblPr>
        <w:tblLayout w:type="fixed"/>
        <w:tblInd w:w="0" w:type="dxa"/>
        <w:tblCellMar>
          <w:top w:w="0" w:type="dxa"/>
          <w:left w:w="0" w:type="dxa"/>
          <w:bottom w:w="0" w:type="dxa"/>
          <w:right w:w="0" w:type="dxa"/>
        </w:tblCellMar>
      </w:tblPr>
      <w:tr>
        <w:trPr>
          <w:trHeight w:val="177"/>
        </w:trPr>
        <w:tc>
          <w:tcPr>
            <w:tcW w:w="260" w:type="dxa"/>
            <w:vAlign w:val="bottom"/>
          </w:tcPr>
          <w:p>
            <w:pPr>
              <w:spacing w:after="0"/>
              <w:rPr>
                <w:sz w:val="15"/>
                <w:szCs w:val="15"/>
                <w:color w:val="auto"/>
              </w:rPr>
            </w:pPr>
          </w:p>
        </w:tc>
        <w:tc>
          <w:tcPr>
            <w:tcW w:w="9160" w:type="dxa"/>
            <w:vAlign w:val="bottom"/>
            <w:gridSpan w:val="7"/>
          </w:tcPr>
          <w:p>
            <w:pPr>
              <w:ind w:left="80"/>
              <w:spacing w:after="0" w:line="178" w:lineRule="exact"/>
              <w:rPr>
                <w:sz w:val="20"/>
                <w:szCs w:val="20"/>
                <w:color w:val="auto"/>
              </w:rPr>
            </w:pPr>
            <w:r>
              <w:rPr>
                <w:rFonts w:ascii="Arial" w:cs="Arial" w:eastAsia="Arial" w:hAnsi="Arial"/>
                <w:sz w:val="16"/>
                <w:szCs w:val="16"/>
                <w:color w:val="auto"/>
              </w:rPr>
              <w:t>adjusted cash and cash equivalents, additional paid-in capital, total stockholders’ (deficit) equity, and total capitalization by $</w:t>
            </w:r>
          </w:p>
        </w:tc>
        <w:tc>
          <w:tcPr>
            <w:tcW w:w="1800" w:type="dxa"/>
            <w:vAlign w:val="bottom"/>
            <w:gridSpan w:val="2"/>
          </w:tcPr>
          <w:p>
            <w:pPr>
              <w:jc w:val="right"/>
              <w:ind w:right="150"/>
              <w:spacing w:after="0" w:line="178" w:lineRule="exact"/>
              <w:rPr>
                <w:sz w:val="20"/>
                <w:szCs w:val="20"/>
                <w:color w:val="auto"/>
              </w:rPr>
            </w:pPr>
            <w:r>
              <w:rPr>
                <w:rFonts w:ascii="Arial" w:cs="Arial" w:eastAsia="Arial" w:hAnsi="Arial"/>
                <w:sz w:val="16"/>
                <w:szCs w:val="16"/>
                <w:color w:val="auto"/>
              </w:rPr>
              <w:t>million, assuming that</w:t>
            </w:r>
          </w:p>
        </w:tc>
      </w:tr>
      <w:tr>
        <w:trPr>
          <w:trHeight w:val="203"/>
        </w:trPr>
        <w:tc>
          <w:tcPr>
            <w:tcW w:w="260" w:type="dxa"/>
            <w:vAlign w:val="bottom"/>
          </w:tcPr>
          <w:p>
            <w:pPr>
              <w:spacing w:after="0"/>
              <w:rPr>
                <w:sz w:val="17"/>
                <w:szCs w:val="17"/>
                <w:color w:val="auto"/>
              </w:rPr>
            </w:pPr>
          </w:p>
        </w:tc>
        <w:tc>
          <w:tcPr>
            <w:tcW w:w="10960" w:type="dxa"/>
            <w:vAlign w:val="bottom"/>
            <w:gridSpan w:val="9"/>
          </w:tcPr>
          <w:p>
            <w:pPr>
              <w:ind w:left="80"/>
              <w:spacing w:after="0"/>
              <w:rPr>
                <w:sz w:val="20"/>
                <w:szCs w:val="20"/>
                <w:color w:val="auto"/>
              </w:rPr>
            </w:pPr>
            <w:r>
              <w:rPr>
                <w:rFonts w:ascii="Arial" w:cs="Arial" w:eastAsia="Arial" w:hAnsi="Arial"/>
                <w:sz w:val="16"/>
                <w:szCs w:val="16"/>
                <w:color w:val="auto"/>
              </w:rPr>
              <w:t>the assumed initial public offering price remains the same, and after deducting the underwriting discounts and commissions. If the underwriters’ option</w:t>
            </w:r>
          </w:p>
        </w:tc>
      </w:tr>
      <w:tr>
        <w:trPr>
          <w:trHeight w:val="189"/>
        </w:trPr>
        <w:tc>
          <w:tcPr>
            <w:tcW w:w="260" w:type="dxa"/>
            <w:vAlign w:val="bottom"/>
          </w:tcPr>
          <w:p>
            <w:pPr>
              <w:spacing w:after="0"/>
              <w:rPr>
                <w:sz w:val="16"/>
                <w:szCs w:val="16"/>
                <w:color w:val="auto"/>
              </w:rPr>
            </w:pPr>
          </w:p>
        </w:tc>
        <w:tc>
          <w:tcPr>
            <w:tcW w:w="10960" w:type="dxa"/>
            <w:vAlign w:val="bottom"/>
            <w:gridSpan w:val="9"/>
          </w:tcPr>
          <w:p>
            <w:pPr>
              <w:ind w:left="80"/>
              <w:spacing w:after="0"/>
              <w:rPr>
                <w:sz w:val="20"/>
                <w:szCs w:val="20"/>
                <w:color w:val="auto"/>
              </w:rPr>
            </w:pPr>
            <w:r>
              <w:rPr>
                <w:rFonts w:ascii="Arial" w:cs="Arial" w:eastAsia="Arial" w:hAnsi="Arial"/>
                <w:sz w:val="16"/>
                <w:szCs w:val="16"/>
                <w:color w:val="auto"/>
              </w:rPr>
              <w:t>to purchase additional shares is exercised in full, the pro forma as adjusted amount of each of cash and cash equivalents, additional paid-in capital, total</w:t>
            </w:r>
          </w:p>
        </w:tc>
      </w:tr>
      <w:tr>
        <w:trPr>
          <w:trHeight w:val="189"/>
        </w:trPr>
        <w:tc>
          <w:tcPr>
            <w:tcW w:w="260" w:type="dxa"/>
            <w:vAlign w:val="bottom"/>
          </w:tcPr>
          <w:p>
            <w:pPr>
              <w:spacing w:after="0"/>
              <w:rPr>
                <w:sz w:val="16"/>
                <w:szCs w:val="16"/>
                <w:color w:val="auto"/>
              </w:rPr>
            </w:pPr>
          </w:p>
        </w:tc>
        <w:tc>
          <w:tcPr>
            <w:tcW w:w="10960" w:type="dxa"/>
            <w:vAlign w:val="bottom"/>
            <w:gridSpan w:val="9"/>
          </w:tcPr>
          <w:p>
            <w:pPr>
              <w:ind w:left="80"/>
              <w:spacing w:after="0"/>
              <w:rPr>
                <w:sz w:val="20"/>
                <w:szCs w:val="20"/>
                <w:color w:val="auto"/>
              </w:rPr>
            </w:pPr>
            <w:r>
              <w:rPr>
                <w:rFonts w:ascii="Arial" w:cs="Arial" w:eastAsia="Arial" w:hAnsi="Arial"/>
                <w:sz w:val="16"/>
                <w:szCs w:val="16"/>
                <w:color w:val="auto"/>
              </w:rPr>
              <w:t>stockholders’ (deficit) equity, and total capitalization would increase by $   million, and after deducting underwriting discounts and commissions, and</w:t>
            </w:r>
          </w:p>
        </w:tc>
      </w:tr>
      <w:tr>
        <w:trPr>
          <w:trHeight w:val="203"/>
        </w:trPr>
        <w:tc>
          <w:tcPr>
            <w:tcW w:w="26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color w:val="auto"/>
              </w:rPr>
              <w:t>we would have</w:t>
            </w:r>
          </w:p>
        </w:tc>
        <w:tc>
          <w:tcPr>
            <w:tcW w:w="3380" w:type="dxa"/>
            <w:vAlign w:val="bottom"/>
          </w:tcPr>
          <w:p>
            <w:pPr>
              <w:ind w:left="180"/>
              <w:spacing w:after="0"/>
              <w:rPr>
                <w:sz w:val="20"/>
                <w:szCs w:val="20"/>
                <w:color w:val="auto"/>
              </w:rPr>
            </w:pPr>
            <w:r>
              <w:rPr>
                <w:rFonts w:ascii="Arial" w:cs="Arial" w:eastAsia="Arial" w:hAnsi="Arial"/>
                <w:sz w:val="16"/>
                <w:szCs w:val="16"/>
                <w:color w:val="auto"/>
              </w:rPr>
              <w:t>shares of our Class A common stock and</w:t>
            </w:r>
          </w:p>
        </w:tc>
        <w:tc>
          <w:tcPr>
            <w:tcW w:w="4860" w:type="dxa"/>
            <w:vAlign w:val="bottom"/>
            <w:gridSpan w:val="5"/>
          </w:tcPr>
          <w:p>
            <w:pPr>
              <w:ind w:left="220"/>
              <w:spacing w:after="0"/>
              <w:rPr>
                <w:sz w:val="20"/>
                <w:szCs w:val="20"/>
                <w:color w:val="auto"/>
              </w:rPr>
            </w:pPr>
            <w:r>
              <w:rPr>
                <w:rFonts w:ascii="Arial" w:cs="Arial" w:eastAsia="Arial" w:hAnsi="Arial"/>
                <w:sz w:val="16"/>
                <w:szCs w:val="16"/>
                <w:color w:val="auto"/>
              </w:rPr>
              <w:t>shares of our Class B common stock issued and outstanding.</w:t>
            </w:r>
          </w:p>
        </w:tc>
        <w:tc>
          <w:tcPr>
            <w:tcW w:w="1180" w:type="dxa"/>
            <w:vAlign w:val="bottom"/>
          </w:tcPr>
          <w:p>
            <w:pPr>
              <w:spacing w:after="0"/>
              <w:rPr>
                <w:sz w:val="17"/>
                <w:szCs w:val="17"/>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(2)</w:t>
            </w:r>
          </w:p>
        </w:tc>
        <w:tc>
          <w:tcPr>
            <w:tcW w:w="10960" w:type="dxa"/>
            <w:vAlign w:val="bottom"/>
            <w:gridSpan w:val="9"/>
          </w:tcPr>
          <w:p>
            <w:pPr>
              <w:ind w:left="60"/>
              <w:spacing w:after="0"/>
              <w:rPr>
                <w:sz w:val="20"/>
                <w:szCs w:val="20"/>
                <w:color w:val="auto"/>
              </w:rPr>
            </w:pPr>
            <w:r>
              <w:rPr>
                <w:rFonts w:ascii="Arial" w:cs="Arial" w:eastAsia="Arial" w:hAnsi="Arial"/>
                <w:sz w:val="16"/>
                <w:szCs w:val="16"/>
                <w:color w:val="auto"/>
              </w:rPr>
              <w:t>ABL Facility consists of $100 million of principal amount under a revolving credit facility, net of unamortized debt issuance costs of $ million.</w:t>
            </w:r>
          </w:p>
        </w:tc>
      </w:tr>
      <w:tr>
        <w:trPr>
          <w:trHeight w:val="203"/>
        </w:trPr>
        <w:tc>
          <w:tcPr>
            <w:tcW w:w="260" w:type="dxa"/>
            <w:vAlign w:val="bottom"/>
          </w:tcPr>
          <w:p>
            <w:pPr>
              <w:spacing w:after="0"/>
              <w:rPr>
                <w:sz w:val="20"/>
                <w:szCs w:val="20"/>
                <w:color w:val="auto"/>
              </w:rPr>
            </w:pPr>
            <w:r>
              <w:rPr>
                <w:rFonts w:ascii="Arial" w:cs="Arial" w:eastAsia="Arial" w:hAnsi="Arial"/>
                <w:sz w:val="16"/>
                <w:szCs w:val="16"/>
                <w:color w:val="auto"/>
              </w:rPr>
              <w:t>(3)</w:t>
            </w:r>
          </w:p>
        </w:tc>
        <w:tc>
          <w:tcPr>
            <w:tcW w:w="8580" w:type="dxa"/>
            <w:vAlign w:val="bottom"/>
            <w:gridSpan w:val="6"/>
          </w:tcPr>
          <w:p>
            <w:pPr>
              <w:ind w:left="60"/>
              <w:spacing w:after="0"/>
              <w:rPr>
                <w:sz w:val="20"/>
                <w:szCs w:val="20"/>
                <w:color w:val="auto"/>
              </w:rPr>
            </w:pPr>
            <w:r>
              <w:rPr>
                <w:rFonts w:ascii="Arial" w:cs="Arial" w:eastAsia="Arial" w:hAnsi="Arial"/>
                <w:sz w:val="16"/>
                <w:szCs w:val="16"/>
                <w:color w:val="auto"/>
              </w:rPr>
              <w:t>Vista Facility consists of $130 million of principal amount, net of unamortized debt discount and issuance costs of $</w:t>
            </w:r>
          </w:p>
        </w:tc>
        <w:tc>
          <w:tcPr>
            <w:tcW w:w="580" w:type="dxa"/>
            <w:vAlign w:val="bottom"/>
          </w:tcPr>
          <w:p>
            <w:pPr>
              <w:ind w:left="60"/>
              <w:spacing w:after="0"/>
              <w:rPr>
                <w:sz w:val="20"/>
                <w:szCs w:val="20"/>
                <w:color w:val="auto"/>
              </w:rPr>
            </w:pPr>
            <w:r>
              <w:rPr>
                <w:rFonts w:ascii="Arial" w:cs="Arial" w:eastAsia="Arial" w:hAnsi="Arial"/>
                <w:sz w:val="16"/>
                <w:szCs w:val="16"/>
                <w:color w:val="auto"/>
              </w:rPr>
              <w:t>million.</w:t>
            </w: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(4)</w:t>
            </w:r>
          </w:p>
        </w:tc>
        <w:tc>
          <w:tcPr>
            <w:tcW w:w="7840" w:type="dxa"/>
            <w:vAlign w:val="bottom"/>
            <w:gridSpan w:val="5"/>
          </w:tcPr>
          <w:p>
            <w:pPr>
              <w:ind w:left="60"/>
              <w:spacing w:after="0"/>
              <w:rPr>
                <w:sz w:val="20"/>
                <w:szCs w:val="20"/>
                <w:color w:val="auto"/>
              </w:rPr>
            </w:pPr>
            <w:r>
              <w:rPr>
                <w:rFonts w:ascii="Arial" w:cs="Arial" w:eastAsia="Arial" w:hAnsi="Arial"/>
                <w:sz w:val="16"/>
                <w:szCs w:val="16"/>
                <w:color w:val="auto"/>
              </w:rPr>
              <w:t>Represents $155 million in proceeds received upon issuing SAFEs, including fair value adjustments of $</w:t>
            </w:r>
          </w:p>
        </w:tc>
        <w:tc>
          <w:tcPr>
            <w:tcW w:w="740" w:type="dxa"/>
            <w:vAlign w:val="bottom"/>
          </w:tcPr>
          <w:p>
            <w:pPr>
              <w:ind w:left="160"/>
              <w:spacing w:after="0"/>
              <w:rPr>
                <w:sz w:val="20"/>
                <w:szCs w:val="20"/>
                <w:color w:val="auto"/>
              </w:rPr>
            </w:pPr>
            <w:r>
              <w:rPr>
                <w:rFonts w:ascii="Arial" w:cs="Arial" w:eastAsia="Arial" w:hAnsi="Arial"/>
                <w:sz w:val="16"/>
                <w:szCs w:val="16"/>
                <w:color w:val="auto"/>
              </w:rPr>
              <w:t>million.</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260" w:type="dxa"/>
            <w:vAlign w:val="bottom"/>
          </w:tcPr>
          <w:p>
            <w:pPr>
              <w:spacing w:after="0"/>
              <w:rPr>
                <w:sz w:val="20"/>
                <w:szCs w:val="20"/>
                <w:color w:val="auto"/>
              </w:rPr>
            </w:pPr>
            <w:r>
              <w:rPr>
                <w:rFonts w:ascii="Arial" w:cs="Arial" w:eastAsia="Arial" w:hAnsi="Arial"/>
                <w:sz w:val="16"/>
                <w:szCs w:val="16"/>
                <w:color w:val="auto"/>
              </w:rPr>
              <w:t>(5)</w:t>
            </w:r>
          </w:p>
        </w:tc>
        <w:tc>
          <w:tcPr>
            <w:tcW w:w="820" w:type="dxa"/>
            <w:vAlign w:val="bottom"/>
          </w:tcPr>
          <w:p>
            <w:pPr>
              <w:ind w:left="60"/>
              <w:spacing w:after="0"/>
              <w:rPr>
                <w:sz w:val="20"/>
                <w:szCs w:val="20"/>
                <w:color w:val="auto"/>
              </w:rPr>
            </w:pPr>
            <w:r>
              <w:rPr>
                <w:rFonts w:ascii="Arial" w:cs="Arial" w:eastAsia="Arial" w:hAnsi="Arial"/>
                <w:sz w:val="16"/>
                <w:szCs w:val="16"/>
                <w:color w:val="auto"/>
              </w:rPr>
              <w:t>Includes $</w:t>
            </w:r>
          </w:p>
        </w:tc>
        <w:tc>
          <w:tcPr>
            <w:tcW w:w="6100" w:type="dxa"/>
            <w:vAlign w:val="bottom"/>
            <w:gridSpan w:val="3"/>
          </w:tcPr>
          <w:p>
            <w:pPr>
              <w:ind w:left="80"/>
              <w:spacing w:after="0"/>
              <w:rPr>
                <w:sz w:val="20"/>
                <w:szCs w:val="20"/>
                <w:color w:val="auto"/>
              </w:rPr>
            </w:pPr>
            <w:r>
              <w:rPr>
                <w:rFonts w:ascii="Arial" w:cs="Arial" w:eastAsia="Arial" w:hAnsi="Arial"/>
                <w:sz w:val="16"/>
                <w:szCs w:val="16"/>
                <w:color w:val="auto"/>
              </w:rPr>
              <w:t>million related to redeemable convertible preferred stock warrant liability.</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48"/>
        </w:trPr>
        <w:tc>
          <w:tcPr>
            <w:tcW w:w="260" w:type="dxa"/>
            <w:vAlign w:val="bottom"/>
          </w:tcPr>
          <w:p>
            <w:pPr>
              <w:spacing w:after="0"/>
              <w:rPr>
                <w:sz w:val="24"/>
                <w:szCs w:val="24"/>
                <w:color w:val="auto"/>
              </w:rPr>
            </w:pPr>
          </w:p>
        </w:tc>
        <w:tc>
          <w:tcPr>
            <w:tcW w:w="10960" w:type="dxa"/>
            <w:vAlign w:val="bottom"/>
            <w:gridSpan w:val="9"/>
          </w:tcPr>
          <w:p>
            <w:pPr>
              <w:ind w:left="80"/>
              <w:spacing w:after="0"/>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on</w:t>
            </w:r>
          </w:p>
        </w:tc>
        <w:tc>
          <w:tcPr>
            <w:tcW w:w="4920" w:type="dxa"/>
            <w:vAlign w:val="bottom"/>
            <w:gridSpan w:val="3"/>
          </w:tcPr>
          <w:p>
            <w:pPr>
              <w:ind w:left="440"/>
              <w:spacing w:after="0"/>
              <w:rPr>
                <w:sz w:val="20"/>
                <w:szCs w:val="20"/>
                <w:color w:val="auto"/>
              </w:rPr>
            </w:pPr>
            <w:r>
              <w:rPr>
                <w:rFonts w:ascii="Arial" w:cs="Arial" w:eastAsia="Arial" w:hAnsi="Arial"/>
                <w:sz w:val="18"/>
                <w:szCs w:val="18"/>
                <w:color w:val="auto"/>
              </w:rPr>
              <w:t>shares of our Class A common stock outstanding and</w:t>
            </w:r>
          </w:p>
        </w:tc>
        <w:tc>
          <w:tcPr>
            <w:tcW w:w="6040" w:type="dxa"/>
            <w:vAlign w:val="bottom"/>
            <w:gridSpan w:val="6"/>
          </w:tcPr>
          <w:p>
            <w:pPr>
              <w:jc w:val="right"/>
              <w:ind w:right="70"/>
              <w:spacing w:after="0"/>
              <w:rPr>
                <w:sz w:val="20"/>
                <w:szCs w:val="20"/>
                <w:color w:val="auto"/>
              </w:rPr>
            </w:pPr>
            <w:r>
              <w:rPr>
                <w:rFonts w:ascii="Arial" w:cs="Arial" w:eastAsia="Arial" w:hAnsi="Arial"/>
                <w:sz w:val="18"/>
                <w:szCs w:val="18"/>
                <w:color w:val="auto"/>
              </w:rPr>
              <w:t>shares of our Class B common stock outstanding (after giving effect to</w:t>
            </w:r>
          </w:p>
        </w:tc>
      </w:tr>
      <w:tr>
        <w:trPr>
          <w:trHeight w:val="216"/>
        </w:trPr>
        <w:tc>
          <w:tcPr>
            <w:tcW w:w="10040" w:type="dxa"/>
            <w:vAlign w:val="bottom"/>
            <w:gridSpan w:val="9"/>
          </w:tcPr>
          <w:p>
            <w:pPr>
              <w:spacing w:after="0"/>
              <w:rPr>
                <w:sz w:val="20"/>
                <w:szCs w:val="20"/>
                <w:color w:val="auto"/>
              </w:rPr>
            </w:pPr>
            <w:r>
              <w:rPr>
                <w:rFonts w:ascii="Arial" w:cs="Arial" w:eastAsia="Arial" w:hAnsi="Arial"/>
                <w:sz w:val="18"/>
                <w:szCs w:val="18"/>
                <w:color w:val="auto"/>
              </w:rPr>
              <w:t>the Capital Stock Conversion, the Note Conversion, the SAFE Conversion, and the RSU Net Settlement), in each case as of</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39"/>
        </w:trPr>
        <w:tc>
          <w:tcPr>
            <w:tcW w:w="1800" w:type="dxa"/>
            <w:vAlign w:val="bottom"/>
            <w:gridSpan w:val="3"/>
          </w:tcPr>
          <w:p>
            <w:pPr>
              <w:spacing w:after="0"/>
              <w:rPr>
                <w:sz w:val="20"/>
                <w:szCs w:val="20"/>
                <w:color w:val="auto"/>
              </w:rPr>
            </w:pPr>
            <w:r>
              <w:rPr>
                <w:rFonts w:ascii="Arial" w:cs="Arial" w:eastAsia="Arial" w:hAnsi="Arial"/>
                <w:sz w:val="18"/>
                <w:szCs w:val="18"/>
                <w:color w:val="auto"/>
              </w:rPr>
              <w:t>2025, and excludes:</w:t>
            </w:r>
          </w:p>
        </w:tc>
        <w:tc>
          <w:tcPr>
            <w:tcW w:w="3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55"/>
        </w:trPr>
        <w:tc>
          <w:tcPr>
            <w:tcW w:w="2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w:t>
            </w:r>
          </w:p>
        </w:tc>
        <w:tc>
          <w:tcPr>
            <w:tcW w:w="8340" w:type="dxa"/>
            <w:vAlign w:val="bottom"/>
            <w:gridSpan w:val="6"/>
          </w:tcPr>
          <w:p>
            <w:pPr>
              <w:ind w:left="20"/>
              <w:spacing w:after="0"/>
              <w:rPr>
                <w:sz w:val="20"/>
                <w:szCs w:val="20"/>
                <w:color w:val="auto"/>
              </w:rPr>
            </w:pPr>
            <w:r>
              <w:rPr>
                <w:rFonts w:ascii="Arial" w:cs="Arial" w:eastAsia="Arial" w:hAnsi="Arial"/>
                <w:sz w:val="18"/>
                <w:szCs w:val="18"/>
                <w:color w:val="auto"/>
              </w:rPr>
              <w:t>shares of our Class A common stock issuable upon the exercise of stock options outstanding as of</w:t>
            </w:r>
          </w:p>
        </w:tc>
        <w:tc>
          <w:tcPr>
            <w:tcW w:w="1800" w:type="dxa"/>
            <w:vAlign w:val="bottom"/>
            <w:gridSpan w:val="2"/>
          </w:tcPr>
          <w:p>
            <w:pPr>
              <w:jc w:val="right"/>
              <w:ind w:right="90"/>
              <w:spacing w:after="0"/>
              <w:rPr>
                <w:sz w:val="20"/>
                <w:szCs w:val="20"/>
                <w:color w:val="auto"/>
              </w:rPr>
            </w:pPr>
            <w:r>
              <w:rPr>
                <w:rFonts w:ascii="Arial" w:cs="Arial" w:eastAsia="Arial" w:hAnsi="Arial"/>
                <w:sz w:val="18"/>
                <w:szCs w:val="18"/>
                <w:color w:val="auto"/>
              </w:rPr>
              <w:t>, 2025 under our</w:t>
            </w:r>
          </w:p>
        </w:tc>
      </w:tr>
      <w:tr>
        <w:trPr>
          <w:trHeight w:val="216"/>
        </w:trPr>
        <w:tc>
          <w:tcPr>
            <w:tcW w:w="260" w:type="dxa"/>
            <w:vAlign w:val="bottom"/>
          </w:tcPr>
          <w:p>
            <w:pPr>
              <w:spacing w:after="0"/>
              <w:rPr>
                <w:sz w:val="18"/>
                <w:szCs w:val="18"/>
                <w:color w:val="auto"/>
              </w:rPr>
            </w:pPr>
          </w:p>
        </w:tc>
        <w:tc>
          <w:tcPr>
            <w:tcW w:w="7840" w:type="dxa"/>
            <w:vAlign w:val="bottom"/>
            <w:gridSpan w:val="5"/>
          </w:tcPr>
          <w:p>
            <w:pPr>
              <w:ind w:left="400"/>
              <w:spacing w:after="0"/>
              <w:rPr>
                <w:sz w:val="20"/>
                <w:szCs w:val="20"/>
                <w:color w:val="auto"/>
              </w:rPr>
            </w:pPr>
            <w:r>
              <w:rPr>
                <w:rFonts w:ascii="Arial" w:cs="Arial" w:eastAsia="Arial" w:hAnsi="Arial"/>
                <w:sz w:val="18"/>
                <w:szCs w:val="18"/>
                <w:color w:val="auto"/>
              </w:rPr>
              <w:t>2015 Equity Incentive Plan, or our 2015 Plan, with a weighted-average exercise price of $</w:t>
            </w: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per share, of which</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shares will</w:t>
            </w:r>
          </w:p>
        </w:tc>
      </w:tr>
      <w:tr>
        <w:trPr>
          <w:trHeight w:val="239"/>
        </w:trPr>
        <w:tc>
          <w:tcPr>
            <w:tcW w:w="260" w:type="dxa"/>
            <w:vAlign w:val="bottom"/>
          </w:tcPr>
          <w:p>
            <w:pPr>
              <w:spacing w:after="0"/>
              <w:rPr>
                <w:sz w:val="20"/>
                <w:szCs w:val="20"/>
                <w:color w:val="auto"/>
              </w:rPr>
            </w:pPr>
          </w:p>
        </w:tc>
        <w:tc>
          <w:tcPr>
            <w:tcW w:w="10960" w:type="dxa"/>
            <w:vAlign w:val="bottom"/>
            <w:gridSpan w:val="9"/>
          </w:tcPr>
          <w:p>
            <w:pPr>
              <w:ind w:left="400"/>
              <w:spacing w:after="0"/>
              <w:rPr>
                <w:sz w:val="20"/>
                <w:szCs w:val="20"/>
                <w:color w:val="auto"/>
              </w:rPr>
            </w:pPr>
            <w:r>
              <w:rPr>
                <w:rFonts w:ascii="Arial" w:cs="Arial" w:eastAsia="Arial" w:hAnsi="Arial"/>
                <w:sz w:val="18"/>
                <w:szCs w:val="18"/>
                <w:color w:val="auto"/>
              </w:rPr>
              <w:t>be exchangeable for an equal number of shares of Class B common stock at the election of our co-founders upon exercise;</w:t>
            </w:r>
          </w:p>
        </w:tc>
      </w:tr>
      <w:tr>
        <w:trPr>
          <w:trHeight w:val="355"/>
        </w:trPr>
        <w:tc>
          <w:tcPr>
            <w:tcW w:w="2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w:t>
            </w:r>
          </w:p>
        </w:tc>
        <w:tc>
          <w:tcPr>
            <w:tcW w:w="7760" w:type="dxa"/>
            <w:vAlign w:val="bottom"/>
            <w:gridSpan w:val="5"/>
          </w:tcPr>
          <w:p>
            <w:pPr>
              <w:ind w:left="20"/>
              <w:spacing w:after="0"/>
              <w:rPr>
                <w:sz w:val="20"/>
                <w:szCs w:val="20"/>
                <w:color w:val="auto"/>
              </w:rPr>
            </w:pPr>
            <w:r>
              <w:rPr>
                <w:rFonts w:ascii="Arial" w:cs="Arial" w:eastAsia="Arial" w:hAnsi="Arial"/>
                <w:sz w:val="18"/>
                <w:szCs w:val="18"/>
                <w:color w:val="auto"/>
              </w:rPr>
              <w:t>shares of our Class A common stock issuable upon the exercise of stock options granted after</w:t>
            </w:r>
          </w:p>
        </w:tc>
        <w:tc>
          <w:tcPr>
            <w:tcW w:w="580" w:type="dxa"/>
            <w:vAlign w:val="bottom"/>
          </w:tcPr>
          <w:p>
            <w:pPr>
              <w:spacing w:after="0"/>
              <w:rPr>
                <w:sz w:val="24"/>
                <w:szCs w:val="24"/>
                <w:color w:val="auto"/>
              </w:rPr>
            </w:pP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 2025 under our</w:t>
            </w:r>
          </w:p>
        </w:tc>
      </w:tr>
      <w:tr>
        <w:trPr>
          <w:trHeight w:val="216"/>
        </w:trPr>
        <w:tc>
          <w:tcPr>
            <w:tcW w:w="260" w:type="dxa"/>
            <w:vAlign w:val="bottom"/>
          </w:tcPr>
          <w:p>
            <w:pPr>
              <w:spacing w:after="0"/>
              <w:rPr>
                <w:sz w:val="18"/>
                <w:szCs w:val="18"/>
                <w:color w:val="auto"/>
              </w:rPr>
            </w:pPr>
          </w:p>
        </w:tc>
        <w:tc>
          <w:tcPr>
            <w:tcW w:w="4920" w:type="dxa"/>
            <w:vAlign w:val="bottom"/>
            <w:gridSpan w:val="3"/>
          </w:tcPr>
          <w:p>
            <w:pPr>
              <w:ind w:left="400"/>
              <w:spacing w:after="0"/>
              <w:rPr>
                <w:sz w:val="20"/>
                <w:szCs w:val="20"/>
                <w:color w:val="auto"/>
              </w:rPr>
            </w:pPr>
            <w:r>
              <w:rPr>
                <w:rFonts w:ascii="Arial" w:cs="Arial" w:eastAsia="Arial" w:hAnsi="Arial"/>
                <w:sz w:val="18"/>
                <w:szCs w:val="18"/>
                <w:color w:val="auto"/>
              </w:rPr>
              <w:t>2015 Plan with a weighted-average exercise price of $</w:t>
            </w:r>
          </w:p>
        </w:tc>
        <w:tc>
          <w:tcPr>
            <w:tcW w:w="2000" w:type="dxa"/>
            <w:vAlign w:val="bottom"/>
          </w:tcPr>
          <w:p>
            <w:pPr>
              <w:ind w:left="240"/>
              <w:spacing w:after="0"/>
              <w:rPr>
                <w:sz w:val="20"/>
                <w:szCs w:val="20"/>
                <w:color w:val="auto"/>
              </w:rPr>
            </w:pPr>
            <w:r>
              <w:rPr>
                <w:rFonts w:ascii="Arial" w:cs="Arial" w:eastAsia="Arial" w:hAnsi="Arial"/>
                <w:sz w:val="18"/>
                <w:szCs w:val="18"/>
                <w:color w:val="auto"/>
              </w:rPr>
              <w:t>per share, of which</w:t>
            </w:r>
          </w:p>
        </w:tc>
        <w:tc>
          <w:tcPr>
            <w:tcW w:w="4040" w:type="dxa"/>
            <w:vAlign w:val="bottom"/>
            <w:gridSpan w:val="5"/>
          </w:tcPr>
          <w:p>
            <w:pPr>
              <w:jc w:val="right"/>
              <w:ind w:right="470"/>
              <w:spacing w:after="0"/>
              <w:rPr>
                <w:sz w:val="20"/>
                <w:szCs w:val="20"/>
                <w:color w:val="auto"/>
              </w:rPr>
            </w:pPr>
            <w:r>
              <w:rPr>
                <w:rFonts w:ascii="Arial" w:cs="Arial" w:eastAsia="Arial" w:hAnsi="Arial"/>
                <w:sz w:val="18"/>
                <w:szCs w:val="18"/>
                <w:color w:val="auto"/>
              </w:rPr>
              <w:t>shares will be exchangeable for an equal</w:t>
            </w:r>
          </w:p>
        </w:tc>
      </w:tr>
      <w:tr>
        <w:trPr>
          <w:trHeight w:val="239"/>
        </w:trPr>
        <w:tc>
          <w:tcPr>
            <w:tcW w:w="260" w:type="dxa"/>
            <w:vAlign w:val="bottom"/>
          </w:tcPr>
          <w:p>
            <w:pPr>
              <w:spacing w:after="0"/>
              <w:rPr>
                <w:sz w:val="20"/>
                <w:szCs w:val="20"/>
                <w:color w:val="auto"/>
              </w:rPr>
            </w:pPr>
          </w:p>
        </w:tc>
        <w:tc>
          <w:tcPr>
            <w:tcW w:w="7840" w:type="dxa"/>
            <w:vAlign w:val="bottom"/>
            <w:gridSpan w:val="5"/>
          </w:tcPr>
          <w:p>
            <w:pPr>
              <w:ind w:left="400"/>
              <w:spacing w:after="0"/>
              <w:rPr>
                <w:sz w:val="20"/>
                <w:szCs w:val="20"/>
                <w:color w:val="auto"/>
              </w:rPr>
            </w:pPr>
            <w:r>
              <w:rPr>
                <w:rFonts w:ascii="Arial" w:cs="Arial" w:eastAsia="Arial" w:hAnsi="Arial"/>
                <w:sz w:val="18"/>
                <w:szCs w:val="18"/>
                <w:color w:val="auto"/>
              </w:rPr>
              <w:t>number of shares of Class B common stock at the election of our co-founders upon exercise;</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39" w:lineRule="exact"/>
        <w:rPr>
          <w:sz w:val="20"/>
          <w:szCs w:val="20"/>
          <w:color w:val="auto"/>
        </w:rPr>
      </w:pPr>
    </w:p>
    <w:p>
      <w:pPr>
        <w:ind w:left="660" w:right="40" w:hanging="328"/>
        <w:spacing w:after="0" w:line="262" w:lineRule="auto"/>
        <w:tabs>
          <w:tab w:leader="none" w:pos="11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of Class A common stock issuable upon the vesting and settlement of RSUs outstanding as of the date of this prospectus subject to service-based and/or performance-based conditions, for which (i) the service-based condition was not satisfied as of such date and (ii) the performance-based condition, if applicable, will be satisfied upon the effectiveness of the registration statement of which this prospectus forms a part;</w:t>
      </w:r>
    </w:p>
    <w:p>
      <w:pPr>
        <w:sectPr>
          <w:pgSz w:w="11900" w:h="16838" w:orient="portrait"/>
          <w:cols w:equalWidth="0" w:num="1">
            <w:col w:w="11240"/>
          </w:cols>
          <w:pgMar w:left="320" w:top="1440" w:right="339" w:bottom="1440" w:gutter="0" w:footer="0" w:header="0"/>
        </w:sectPr>
      </w:pP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440" w:firstLine="445"/>
        <w:spacing w:after="0" w:line="287" w:lineRule="auto"/>
        <w:rPr>
          <w:sz w:val="20"/>
          <w:szCs w:val="20"/>
          <w:color w:val="auto"/>
        </w:rPr>
      </w:pPr>
      <w:r>
        <w:rPr>
          <w:rFonts w:ascii="Arial" w:cs="Arial" w:eastAsia="Arial" w:hAnsi="Arial"/>
          <w:sz w:val="18"/>
          <w:szCs w:val="18"/>
          <w:color w:val="auto"/>
        </w:rPr>
        <w:t>shares of our Class A common stock issuable upon the exercise of warrants to purchase shares of Class A common stock outstanding as of , 2025, with a weighted-average exercise price of $ per share;</w:t>
      </w:r>
    </w:p>
    <w:p>
      <w:pPr>
        <w:spacing w:after="0" w:line="99"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660" w:hanging="328"/>
        <w:spacing w:after="0" w:line="259"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 to shares of our Class A common stock reserved for future issuance under our 2025 Equity Incentive Plan, or the 2025 Plan, which will become effective on the day before the date of the underwriting agreement for this offering, consisting of new shares and up to shares underlying outstanding awards granted under our 2015 Plan that, after the date the 2025 Plan becomes effective, either are not issued (due to the awards expiring or being settled in cash), are forfeited or repurchased due to failure to vest, or are withheld to satisfy the exercise, strike, or purchase price or tax withholding obligations; and</w:t>
      </w:r>
    </w:p>
    <w:p>
      <w:pPr>
        <w:spacing w:after="0" w:line="125" w:lineRule="exact"/>
        <w:rPr>
          <w:rFonts w:ascii="Arial" w:cs="Arial" w:eastAsia="Arial" w:hAnsi="Arial"/>
          <w:sz w:val="18"/>
          <w:szCs w:val="18"/>
          <w:color w:val="auto"/>
        </w:rPr>
      </w:pPr>
    </w:p>
    <w:p>
      <w:pPr>
        <w:ind w:left="660" w:right="420" w:hanging="328"/>
        <w:spacing w:after="0" w:line="287" w:lineRule="auto"/>
        <w:tabs>
          <w:tab w:leader="none" w:pos="12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2025 Employee Stock Purchase Plan, or our 2025 ESPP, which will become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type w:val="continuous"/>
        </w:sectPr>
      </w:pPr>
    </w:p>
    <w:bookmarkStart w:id="91" w:name="page92"/>
    <w:bookmarkEnd w:id="91"/>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1"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immediately after this offering.</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Net tangible book value (deficit) per share is determined by dividing our total tangible assets less our total liabilities by the number of</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shares of our Class A common stock outstanding (not including any shares of our redeemable convertible preferred stock). Our historical net</w:t>
      </w:r>
    </w:p>
    <w:p>
      <w:pPr>
        <w:spacing w:after="0" w:line="9" w:lineRule="exact"/>
        <w:rPr>
          <w:sz w:val="20"/>
          <w:szCs w:val="20"/>
          <w:color w:val="auto"/>
        </w:rPr>
      </w:pPr>
    </w:p>
    <w:p>
      <w:pPr>
        <w:spacing w:after="0"/>
        <w:tabs>
          <w:tab w:leader="none" w:pos="3060" w:val="left"/>
          <w:tab w:leader="none" w:pos="4440" w:val="left"/>
          <w:tab w:leader="none" w:pos="5100" w:val="left"/>
          <w:tab w:leader="none" w:pos="7060" w:val="left"/>
        </w:tabs>
        <w:rPr>
          <w:sz w:val="20"/>
          <w:szCs w:val="20"/>
          <w:color w:val="auto"/>
        </w:rPr>
      </w:pPr>
      <w:r>
        <w:rPr>
          <w:rFonts w:ascii="Arial" w:cs="Arial" w:eastAsia="Arial" w:hAnsi="Arial"/>
          <w:sz w:val="18"/>
          <w:szCs w:val="18"/>
          <w:color w:val="auto"/>
        </w:rPr>
        <w:t>tangible book deficit as of</w:t>
      </w:r>
      <w:r>
        <w:rPr>
          <w:sz w:val="20"/>
          <w:szCs w:val="20"/>
          <w:color w:val="auto"/>
        </w:rPr>
        <w:tab/>
      </w:r>
      <w:r>
        <w:rPr>
          <w:rFonts w:ascii="Arial" w:cs="Arial" w:eastAsia="Arial" w:hAnsi="Arial"/>
          <w:sz w:val="18"/>
          <w:szCs w:val="18"/>
          <w:color w:val="auto"/>
        </w:rPr>
        <w:t>, 2025, was $</w:t>
      </w:r>
      <w:r>
        <w:rPr>
          <w:sz w:val="20"/>
          <w:szCs w:val="20"/>
          <w:color w:val="auto"/>
        </w:rPr>
        <w:tab/>
      </w:r>
      <w:r>
        <w:rPr>
          <w:rFonts w:ascii="Arial" w:cs="Arial" w:eastAsia="Arial" w:hAnsi="Arial"/>
          <w:sz w:val="18"/>
          <w:szCs w:val="18"/>
          <w:color w:val="auto"/>
        </w:rPr>
        <w:t>, or $</w:t>
        <w:tab/>
        <w:t>per share. As of</w:t>
      </w:r>
      <w:r>
        <w:rPr>
          <w:sz w:val="20"/>
          <w:szCs w:val="20"/>
          <w:color w:val="auto"/>
        </w:rPr>
        <w:tab/>
      </w:r>
      <w:r>
        <w:rPr>
          <w:rFonts w:ascii="Arial" w:cs="Arial" w:eastAsia="Arial" w:hAnsi="Arial"/>
          <w:sz w:val="18"/>
          <w:szCs w:val="18"/>
          <w:color w:val="auto"/>
        </w:rPr>
        <w:t>, 2025, our pro forma net tangible book value was</w:t>
      </w:r>
    </w:p>
    <w:p>
      <w:pPr>
        <w:spacing w:after="0" w:line="9"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million, or $   per share of our common stock. Our pro forma net tangible book value per share represents the amount of our total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tangible assets reduced by the amount of our total liabilities and divided by the total number of shares of our common stock outstanding as</w:t>
      </w:r>
    </w:p>
    <w:p>
      <w:pPr>
        <w:spacing w:after="0" w:line="20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of , 2025, after giving effect to (i) the Capital Stock Conversion, (ii) the Note Conversion as if it had occurred on , 2025, (iii) the SAFE Conversion as if it had occurred on , 2025, (iv) the net issuance of shares of Class B common stock in connection with the</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RSU Net Settlement, after withholding shares to satisfy estimated tax withholding and remittance obligations of $ million (based on the assumed initial public offering price of $ per share, the midpoint of the price range set forth on the cover page of this prospectus, and an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assumed % tax withholding rate), (v) the automatic conversion of the redeemable convertible preferred stock warrant to a Class A common stock warrant, and the resulting remeasurement and assumed reclassification of the redeemable convertible preferred stock warrant liability to additional paid-in capital, and (vi) the filing and effectiveness of our amended and restated certificate of incorporation that will become effective immediately prior to the completion of this offering.</w:t>
      </w:r>
    </w:p>
    <w:p>
      <w:pPr>
        <w:spacing w:after="0" w:line="128" w:lineRule="exact"/>
        <w:rPr>
          <w:sz w:val="20"/>
          <w:szCs w:val="20"/>
          <w:color w:val="auto"/>
        </w:rPr>
      </w:pPr>
    </w:p>
    <w:p>
      <w:pPr>
        <w:ind w:left="340"/>
        <w:spacing w:after="0"/>
        <w:tabs>
          <w:tab w:leader="none" w:pos="3220" w:val="left"/>
        </w:tabs>
        <w:rPr>
          <w:sz w:val="20"/>
          <w:szCs w:val="20"/>
          <w:color w:val="auto"/>
        </w:rPr>
      </w:pPr>
      <w:r>
        <w:rPr>
          <w:rFonts w:ascii="Arial" w:cs="Arial" w:eastAsia="Arial" w:hAnsi="Arial"/>
          <w:sz w:val="18"/>
          <w:szCs w:val="18"/>
          <w:color w:val="auto"/>
        </w:rPr>
        <w:t>After giving effect to the sale of</w:t>
      </w:r>
      <w:r>
        <w:rPr>
          <w:sz w:val="20"/>
          <w:szCs w:val="20"/>
          <w:color w:val="auto"/>
        </w:rPr>
        <w:tab/>
      </w:r>
      <w:r>
        <w:rPr>
          <w:rFonts w:ascii="Arial" w:cs="Arial" w:eastAsia="Arial" w:hAnsi="Arial"/>
          <w:sz w:val="17"/>
          <w:szCs w:val="17"/>
          <w:color w:val="auto"/>
        </w:rPr>
        <w:t>shares of our Class A common stock in this offering at an assumed initial public offering price of</w:t>
      </w:r>
    </w:p>
    <w:p>
      <w:pPr>
        <w:ind w:left="360" w:hanging="352"/>
        <w:spacing w:after="0" w:line="187" w:lineRule="auto"/>
        <w:tabs>
          <w:tab w:leader="none" w:pos="360" w:val="left"/>
        </w:tabs>
        <w:numPr>
          <w:ilvl w:val="0"/>
          <w:numId w:val="52"/>
        </w:numPr>
        <w:rPr>
          <w:rFonts w:ascii="Arial" w:cs="Arial" w:eastAsia="Arial" w:hAnsi="Arial"/>
          <w:sz w:val="3"/>
          <w:szCs w:val="3"/>
          <w:color w:val="auto"/>
        </w:rPr>
      </w:pPr>
      <w:r>
        <w:rPr>
          <w:rFonts w:ascii="Arial" w:cs="Arial" w:eastAsia="Arial" w:hAnsi="Arial"/>
          <w:sz w:val="3"/>
          <w:szCs w:val="3"/>
          <w:color w:val="auto"/>
        </w:rPr>
        <w:t>per share, which is the midpoint of the offering price range set forth on the cover page of this prospectus, and after deducting</w:t>
      </w:r>
    </w:p>
    <w:p>
      <w:pPr>
        <w:spacing w:after="0" w:line="19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underwriting discounts and commissions and estimated offering expenses, our pro forma as adjusted net tangible book value as of , 2025, would have been $ million, or $ per share. This represents an immediate increase in pro forma net tangible book value of $ per</w:t>
      </w:r>
    </w:p>
    <w:p>
      <w:pPr>
        <w:spacing w:after="0" w:line="2"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share to our existing stockholders and an immediate dilution in pro forma as adjusted net tangible book value of $ per share to investors purchasing shares of our Class A common stock in this offering at the assumed initial public offering price.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3600" w:type="dxa"/>
            <w:vAlign w:val="bottom"/>
            <w:shd w:val="clear" w:color="auto" w:fill="CCEEFF"/>
          </w:tcPr>
          <w:p>
            <w:pPr>
              <w:spacing w:after="0"/>
              <w:rPr>
                <w:sz w:val="19"/>
                <w:szCs w:val="19"/>
                <w:color w:val="auto"/>
              </w:rPr>
            </w:pPr>
          </w:p>
        </w:tc>
        <w:tc>
          <w:tcPr>
            <w:tcW w:w="3220" w:type="dxa"/>
            <w:vAlign w:val="bottom"/>
            <w:gridSpan w:val="3"/>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Historical net tangible book deficit per share as of</w:t>
            </w:r>
          </w:p>
        </w:tc>
        <w:tc>
          <w:tcPr>
            <w:tcW w:w="3600" w:type="dxa"/>
            <w:vAlign w:val="bottom"/>
          </w:tcPr>
          <w:p>
            <w:pPr>
              <w:jc w:val="right"/>
              <w:ind w:right="2770"/>
              <w:spacing w:after="0"/>
              <w:rPr>
                <w:sz w:val="20"/>
                <w:szCs w:val="20"/>
                <w:color w:val="auto"/>
              </w:rPr>
            </w:pPr>
            <w:r>
              <w:rPr>
                <w:rFonts w:ascii="Arial" w:cs="Arial" w:eastAsia="Arial" w:hAnsi="Arial"/>
                <w:sz w:val="18"/>
                <w:szCs w:val="18"/>
                <w:color w:val="auto"/>
              </w:rPr>
              <w:t>, 2025</w:t>
            </w:r>
          </w:p>
        </w:tc>
        <w:tc>
          <w:tcPr>
            <w:tcW w:w="15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176"/>
        </w:trPr>
        <w:tc>
          <w:tcPr>
            <w:tcW w:w="4420" w:type="dxa"/>
            <w:vAlign w:val="bottom"/>
          </w:tcPr>
          <w:p>
            <w:pPr>
              <w:ind w:left="240"/>
              <w:spacing w:after="0" w:line="176" w:lineRule="exact"/>
              <w:rPr>
                <w:sz w:val="20"/>
                <w:szCs w:val="20"/>
                <w:color w:val="auto"/>
              </w:rPr>
            </w:pPr>
            <w:r>
              <w:rPr>
                <w:rFonts w:ascii="Arial" w:cs="Arial" w:eastAsia="Arial" w:hAnsi="Arial"/>
                <w:sz w:val="18"/>
                <w:szCs w:val="18"/>
                <w:color w:val="auto"/>
              </w:rPr>
              <w:t>Pro forma net tangible book value per share as of</w:t>
            </w:r>
          </w:p>
        </w:tc>
        <w:tc>
          <w:tcPr>
            <w:tcW w:w="3600" w:type="dxa"/>
            <w:vAlign w:val="bottom"/>
          </w:tcPr>
          <w:p>
            <w:pPr>
              <w:jc w:val="right"/>
              <w:ind w:right="490"/>
              <w:spacing w:after="0" w:line="176" w:lineRule="exact"/>
              <w:rPr>
                <w:sz w:val="20"/>
                <w:szCs w:val="20"/>
                <w:color w:val="auto"/>
              </w:rPr>
            </w:pPr>
            <w:r>
              <w:rPr>
                <w:rFonts w:ascii="Arial" w:cs="Arial" w:eastAsia="Arial" w:hAnsi="Arial"/>
                <w:sz w:val="18"/>
                <w:szCs w:val="18"/>
                <w:color w:val="auto"/>
              </w:rPr>
              <w:t>, 2025 before giving effect to this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1"/>
        </w:trPr>
        <w:tc>
          <w:tcPr>
            <w:tcW w:w="4420" w:type="dxa"/>
            <w:vAlign w:val="bottom"/>
          </w:tcPr>
          <w:p>
            <w:pPr>
              <w:ind w:left="400"/>
              <w:spacing w:after="0"/>
              <w:rPr>
                <w:sz w:val="20"/>
                <w:szCs w:val="20"/>
                <w:color w:val="auto"/>
              </w:rPr>
            </w:pPr>
            <w:r>
              <w:rPr>
                <w:rFonts w:ascii="Arial" w:cs="Arial" w:eastAsia="Arial" w:hAnsi="Arial"/>
                <w:sz w:val="18"/>
                <w:szCs w:val="18"/>
                <w:color w:val="auto"/>
              </w:rPr>
              <w:t>offering</w:t>
            </w:r>
          </w:p>
        </w:tc>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78"/>
        </w:trPr>
        <w:tc>
          <w:tcPr>
            <w:tcW w:w="802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8"/>
                <w:szCs w:val="18"/>
                <w:color w:val="auto"/>
              </w:rPr>
              <w:t>Increase in pro forma net tangible book value per share attributable to new investors purchasing</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 in this offering</w:t>
            </w:r>
          </w:p>
        </w:tc>
        <w:tc>
          <w:tcPr>
            <w:tcW w:w="36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10"/>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jc w:val="both"/>
        <w:ind w:right="220" w:firstLine="324"/>
        <w:spacing w:after="0" w:line="262"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offering price and other terms of this offering determined at pricing and the actual tax withholding rates, as well as the actual amount of RSUs settled in connection with this offering. A $1.00 increase (decrease) in the assumed initial public offering price of $ per share, which is the midpoint of the offering price range set forth on the cover page of this prospectus, would increase (decrease) our pro forma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adjusted net tangible book value per share after this offering by $ per share and would increase (decrease) the dilution per share to new investors in this offering by $ per share, assuming the number of shares of Class A common stock offered by us, as set forth on the cover page of this prospectus, remains the same and after deducting the underwriting discounts and commissions. Similarly, each increase (decrease) of 1.0 million shares in the number of shares of Class A common stock offered would increase (decrease) the pro forma as adjusted net tangible book value per share after this offering by $ per share and would increase (decrease) the dilution to new investors by $ per share, assuming the assumed initial public offering price, which is the midpoint of the offering price range set forth on the cover page of this prospectus, remains the same and after deducting the underwriting discounts and commissions.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exercise their option to purchase additional shares in full, the pro forma as adjusted net tangible book value per share</w:t>
      </w:r>
    </w:p>
    <w:p>
      <w:pPr>
        <w:spacing w:after="0" w:line="27"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of our Class A common stock after giving effect to this offering would be $ per share, and the dilution in pro forma as adjusted net tangible book value per share to investors in this offering would be $ per share.</w:t>
      </w:r>
    </w:p>
    <w:p>
      <w:pPr>
        <w:spacing w:after="0" w:line="117" w:lineRule="exact"/>
        <w:rPr>
          <w:sz w:val="20"/>
          <w:szCs w:val="20"/>
          <w:color w:val="auto"/>
        </w:rPr>
      </w:pPr>
    </w:p>
    <w:p>
      <w:pPr>
        <w:ind w:left="340"/>
        <w:spacing w:after="0"/>
        <w:tabs>
          <w:tab w:leader="none" w:pos="6540" w:val="left"/>
        </w:tabs>
        <w:rPr>
          <w:sz w:val="20"/>
          <w:szCs w:val="20"/>
          <w:color w:val="auto"/>
        </w:rPr>
      </w:pPr>
      <w:r>
        <w:rPr>
          <w:rFonts w:ascii="Arial" w:cs="Arial" w:eastAsia="Arial" w:hAnsi="Arial"/>
          <w:sz w:val="18"/>
          <w:szCs w:val="18"/>
          <w:color w:val="auto"/>
        </w:rPr>
        <w:t>The following table summarizes, on a pro forma as adjusted basis as of</w:t>
      </w:r>
      <w:r>
        <w:rPr>
          <w:sz w:val="20"/>
          <w:szCs w:val="20"/>
          <w:color w:val="auto"/>
        </w:rPr>
        <w:tab/>
      </w:r>
      <w:r>
        <w:rPr>
          <w:rFonts w:ascii="Arial" w:cs="Arial" w:eastAsia="Arial" w:hAnsi="Arial"/>
          <w:sz w:val="17"/>
          <w:szCs w:val="17"/>
          <w:color w:val="auto"/>
        </w:rPr>
        <w:t>, 2025, after giving effect to the pro forma adjustments</w:t>
      </w:r>
    </w:p>
    <w:p>
      <w:pPr>
        <w:spacing w:after="0" w:line="27" w:lineRule="exact"/>
        <w:rPr>
          <w:sz w:val="20"/>
          <w:szCs w:val="20"/>
          <w:color w:val="auto"/>
        </w:rPr>
      </w:pPr>
    </w:p>
    <w:p>
      <w:pPr>
        <w:spacing w:after="0" w:line="187" w:lineRule="auto"/>
        <w:rPr>
          <w:sz w:val="20"/>
          <w:szCs w:val="20"/>
          <w:color w:val="auto"/>
        </w:rPr>
      </w:pPr>
      <w:r>
        <w:rPr>
          <w:rFonts w:ascii="Arial" w:cs="Arial" w:eastAsia="Arial" w:hAnsi="Arial"/>
          <w:sz w:val="12"/>
          <w:szCs w:val="12"/>
          <w:color w:val="auto"/>
        </w:rPr>
        <w:t>described above, the difference between existing stockholders and new investors purchasing shares of Class A common stock in this offering with respect to the number of shares purchased from us, the total consideration paid to us, and the average price per share paid by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existing stockholders or to be paid by investors purchasing shares in this offering at an assumed offering price of $ per share, which is the midpoint of the offering price range set forth on the cover page of this prospectus and our receipt of $ million in estimated net</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proceeds from the offering, and after deducting underwriting discounts and commissions and estimated offering expenses, and the use of net proceeds from this offering, together with existing cash and cash equivalents, if necessary, to (A) satisfy the estimated tax withholding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remittance obligations as described above and (B) repay $</w:t>
            </w:r>
          </w:p>
        </w:tc>
        <w:tc>
          <w:tcPr>
            <w:tcW w:w="6540" w:type="dxa"/>
            <w:vAlign w:val="bottom"/>
            <w:gridSpan w:val="9"/>
          </w:tcPr>
          <w:p>
            <w:pPr>
              <w:jc w:val="right"/>
              <w:ind w:right="922"/>
              <w:spacing w:after="0"/>
              <w:rPr>
                <w:sz w:val="20"/>
                <w:szCs w:val="20"/>
                <w:color w:val="auto"/>
              </w:rPr>
            </w:pPr>
            <w:r>
              <w:rPr>
                <w:rFonts w:ascii="Arial" w:cs="Arial" w:eastAsia="Arial" w:hAnsi="Arial"/>
                <w:sz w:val="18"/>
                <w:szCs w:val="18"/>
                <w:color w:val="auto"/>
              </w:rPr>
              <w:t>million in outstanding loans under and terminate the Vista Facility:</w:t>
            </w:r>
          </w:p>
        </w:tc>
      </w:tr>
      <w:tr>
        <w:trPr>
          <w:trHeight w:val="382"/>
        </w:trPr>
        <w:tc>
          <w:tcPr>
            <w:tcW w:w="3060" w:type="dxa"/>
            <w:vAlign w:val="bottom"/>
          </w:tcPr>
          <w:p>
            <w:pPr>
              <w:spacing w:after="0"/>
              <w:rPr>
                <w:sz w:val="24"/>
                <w:szCs w:val="24"/>
                <w:color w:val="auto"/>
              </w:rPr>
            </w:pPr>
          </w:p>
        </w:tc>
        <w:tc>
          <w:tcPr>
            <w:tcW w:w="28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Average Price Per</w:t>
            </w:r>
          </w:p>
        </w:tc>
      </w:tr>
      <w:tr>
        <w:trPr>
          <w:trHeight w:val="197"/>
        </w:trPr>
        <w:tc>
          <w:tcPr>
            <w:tcW w:w="3060" w:type="dxa"/>
            <w:vAlign w:val="bottom"/>
          </w:tcPr>
          <w:p>
            <w:pPr>
              <w:spacing w:after="0"/>
              <w:rPr>
                <w:sz w:val="17"/>
                <w:szCs w:val="17"/>
                <w:color w:val="auto"/>
              </w:rPr>
            </w:pPr>
          </w:p>
        </w:tc>
        <w:tc>
          <w:tcPr>
            <w:tcW w:w="1640" w:type="dxa"/>
            <w:vAlign w:val="bottom"/>
            <w:gridSpan w:val="2"/>
          </w:tcPr>
          <w:p>
            <w:pPr>
              <w:ind w:left="500"/>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ind w:left="520"/>
              <w:spacing w:after="0"/>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ind w:left="520"/>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New public investors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by the selling stockholders in this offering will cause the number of shares held by existing stockholders before this offering to be</w:t>
      </w:r>
    </w:p>
    <w:p>
      <w:pPr>
        <w:spacing w:after="0" w:line="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reduced to shares, or  % of the total number of shares of our Class A common stock outstanding immediately after the completion of this offering, and will increase the number of shares held by new investors to shares, or % of the total number of shares of our common stock outstanding immediately after the completion of this offering.</w:t>
      </w:r>
    </w:p>
    <w:p>
      <w:pPr>
        <w:spacing w:after="0" w:line="12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A $1.00 increase (decrease) in the assumed initial public offering price of $ per share, which is the midpoint of the offering price range set forth on the cover page of this prospectus, would increase (decrease) total consideration paid by new investors and total consideration paid by all stockholders by approximately $ million, assuming that the number of shares offered by us and the selling stockholders, as set forth on the cover page of this prospectus remains the same and after deducting the underwriting discounts and commissions.</w:t>
      </w:r>
    </w:p>
    <w:p>
      <w:pPr>
        <w:spacing w:after="0" w:line="122"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option to purchase additional shares is exercised in full, our existing stockholders would own % and our new investors would own % of the total number of shares of our Class A common stock outstanding upon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47"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In addition, to the extent we issue any additional stock options or any outstanding stock options or warrants are exercised, or we issue any other securities or convertible debt in the future, investors will experience further dilution.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w:t>
      </w:r>
    </w:p>
    <w:p>
      <w:pPr>
        <w:spacing w:after="0" w:line="27" w:lineRule="exact"/>
        <w:rPr>
          <w:sz w:val="20"/>
          <w:szCs w:val="20"/>
          <w:color w:val="auto"/>
        </w:rPr>
      </w:pPr>
    </w:p>
    <w:p>
      <w:pPr>
        <w:spacing w:after="0"/>
        <w:tabs>
          <w:tab w:leader="none" w:pos="680" w:val="left"/>
          <w:tab w:leader="none" w:pos="54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shares of our Class A common stock outstanding and</w:t>
      </w:r>
      <w:r>
        <w:rPr>
          <w:sz w:val="20"/>
          <w:szCs w:val="20"/>
          <w:color w:val="auto"/>
        </w:rPr>
        <w:tab/>
      </w:r>
      <w:r>
        <w:rPr>
          <w:rFonts w:ascii="Arial" w:cs="Arial" w:eastAsia="Arial" w:hAnsi="Arial"/>
          <w:sz w:val="18"/>
          <w:szCs w:val="18"/>
          <w:color w:val="auto"/>
        </w:rPr>
        <w:t>shares of our Class B common stock outstanding (after giving effect to</w:t>
      </w:r>
    </w:p>
    <w:p>
      <w:pPr>
        <w:spacing w:after="0" w:line="9" w:lineRule="exact"/>
        <w:rPr>
          <w:sz w:val="20"/>
          <w:szCs w:val="20"/>
          <w:color w:val="auto"/>
        </w:rPr>
      </w:pPr>
    </w:p>
    <w:p>
      <w:pPr>
        <w:spacing w:after="0"/>
        <w:tabs>
          <w:tab w:leader="none" w:pos="10900" w:val="left"/>
        </w:tabs>
        <w:rPr>
          <w:sz w:val="20"/>
          <w:szCs w:val="20"/>
          <w:color w:val="auto"/>
        </w:rPr>
      </w:pPr>
      <w:r>
        <w:rPr>
          <w:rFonts w:ascii="Arial" w:cs="Arial" w:eastAsia="Arial" w:hAnsi="Arial"/>
          <w:sz w:val="18"/>
          <w:szCs w:val="18"/>
          <w:color w:val="auto"/>
        </w:rPr>
        <w:t>the Capital Stock Conversion, the Note Conversion, the SAFE Conversion, and the RSU Net Settlement), in each case as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2025 and excludes:</w:t>
      </w:r>
    </w:p>
    <w:p>
      <w:pPr>
        <w:sectPr>
          <w:pgSz w:w="11900" w:h="16838" w:orient="portrait"/>
          <w:cols w:equalWidth="0" w:num="1">
            <w:col w:w="11200"/>
          </w:cols>
          <w:pgMar w:left="320" w:top="1440" w:right="379" w:bottom="1440" w:gutter="0" w:footer="0" w:header="0"/>
        </w:sectPr>
      </w:pPr>
    </w:p>
    <w:p>
      <w:pPr>
        <w:spacing w:after="0" w:line="1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shares of our Class A common stock issuable upon the exercise of stock options outstanding as of , 2025 under our 2015 Plan, with a weighted-average exercise price of $ per share, of which shares will be exchangeable for an equal number of shares of Class B common stock at the election of our co-founders upon exercise;</w:t>
      </w:r>
    </w:p>
    <w:p>
      <w:pPr>
        <w:spacing w:after="0" w:line="117" w:lineRule="exact"/>
        <w:rPr>
          <w:sz w:val="20"/>
          <w:szCs w:val="20"/>
          <w:color w:val="auto"/>
        </w:rPr>
      </w:pPr>
    </w:p>
    <w:p>
      <w:pPr>
        <w:sectPr>
          <w:pgSz w:w="11900" w:h="16838" w:orient="portrait"/>
          <w:cols w:equalWidth="0" w:num="2">
            <w:col w:w="400" w:space="260"/>
            <w:col w:w="10540"/>
          </w:cols>
          <w:pgMar w:left="320" w:top="1440" w:right="37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00" w:firstLine="445"/>
        <w:spacing w:after="0" w:line="263" w:lineRule="auto"/>
        <w:rPr>
          <w:sz w:val="20"/>
          <w:szCs w:val="20"/>
          <w:color w:val="auto"/>
        </w:rPr>
      </w:pPr>
      <w:r>
        <w:rPr>
          <w:rFonts w:ascii="Arial" w:cs="Arial" w:eastAsia="Arial" w:hAnsi="Arial"/>
          <w:sz w:val="18"/>
          <w:szCs w:val="18"/>
          <w:color w:val="auto"/>
        </w:rPr>
        <w:t>shares of our Class A common stock issuable upon the exercise of stock options granted after , 2025 under our 2015 Plan with a weighted-average exercise price of $ per share, of which shares will be exchangeable for an equal</w:t>
      </w:r>
    </w:p>
    <w:p>
      <w:pPr>
        <w:spacing w:after="0" w:line="1" w:lineRule="exact"/>
        <w:rPr>
          <w:sz w:val="20"/>
          <w:szCs w:val="20"/>
          <w:color w:val="auto"/>
        </w:rPr>
      </w:pPr>
    </w:p>
    <w:p>
      <w:pPr>
        <w:sectPr>
          <w:pgSz w:w="11900" w:h="16838" w:orient="portrait"/>
          <w:cols w:equalWidth="0" w:num="2">
            <w:col w:w="400" w:space="260"/>
            <w:col w:w="10540"/>
          </w:cols>
          <w:pgMar w:left="320" w:top="1440" w:right="37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number of shares of Class B common stock at the election of our co-founders upon exercise;</w:t>
      </w:r>
    </w:p>
    <w:p>
      <w:pPr>
        <w:spacing w:after="0" w:line="148" w:lineRule="exact"/>
        <w:rPr>
          <w:sz w:val="20"/>
          <w:szCs w:val="20"/>
          <w:color w:val="auto"/>
        </w:rPr>
      </w:pPr>
    </w:p>
    <w:p>
      <w:pPr>
        <w:ind w:left="660" w:hanging="328"/>
        <w:spacing w:after="0" w:line="262" w:lineRule="auto"/>
        <w:tabs>
          <w:tab w:leader="none" w:pos="11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Class A common stock issuable upon the vesting and settlement of RSUs outstanding as of the date of this prospectus subject to service-based and/or performance-based conditions, for which (i) the service-based condition was not satisfied as of such date and (ii) the performance-based condition, if applicable, will be satisfied upon the effectiveness of the registration statement of which this prospectus forms a part;</w:t>
      </w:r>
    </w:p>
    <w:p>
      <w:pPr>
        <w:sectPr>
          <w:pgSz w:w="11900" w:h="16838" w:orient="portrait"/>
          <w:cols w:equalWidth="0" w:num="1">
            <w:col w:w="11200"/>
          </w:cols>
          <w:pgMar w:left="320" w:top="1440" w:right="379" w:bottom="1440" w:gutter="0" w:footer="0" w:header="0"/>
          <w:type w:val="continuous"/>
        </w:sectPr>
      </w:pP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shares of our Class A common stock issuable upon the exercise of warrants to purchase shares of Class A common stock outstanding as of , 2025, with a weighted-average exercise price of $ per share;</w:t>
      </w:r>
    </w:p>
    <w:p>
      <w:pPr>
        <w:spacing w:after="0" w:line="99" w:lineRule="exact"/>
        <w:rPr>
          <w:sz w:val="20"/>
          <w:szCs w:val="20"/>
          <w:color w:val="auto"/>
        </w:rPr>
      </w:pPr>
    </w:p>
    <w:p>
      <w:pPr>
        <w:sectPr>
          <w:pgSz w:w="11900" w:h="16838" w:orient="portrait"/>
          <w:cols w:equalWidth="0" w:num="2">
            <w:col w:w="400" w:space="260"/>
            <w:col w:w="10540"/>
          </w:cols>
          <w:pgMar w:left="320" w:top="1440" w:right="379" w:bottom="1440" w:gutter="0" w:footer="0" w:header="0"/>
          <w:type w:val="continuous"/>
        </w:sectPr>
      </w:pPr>
    </w:p>
    <w:p>
      <w:pPr>
        <w:ind w:left="660" w:right="200" w:hanging="328"/>
        <w:spacing w:after="0" w:line="259"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 to shares of our Class A common stock reserved for future issuance under the 2025 Plan, which will become effective upon the effectiveness of the registration statement of which this prospectus forms a part, consisting of new shares and up to shares underlying outstanding awards granted under our 2015 Plan that, after the date the 2025 Plan becomes effective, either are not issued (due to the awards expiring or being settled in cash), are forfeited or repurchased due to failure to vest, or are withheld to satisfy the exercise, strike, or purchase price or tax withholding obligations; and</w:t>
      </w:r>
    </w:p>
    <w:p>
      <w:pPr>
        <w:spacing w:after="0" w:line="125" w:lineRule="exact"/>
        <w:rPr>
          <w:rFonts w:ascii="Arial" w:cs="Arial" w:eastAsia="Arial" w:hAnsi="Arial"/>
          <w:sz w:val="18"/>
          <w:szCs w:val="18"/>
          <w:color w:val="auto"/>
        </w:rPr>
      </w:pPr>
    </w:p>
    <w:p>
      <w:pPr>
        <w:ind w:left="660" w:right="600" w:hanging="328"/>
        <w:spacing w:after="0" w:line="287" w:lineRule="auto"/>
        <w:tabs>
          <w:tab w:leader="none" w:pos="12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the 2025 ESPP which will become effective in connection with this offering.</w:t>
      </w:r>
    </w:p>
    <w:p>
      <w:pPr>
        <w:spacing w:after="0" w:line="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the extent any outstanding options are exercised, or any outstanding RSUs settle, or new stock options or RSUs are issued under our equity incentive plans, or we issue additional equity or convertible debt securities in the future, there will be further dilution to investors participating in this offering. If all outstanding options and RSUs under our 2015 Plan as of the date of this prospectus were exercised or settled, then our existing stockholders, including the holders of these securities would own approximately % and our new investors would own approximately % of the total number of shares of our Class A common stock and Class B common stock outstanding on the closing of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1440" w:right="379" w:bottom="1440" w:gutter="0" w:footer="0" w:header="0"/>
          <w:type w:val="continuous"/>
        </w:sectPr>
      </w:pPr>
    </w:p>
    <w:bookmarkStart w:id="94" w:name="page95"/>
    <w:bookmarkEnd w:id="94"/>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our consolidated financial statements and related notes, and other financial information, included elsewhere in this prospectus. In addition to our historical results of operations and financial position, this discussion contains forward-looking statements that involve risks and uncertainties. Our actual results could differ materially from those discussed in or implied by these forward-looking statements. Factors that could cause or contribute to such differences include, but are not limited to, those discussed in the section titled “Risk Factors.” Our historical results are not necessarily indicative of the results to be expected for any period in the future, and results for any interim period should not be construed as an inference of what our results would be for any full year or future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Navan is an end-to-end, AI-powered software platform built to simplify the global business T&amp;E experience, benefiting users, customers, and suppliers. From day one, we leveraged technology to reimagine business travel. We built a comprehensive platform that serves as the foundation for further disruption. We deliver delightful, personalized experiences for users, efficiency and control for customers, and direct market access for suppliers — all powered by our proprietary AI framework, Navan Cognition.</w:t>
      </w:r>
    </w:p>
    <w:p>
      <w:pPr>
        <w:spacing w:after="0" w:line="122"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w:t>
      </w:r>
    </w:p>
    <w:p>
      <w:pPr>
        <w:spacing w:after="0" w:line="250" w:lineRule="auto"/>
        <w:rPr>
          <w:sz w:val="20"/>
          <w:szCs w:val="20"/>
          <w:color w:val="auto"/>
        </w:rPr>
      </w:pPr>
      <w:r>
        <w:rPr>
          <w:rFonts w:ascii="Arial" w:cs="Arial" w:eastAsia="Arial" w:hAnsi="Arial"/>
          <w:sz w:val="18"/>
          <w:szCs w:val="18"/>
          <w:color w:val="auto"/>
        </w:rPr>
        <w:t>experience that travelers genuinely appreciate. This is reflected in our overall CSAT score of , our virtual agent CSAT score of , and NPS of , each as of , 2025. When frequent travelers have a positive, efficient experience and earn rewards, they are more likely to</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use Navan. The increased adoption gives the customer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12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 deploy, and supervise specialized AI-powered virtual agents that can handle many complex tasks previously requiring human intervention. We make every step of the pre-booking, in-travel, and post-trip process as delightful and automated as possible. In fiscal 2025, % of bookings were made online or through mobile applications on the Navan platform. Our users on average are able to book a trip in seven minutes, far faster than the industry average of 45 minutes. And, in the majority of cases, users can resolve trip changes with a virtual agent, which Navan was, one of the first in the industry to offer.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strategy is to land a customer with our Travel offering, delight our users and customers, broaden their engagement with Navan,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seek to manage all of their payments, expenses, VIP needs, meetings and events, and bleisure travel on our platform. As of</w:t>
            </w:r>
          </w:p>
        </w:tc>
        <w:tc>
          <w:tcPr>
            <w:tcW w:w="960" w:type="dxa"/>
            <w:vAlign w:val="bottom"/>
          </w:tcPr>
          <w:p>
            <w:pPr>
              <w:jc w:val="right"/>
              <w:spacing w:after="0"/>
              <w:rPr>
                <w:sz w:val="20"/>
                <w:szCs w:val="20"/>
                <w:color w:val="auto"/>
              </w:rPr>
            </w:pPr>
            <w:r>
              <w:rPr>
                <w:rFonts w:ascii="Arial" w:cs="Arial" w:eastAsia="Arial" w:hAnsi="Arial"/>
                <w:sz w:val="18"/>
                <w:szCs w:val="18"/>
                <w:color w:val="auto"/>
              </w:rPr>
              <w:t>, 2025,</w:t>
            </w:r>
          </w:p>
        </w:tc>
      </w:tr>
    </w:tbl>
    <w:p>
      <w:pPr>
        <w:jc w:val="both"/>
        <w:ind w:right="220" w:firstLine="308"/>
        <w:spacing w:after="0" w:line="255" w:lineRule="auto"/>
        <w:tabs>
          <w:tab w:leader="none" w:pos="5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customers attached to three or more offerings.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4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platform is easy-to-use, yet powerful enough to address customers of all sizes across any industry vertical. As of January 31, 2025, we had over 10,000 active customers up 27% from over 8,000 active customers as of fiscal 2024. Our revenue grew 33% year-over-year from $402 million in fiscal 2024 to $537 million in fiscal 2025. Our gross booking volume grew 32% year-over-year from $5.0 billion in fiscal 2024 to $6.6 billion in fiscal 2025. Our payment volume grew 35% year-over-year from $2.7 billion in fiscal 2024 to $3.7 billion in fiscal 2025.</w:t>
      </w:r>
    </w:p>
    <w:p>
      <w:pPr>
        <w:spacing w:after="0" w:line="122"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Our proprietary AI framework, Navan Cognition, significantly enhances support capabilities and has improved our gross margins, while leveraging powerful technology capabilities across our platform, making Navan an increasingly formidable competitor. For example, our AI-</w:t>
      </w:r>
    </w:p>
    <w:p>
      <w:pPr>
        <w:spacing w:after="0" w:line="255" w:lineRule="auto"/>
        <w:rPr>
          <w:sz w:val="20"/>
          <w:szCs w:val="20"/>
          <w:color w:val="auto"/>
        </w:rPr>
      </w:pPr>
      <w:r>
        <w:rPr>
          <w:rFonts w:ascii="Arial" w:cs="Arial" w:eastAsia="Arial" w:hAnsi="Arial"/>
          <w:sz w:val="18"/>
          <w:szCs w:val="18"/>
          <w:color w:val="auto"/>
        </w:rPr>
        <w:t>powered virtual agent chatbot, Ava, was capable of effectively handling % of customer interactions as of , 2025. Our GAAP gross margin improved from 60% in fiscal 2024 to 68% in fiscal 2025. Our non-GAAP gross margin improved from 62% in fiscal 2024 to 69% in fiscal 2025. See the section titled “—Non-GAAP Financial Measures” below for information regarding our use of non-GAAP gross margin and a reconciliation of gross margin to non-GAAP gross margin.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120650</wp:posOffset>
            </wp:positionV>
            <wp:extent cx="5349240" cy="257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Business Works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revenue is driven by our ability to attract new customers and retain and expand existing customers by providing an end-to-end platform that facilitates the full spectrum of their travel, payments, and expense management needs, ultimately helping our customers succeed. We serve customers of all sizes, verticals, and regions, and our vast network of suppliers and payment partners helps us capture this opportunity. The breadth of our offerings aligns the interests of our users, customers, suppliers, and payment partners. As of January 31, 2025, we had more than 10,000 active customers, millions of supply partners and lodging properties, and multiple payment partners.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on a usage or subscription basis from the following:</w:t>
      </w:r>
    </w:p>
    <w:p>
      <w:pPr>
        <w:spacing w:after="0" w:line="171" w:lineRule="exact"/>
        <w:rPr>
          <w:sz w:val="20"/>
          <w:szCs w:val="20"/>
          <w:color w:val="auto"/>
        </w:rPr>
      </w:pPr>
    </w:p>
    <w:p>
      <w:pPr>
        <w:ind w:left="660" w:right="12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Our customers include companies and organizations that contract with us to provide their employees (our users)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our Travel Management offerings or Expense Management offering. We typically enter into annual or multi-year contracts whereby customers pay a per-trip or per-transaction fee for access to our Travel offering or on-demand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440" w:right="359" w:bottom="1440" w:gutter="0" w:footer="0" w:header="0"/>
        </w:sectPr>
      </w:pPr>
    </w:p>
    <w:bookmarkStart w:id="96" w:name="page97"/>
    <w:bookmarkEnd w:id="96"/>
    <w:p>
      <w:pPr>
        <w:spacing w:after="0" w:line="247" w:lineRule="exact"/>
        <w:rPr>
          <w:sz w:val="20"/>
          <w:szCs w:val="20"/>
          <w:color w:val="auto"/>
        </w:rPr>
      </w:pPr>
    </w:p>
    <w:p>
      <w:pPr>
        <w:ind w:left="660" w:right="180"/>
        <w:spacing w:after="0" w:line="287" w:lineRule="auto"/>
        <w:rPr>
          <w:sz w:val="20"/>
          <w:szCs w:val="20"/>
          <w:color w:val="auto"/>
        </w:rPr>
      </w:pPr>
      <w:r>
        <w:rPr>
          <w:rFonts w:ascii="Arial" w:cs="Arial" w:eastAsia="Arial" w:hAnsi="Arial"/>
          <w:sz w:val="18"/>
          <w:szCs w:val="18"/>
          <w:color w:val="auto"/>
        </w:rPr>
        <w:t>management offerings (our VIP, Meetings and Events, and Bleisure offerings) and pay an annual subscription fee for access to our Expense Management offering.</w:t>
      </w:r>
    </w:p>
    <w:p>
      <w:pPr>
        <w:spacing w:after="0" w:line="99" w:lineRule="exact"/>
        <w:rPr>
          <w:sz w:val="20"/>
          <w:szCs w:val="20"/>
          <w:color w:val="auto"/>
        </w:rPr>
      </w:pPr>
    </w:p>
    <w:p>
      <w:pPr>
        <w:ind w:left="660" w:right="2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Suppliers: </w:t>
      </w:r>
      <w:r>
        <w:rPr>
          <w:rFonts w:ascii="Arial" w:cs="Arial" w:eastAsia="Arial" w:hAnsi="Arial"/>
          <w:sz w:val="18"/>
          <w:szCs w:val="18"/>
          <w:color w:val="auto"/>
        </w:rPr>
        <w:t>Our suppliers include airlines, hotels, rental car companies, rail carriers, and providers of GDS. We earn revenue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in the form of commissions based on the dollar volume of bookings made by users on our platform and a commission rate for each supplier.</w:t>
      </w:r>
    </w:p>
    <w:p>
      <w:pPr>
        <w:spacing w:after="0" w:line="116"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Payment partners: </w:t>
      </w:r>
      <w:r>
        <w:rPr>
          <w:rFonts w:ascii="Arial" w:cs="Arial" w:eastAsia="Arial" w:hAnsi="Arial"/>
          <w:sz w:val="18"/>
          <w:szCs w:val="18"/>
          <w:color w:val="auto"/>
        </w:rPr>
        <w:t>Our payment partners include corporate card payment processors. We earn revenue from our payment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from fees based on the dollar volume of spend on our corporate cards.</w:t>
      </w:r>
    </w:p>
    <w:p>
      <w:pPr>
        <w:spacing w:after="0" w:line="9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There is a period of time between when we acquire new customers and when we begin to recognize ramped revenues from them. This period usually involves the time required to implement our platform technology, move travel budgets to our platform, and then launch initial bookings. After a customer implements our platform, we seek to increase spending by the customer, including through increased adoption of and engagement with our offerings, with the goal to have the majority of their travel budgets managed on our platform. The time required for new customers to ramp bookings on our platform and expand engagement with our offerings depends on the size, scope, and complexity of a customer’s overall travel spend.</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usage-based revenue is derived from GBV and payment volume, as further described below. We define GBV as the total amount paid for valid bookings on our platform, measured on a booked basis and inclusive of taxes and fees, and adjusted for cancellations and refunds. We generate GBV through hotel, flight, car, and rail bookings, along with usage of our VIP, Meetings and Events, and Bleisure offerings by our customers. We expand GBV by growing our customer base, managing more business travel spend on our platform, increasing our payment volume, and introducing new offerings to address different types of business travel. Our revenue growth depends on our ability to convert GBV into usage-based revenue. Our usage-based revenue represented approximately 90% of our total revenue in each of fiscal 2025 and fiscal 2024. Our usage yield was approximately 7% in each of fiscal 2025 and fiscal 2024. Usage yield for a fiscal period equals usage-based revenue divided by GBV for such period and represents our ability to convert GBV into usage-based revenue.</w:t>
      </w:r>
    </w:p>
    <w:p>
      <w:pPr>
        <w:spacing w:after="0" w:line="131"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define payment volume as the aggregate dollar amount of spend through Navan issued cards, settled for a given period and net of any chargebacks, cancellations, or refunds. We grow our payment volume by increasing customer adoption and engagement with our Corporate Payments offering through solutions such as Navan virtual card, where we support and issue our own cards. For fiscal 2025, we generated $3.7 billion of payment volume.</w:t>
      </w:r>
    </w:p>
    <w:p>
      <w:pPr>
        <w:spacing w:after="0" w:line="12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also generate subscription -based revenue from customers who use our travel and expense management offerings. The majority of our subscription-based revenue is from our expense management product, which includes customers using the Navan card, or their own cards through Navan Connect, in addition to our expense reconciliation offering. We typically enter into annual or multi-year subscription contracts for expense management, and we price contracts based on the number of users. Our subscription-based revenue represented approximately 10% of our total revenue in each of fiscal 2025 and fiscal 2024.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grow our customers, GBV, payment volume, and revenue through a diverse go-to-market strategy.</w:t>
      </w:r>
    </w:p>
    <w:p>
      <w:pPr>
        <w:spacing w:after="0" w:line="171"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employ a land-and-expand strategy. We generally land a customer in travel and seek to manage all of their business travel spend on our platform, including previously unmanaged spend. We expand usage of our platform by our customers by increasing their adoption of and engagement with additional offerings, including Corporate Payments, Expense Management, Meetings and Events, VIP, and Bleisure. The success of our land and expand strategy is demonstrated by our strong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320" w:top="1440" w:right="379" w:bottom="1440" w:gutter="0" w:footer="0" w:header="0"/>
        </w:sectPr>
      </w:pPr>
    </w:p>
    <w:bookmarkStart w:id="97" w:name="page98"/>
    <w:bookmarkEnd w:id="97"/>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Retention Rate, or NRR, which was above 110% as of January 31, 2024 and January 31, 2025, respectively.</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determine NRR on an annual basis to account for normal seasonality in our business. To calculate NRR as of a given fiscal year end, which fiscal year is referred to as the Current Period, we first identify a cohort of customers, referred to as the Customer Cohort, for the fiscal year prior to the Current Period, which fiscal year is referred to as the Base Period. To be included in the Customer Cohort, a customer must have been an active customer as of the beginning and the end of the Base Period. We then divide total annual revenue from the Customer Cohort in the Current Period, referred to as Current Period Revenue, by total annual revenue from the Customer Cohort in the Base Period, referred to as Base Period Revenue, to derive our annual NRR as of the end of the Current Period.</w:t>
      </w:r>
    </w:p>
    <w:p>
      <w:pPr>
        <w:spacing w:after="0" w:line="128" w:lineRule="exact"/>
        <w:rPr>
          <w:sz w:val="20"/>
          <w:szCs w:val="20"/>
          <w:color w:val="auto"/>
        </w:rPr>
      </w:pPr>
    </w:p>
    <w:p>
      <w:pPr>
        <w:ind w:right="40" w:firstLine="324"/>
        <w:spacing w:after="0" w:line="291" w:lineRule="auto"/>
        <w:rPr>
          <w:sz w:val="20"/>
          <w:szCs w:val="20"/>
          <w:color w:val="auto"/>
        </w:rPr>
      </w:pPr>
      <w:r>
        <w:rPr>
          <w:rFonts w:ascii="Arial" w:cs="Arial" w:eastAsia="Arial" w:hAnsi="Arial"/>
          <w:sz w:val="17"/>
          <w:szCs w:val="17"/>
          <w:color w:val="auto"/>
        </w:rPr>
        <w:t>Current Period Revenue (i) includes any expansion, contraction, or attrition from the Customer Cohort during the Current Year Period and (ii) excludes any revenue from new customers acquired during the Current Period. Any customer in the Customer Cohort that did not transact on our platform during the Current Period remains in the calculation and, as a result, does not contribute to Current Period Revenue.</w:t>
      </w:r>
    </w:p>
    <w:p>
      <w:pPr>
        <w:spacing w:after="0" w:line="99"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have a dual-pronged go-to-market strategy that consists of direct sales-led growth, or SLG, and product-led growth, or PLG. We derive the vast majority of our revenue through direct sales of our offerings. We target customers who already have a travel and expense vendor or solution to manage their spend and customers who are traditionally unmanaged, meaning they were not using any travel and expense vendor or solution.</w:t>
      </w:r>
    </w:p>
    <w:p>
      <w:pPr>
        <w:spacing w:after="0" w:line="12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Account executives, our direct sales team, are focused on new customer acquisitions where we seek to manage all business travel spend on our platform. Our customer success team assists our account executives with post-sale support and are focused on driving more value to our existing customers. This includes increased engagement with our platform as well as adoption of new offerings by our existing customers. Our customer success team manages our customers’ launch and ramping period and ensures they are getting the most out of our platform.</w:t>
      </w:r>
    </w:p>
    <w:p>
      <w:pPr>
        <w:spacing w:after="0" w:line="1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user-friendly platform positions us well to increase our share of the unmanaged category. As a result, we have recently invested in our PLG strategy, whereby we market our platform and its benefits to customers who sign up through our website or application and begin managing their business travel spend with low-touch sales representative support. This segment of our go-to-market strategy is typically aimed at smaller companies who do not use a purpose-built system to manage their business travel spend. Our PLG acquisition strategies are designed to be a more efficient way to serve our smaller customers and access new addressable markets.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Year Ended January 31,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1"/>
                <w:szCs w:val="11"/>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800" w:type="dxa"/>
            <w:vAlign w:val="bottom"/>
          </w:tcPr>
          <w:p>
            <w:pPr>
              <w:jc w:val="right"/>
              <w:ind w:right="697"/>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60" w:type="dxa"/>
            <w:vAlign w:val="bottom"/>
            <w:gridSpan w:val="4"/>
          </w:tcPr>
          <w:p>
            <w:pPr>
              <w:jc w:val="right"/>
              <w:ind w:right="657"/>
              <w:spacing w:after="0"/>
              <w:rPr>
                <w:sz w:val="20"/>
                <w:szCs w:val="20"/>
                <w:color w:val="auto"/>
              </w:rPr>
            </w:pPr>
            <w:r>
              <w:rPr>
                <w:rFonts w:ascii="Arial" w:cs="Arial" w:eastAsia="Arial" w:hAnsi="Arial"/>
                <w:sz w:val="14"/>
                <w:szCs w:val="14"/>
                <w:b w:val="1"/>
                <w:bCs w:val="1"/>
                <w:color w:val="auto"/>
              </w:rPr>
              <w:t>(in billions, except customer data and percentages)</w:t>
            </w:r>
          </w:p>
        </w:tc>
        <w:tc>
          <w:tcPr>
            <w:tcW w:w="0" w:type="dxa"/>
            <w:vAlign w:val="bottom"/>
          </w:tcPr>
          <w:p>
            <w:pPr>
              <w:spacing w:after="0"/>
              <w:rPr>
                <w:sz w:val="1"/>
                <w:szCs w:val="1"/>
                <w:color w:val="auto"/>
              </w:rPr>
            </w:pPr>
          </w:p>
        </w:tc>
      </w:tr>
      <w:tr>
        <w:trPr>
          <w:trHeight w:val="67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booking volume (GBV)</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675"/>
        </w:trPr>
        <w:tc>
          <w:tcPr>
            <w:tcW w:w="6240" w:type="dxa"/>
            <w:vAlign w:val="bottom"/>
          </w:tcPr>
          <w:p>
            <w:pPr>
              <w:ind w:left="20"/>
              <w:spacing w:after="0"/>
              <w:rPr>
                <w:sz w:val="20"/>
                <w:szCs w:val="20"/>
                <w:color w:val="auto"/>
              </w:rPr>
            </w:pPr>
            <w:r>
              <w:rPr>
                <w:rFonts w:ascii="Arial" w:cs="Arial" w:eastAsia="Arial" w:hAnsi="Arial"/>
                <w:sz w:val="18"/>
                <w:szCs w:val="18"/>
                <w:color w:val="auto"/>
              </w:rPr>
              <w:t>Payment volume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80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675"/>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10,000</w:t>
            </w: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8,000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Booking Volume (GBV)</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increasing our payment volume, and introducing new offerings to address different types of business travel.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Volume</w:t>
      </w:r>
    </w:p>
    <w:p>
      <w:pPr>
        <w:spacing w:after="0" w:line="16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define payment volume as the aggregate dollar amount of spend through Navan issued cards, settled for a given period and net of any chargebacks, cancellations, or refunds. Our payment volume grows as we increase adoption and usage of our Corporate Payments offering by more of our customers through solutions such as Navan virtual card, where we support and issue our own cards.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Customers</w:t>
      </w:r>
    </w:p>
    <w:p>
      <w:pPr>
        <w:spacing w:after="0" w:line="16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define an active customer as a customer that has transacted on the Navan platform six or more times in the 12 months preceding the measurement date and that has generated any form of usage-based revenue from a user’s booking on our platform during this period. A single company or organization with multiple divisions, segments, or subsidiaries is generally counted as a single customer, even though we may enter into agreements with multiple parties within that company or organization.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6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believe there is substantial opportunity to continue to grow our customer base across both the managed and unmanaged categories, as well as across both our direct SLG and PLG channels. As such, we will continue to invest in sales and marketing to drive awareness of our platform in order to continue adding new customers. As of January 31, 2025 and 2024, we had over 10,000 and over 8,000 active customers, respectively, on our platform across a broad range of sizes, regions, and industries.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16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expect to continue investing in our Customer Success teams within our sales and marketing function to drive more revenue from our existing customers. We typically land our customers with our travel platform. As we help our customers realize the benefits of our platform, we expect them to adopt and engage with additional offerings, including Corporate Payments, Expense Management, Meetings and Events,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VIP, and Bleisure. As of , 2025, % of customers attached to three or more offerings. This added value for customers also benefits our own financial performance. To measure the effectiveness of our land and expand strategy, we track the NRR from our existing customers, which remained above 110% as of the end of each of fiscal 2025 and fiscal 2024. We believe the growth in use of our platform by our existing customers is an important measure of the health of our business and our future growth.</w:t>
      </w:r>
    </w:p>
    <w:p>
      <w:pPr>
        <w:spacing w:after="0" w:line="12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intend to continue investing in enhancing awareness of our brand and developing more offerings, features and functionality, which we believe are important factors to achieve widespread adoption of all our offerings. Our ability to increase sales to existing customers will depend on a number of factors, including our customers’ satisfaction with our platform and technologies, competition, pricing, and overall changes in our customers’ T&amp;E spending levels.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Sustaining Innovation and Leadership</w:t>
      </w:r>
    </w:p>
    <w:p>
      <w:pPr>
        <w:spacing w:after="0" w:line="169"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Our success is dependent on our ability to sustain our leadership in innovation and technology. We have invested heavily in building out Navan Cloud, our global infrastructure, which is designed to enable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4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delivery of a wide range of travel content to our customers. We intend to continue investing in our infrastructure to ensure that our customers have a broad array of options and choices when using our platform.</w:t>
      </w:r>
    </w:p>
    <w:p>
      <w:pPr>
        <w:spacing w:after="0" w:line="99"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To further enhance customer choice and flexibility, we developed Navan Connect, which allows customers to integrate their existing systems and preferences and offers actionable real-time visibility and policy enforcement for business expense management. While Connect does not itself generate revenue for Navan, we believe the flexibility it offers our customers helps drive easier and faster adoption of our Expense Management offering.</w:t>
      </w:r>
    </w:p>
    <w:p>
      <w:pPr>
        <w:spacing w:after="0" w:line="12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also invested significantly in AI to help make every step of the pre-booking, in-travel, and post-trip process as appealing and automated as possible. We view these investments as important tools to improve the efficiency of the booking process, how we operate our business, and how we serve our customers. We were one of the first travel companies to incorporate machine learning techniques into our offerings, leveraging proprietary algorithms to provide users with personalized intelligent recommendations, dynamic policy tools, and an overall seamless, end-to-end travel experience.</w:t>
      </w:r>
    </w:p>
    <w:p>
      <w:pPr>
        <w:spacing w:after="0" w:line="1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we have continued to expand our investments in AI, including by building Navan Cognition, our proprietary AI framework. Navan Cognition is designed to leverage third-party large language models with our own proprietary, internally developed software to enable us to create, train, deploy, and supervise our specialized virtual agents that can handle many complex tasks previously requiring human intervention. Our purpose-designed AI-powered virtual agents can reliably handle a range of autonomous tasks, from communicating with users through chat or voice commands to real-time decision making, such as booking and cancelling flights and expense tracking. Because this workforce responds to the significant majority of travelers’ needs, we typically require only limited human agent intervention. This technology enables us to efficiently scale our platform, allowing us to maintain a high level of service to customers for their basic needs and reserve agent time for more critical or complex customer service situations. See the section titled “Business–Our Solution–Navan Cognition: Our New Paradigm in AI-Powered Travel Management” for more information about Navan Cognition.</w:t>
      </w:r>
    </w:p>
    <w:p>
      <w:pPr>
        <w:spacing w:after="0" w:line="12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AI workforce’s performance, quality and accuracy has been rated with a CSAT of as of , 2025. An increasing amount of our support services is becoming automated through our AI-powered virtual agent chatbot, Ava, with more than % of interactions being handled without live agent intervention as of , 2025. Our ability to control customer support costs over time, even as customer support volume has increased significantly, has contributed to an increase in GAAP gross margin from 60% in fiscal 2024 to 68% in fiscal 2025, and non-GAAP gross margin increased from 62% in fiscal 2024 to 69% in fiscal 2025. See the section titled “Non-GAAP Financial Measures” below for information regarding our use of non-GAAP gross margin and a reconciliation of gross margin to non-GAAP gross margin.</w:t>
      </w:r>
    </w:p>
    <w:p>
      <w:pPr>
        <w:spacing w:after="0" w:line="12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intend to continue investing in our infrastructure and AI capabilities to make our offerings even more scalable and personalized to our users.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Organically and Inorganically</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a highly successful track record of organic and inorganic investments and may consider additional M&amp;A opportunities. We have previously executed and integrated multiple acquisitions, including R&amp;M, Comtravo, Resia, Atlanta, Tripeur, and Regent, expanding our geographic footprint and strengthening our offering capabilities across core markets. Historically, inorganic growth efforts have focused on expanding international presence, deepening supply relationships, and extending our presence in key regions. For example, in April 2021, we acquired R&amp;M (UK business travel management company) and in February 2022, we acquired Comtravo (German business travel management company) for regional expertise and local inventory. We also acquired Resia (Scandinavian travel management company) in March 2022 and Atlanta (Spanish travel management company) in November 2022 to drive supply growth and support in the Nordics and in Spain, respectively. In April 2023, we acquired Tripeur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2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(India-based, AI-powered business travel and expense management company) to cater to Indian consumer demands. In June 2024, we acquired Regent to gain exposure to the large Italian market. These acquisitions have accelerated our growth, enhanced localization, and enabled the company to serve a broader spectrum of enterprise customers with differentiated offerings tailored to regional travel and compliance needs. We may continue to make M&amp;A investments that allow us to further strengthen our platform, accelerate growth, and improve our offerings to best serve our diverse customer base.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 and Travel Demand</w:t>
      </w:r>
    </w:p>
    <w:p>
      <w:pPr>
        <w:spacing w:after="0" w:line="16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generally experience seasonality in our revenue, primarily related to seasonal travel trends of business travelers. Revenue is driven by travel volume, and our users typically travel less during holiday periods, though this effect varies regionally. As a result, our revenue has historically been strongest in the third fiscal quarter. Payments revenue is driven by the volume of corporate card spending, primarily through travel bookings. When frequent travelers are travelling less, this component of revenue may be less than at other times of the year.</w:t>
      </w:r>
    </w:p>
    <w:p>
      <w:pPr>
        <w:spacing w:after="0" w:line="12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Although we expect introductions of new offerings and expansions of existing offerings to counterbalance some of the seasonality we have historically experienced, we anticipate that revenue from both our existing Travel Management offerings and Corporate Payments offering will continue to represent a significant proportion of our overall revenue mix, and that seasonality will continue to impact our results of operations.</w:t>
      </w:r>
    </w:p>
    <w:p>
      <w:pPr>
        <w:spacing w:after="0" w:line="122"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color w:val="auto"/>
        </w:rPr>
        <w:t>In addition, demand for travel fluctuates based on a number of factors, including periods of perceived or actual adverse economic conditions and times of political or economic uncertainty, which may impact our business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primary sources of revenue are fees earned from customers for access to our travel and expense management platform (our Travel offering and Expense Management offering) or on-demand travel management services (our Meetings and Events, VIP, and Bleisure offerings), and from suppliers as well as from our payment partners (through our Corporate Payments offering) for connection to our network of travel bookings and corporate card transaction dollar volume. Fees from our customers are either earned on a per-booking transaction or subscription basis. Fees from our suppliers and payment partners are generally earned on a per transaction basis or based on cumulative actual booking or transaction dollar volume relative to minimum contractual targets. Our suppliers include airlines, hotels, car rental companies, rail carriers, and providers of GDSs. Our payment partners primarily include our corporate card payment processors.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 We expect to incur additional stock-based compensation expense in periods following the completion of this offering as RSUs meet their service-based vesting conditions, calculated using the accelerated attribution method for RSUs with a performance-based vesting condition and using the straight-line method for RSUs granted following the closing of this offering and without a performance-based vesting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47" w:lineRule="exact"/>
        <w:rPr>
          <w:sz w:val="20"/>
          <w:szCs w:val="20"/>
          <w:color w:val="auto"/>
        </w:rPr>
      </w:pPr>
    </w:p>
    <w:p>
      <w:pPr>
        <w:ind w:right="860" w:firstLine="324"/>
        <w:spacing w:after="0" w:line="287" w:lineRule="auto"/>
        <w:rPr>
          <w:sz w:val="20"/>
          <w:szCs w:val="20"/>
          <w:color w:val="auto"/>
        </w:rPr>
      </w:pPr>
      <w:r>
        <w:rPr>
          <w:rFonts w:ascii="Arial" w:cs="Arial" w:eastAsia="Arial" w:hAnsi="Arial"/>
          <w:sz w:val="18"/>
          <w:szCs w:val="18"/>
          <w:color w:val="auto"/>
        </w:rPr>
        <w:t>We expect that our cost of revenue may fluctuate as a percentage of our revenue from period to period depending on revenue seasonality or other factors impacting revenue, and to decline as a percentage of revenue over the long term.</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indirect operating costs and depreciation on property and equipment, and the allocation of certain corporate costs. We expect to incur additional stock-based compensation expense in periods following the completion of this offering as RSUs meet their service-based vesting conditions, calculated using the accelerated attribution method for RSUs with a performance-based vesting condition and using the straight-line method for RSUs granted following the closing of this offering and without a performance-based vesting condition.</w:t>
      </w:r>
    </w:p>
    <w:p>
      <w:pPr>
        <w:spacing w:after="0" w:line="129"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expect that research and development expenses may fluctuate as a percentage of our revenue from period to period depending on the timing of these expenses and revenue seasonality or other factors impacting revenue, and to decline as a percentage of revenue over the long term.</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In addition, we expect to incur additional stock-based compensation expense in periods following the completion of this offering as RSUs meet their service-based vesting conditions, calculated using the accelerated attribution method for RSUs with a performance-based vesting condition and using the straight-line method for RSUs granted following the closing of this offering and without a performance-based vesting condition. We expense certain sales and marketing costs, including promotional expenses, as incurred. We plan to increase our investment in sales and marketing for the foreseeable future, primarily through increased headcount in our sales function and investment in brand and product-marketing efforts.</w:t>
      </w:r>
    </w:p>
    <w:p>
      <w:pPr>
        <w:spacing w:after="0" w:line="13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the near term, we expect that our sales and marketing expenses will increase in absolute dollars as we continue to invest in our sales and marketing organization to drive continued adoption of our platform. We expect that sales and marketing expenses may fluctuate as a percentage of our revenue from period to period depending on the timing of these expenses and revenue seasonality or other factors impacting revenue, and to decline as a percentage of revenue over the long term.</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and the allocation of certain corporate costs. General and administrative expenses also include bad debt expenses.</w:t>
      </w:r>
    </w:p>
    <w:p>
      <w:pPr>
        <w:spacing w:after="0" w:line="125"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General and administrative expenses are expensed as incurred. We expect to increase the size of our general and administrative function to support the growth of our business. Following the completion of this offering, we expect to incur additional general and administrative expenses as a result of operating as a public company. Further, we expect to incur additional stock-based compensation expense in periods following the completion of this offering as RSUs meet their service-based vesting conditions, calculated using the accelerated attribution method for RSUs with a performance-based vesting condition and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straight-line method for RSUs granted following the closing of this offering and without a performance-based vesting condition. As a result, we expect that our general and administrative expenses will increase in absolute dollars for the foreseeable future. We expect our general and administrative expenses may vary from period to period as a percentage of revenue in the near term and to decline as a percentage of revenue in the long term.</w:t>
      </w:r>
    </w:p>
    <w:p>
      <w:pPr>
        <w:spacing w:after="0" w:line="12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the quarter in which this offering is completed, we will recognize approximately $ million of stock-based compensation expense across our cost of revenue and operating expenses associated with the satisfaction of the performance-based vesting condition for outstanding RSUs for which the service-based vesting conditions have been fully or partially satisfied upon the effective date of the registration statement of which this prospectus forms a part.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Interest expense primarily relates to interest expense on our borrowings, including amortization of debt discount and issuance costs related to our outstanding debt.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Other income (expense), net primarily consists of interest income earned on cash and cash equivalents, foreign exchange gains and losses, and other non-operating gains and losses.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(Loss) on Fair Value Adjustments</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Gain (loss) on fair value adjustments primarily consists of gains and losses as a result of recording our embedded derivative and warrant liabilities at fair value at the end of each reporting period.</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9"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Income tax expense primarily consists of income taxes in certain federal, state, and foreign jurisdictions in which we conduct business. We maintain a full valuation allowance against our U.S. federal and state deferred tax assets, and certain foreign deferred tax assets, as we have concluded that it is not more likely than not that these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320" w:top="1440" w:right="399" w:bottom="1440" w:gutter="0" w:footer="0" w:header="0"/>
        </w:sectPr>
      </w:pPr>
    </w:p>
    <w:bookmarkStart w:id="103" w:name="page104"/>
    <w:bookmarkEnd w:id="103"/>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162,622</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220,511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485,976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(75,997)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(63,281)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(loss) on fair value adjustments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is included in the following components of expenses within the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27,039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28,189</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47"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The following table sets forth our consolidated statements of operations data expressed as a percentage of revenue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4"/>
                <w:szCs w:val="14"/>
                <w:b w:val="1"/>
                <w:bCs w:val="1"/>
                <w:color w:val="auto"/>
              </w:rPr>
              <w:t>Year Ended January 31,</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 operating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(loss) on fair value adjustments</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Arial" w:cs="Arial" w:eastAsia="Arial" w:hAnsi="Arial"/>
                <w:sz w:val="18"/>
                <w:szCs w:val="18"/>
                <w:b w:val="1"/>
                <w:bCs w:val="1"/>
                <w:i w:val="1"/>
                <w:iCs w:val="1"/>
                <w:color w:val="auto"/>
              </w:rPr>
              <w:t>Comparison of the Fiscal Years Ended January 31, 2025 and 2024</w:t>
            </w: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24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600" w:type="dxa"/>
            <w:vAlign w:val="bottom"/>
          </w:tcPr>
          <w:p>
            <w:pPr>
              <w:ind w:left="340"/>
              <w:spacing w:after="0"/>
              <w:rPr>
                <w:sz w:val="20"/>
                <w:szCs w:val="20"/>
                <w:color w:val="auto"/>
              </w:rPr>
            </w:pPr>
            <w:r>
              <w:rPr>
                <w:rFonts w:ascii="Arial" w:cs="Arial" w:eastAsia="Arial" w:hAnsi="Arial"/>
                <w:sz w:val="18"/>
                <w:szCs w:val="18"/>
                <w:i w:val="1"/>
                <w:iCs w:val="1"/>
                <w:color w:val="auto"/>
              </w:rPr>
              <w:t>Revenue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536,837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for the year ended January 31, 2025 increased by $134.6 million, or 33%.</w:t>
      </w:r>
    </w:p>
    <w:p>
      <w:pPr>
        <w:spacing w:after="0" w:line="17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increase in revenue for the year ended January 31, 2025, compared to the year ended January 31, 2024, was driven primarily by (i) a 32% increase in GBV and 35% increase in payment volume as we increased our customer base and expanded engagement with our platform and offerings by existing customers, and (ii) increased adoption of our Expense Management offering by new and existing customers on our platform.</w:t>
      </w:r>
    </w:p>
    <w:p>
      <w:pPr>
        <w:spacing w:after="0" w:line="122"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The impact of foreign currency translation on the change in revenue from the year ended January 31, 2024 to the year ended January 31, 2025 was not material.</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and Gross Profit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7"/>
        </w:trPr>
        <w:tc>
          <w:tcPr>
            <w:tcW w:w="4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6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169,815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162,622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367,022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239,634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127,388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ind w:right="560" w:firstLine="324"/>
        <w:spacing w:after="0" w:line="268" w:lineRule="auto"/>
        <w:rPr>
          <w:sz w:val="20"/>
          <w:szCs w:val="20"/>
          <w:color w:val="auto"/>
        </w:rPr>
      </w:pPr>
      <w:r>
        <w:rPr>
          <w:rFonts w:ascii="Arial" w:cs="Arial" w:eastAsia="Arial" w:hAnsi="Arial"/>
          <w:sz w:val="18"/>
          <w:szCs w:val="18"/>
          <w:color w:val="auto"/>
        </w:rPr>
        <w:t>Cost of revenue for the year ended January 31, 2025 increased by $7.2 million, or 4%, primarily due to an increase in salaries and related benefits of $4.6 million, an increase in merchant fees of $2.9 million, and an increase in cloud hosting, support, processing and ticketing fees of $2.8 million, offset by a $2.9</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1440" w:right="339" w:bottom="1440" w:gutter="0" w:footer="0" w:header="0"/>
          <w:type w:val="continuous"/>
        </w:sectPr>
      </w:pPr>
    </w:p>
    <w:bookmarkStart w:id="105" w:name="page106"/>
    <w:bookmarkEnd w:id="105"/>
    <w:p>
      <w:pPr>
        <w:spacing w:after="0" w:line="24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million decrease in depreciation related to the early termination of an office lease during the year ended January 31, 2024, and a decrease in stock-based compensation of $0.1 million. The increase in gross profit and gross profit percentage is primarily due to an increase in revenue on a relatively fixed cost base supported by our delivery of AI-powered customer support.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23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Research and development expense for the year ended January 31, 2025 decreased by $10.1 million, or 8%, primarily due to a decrease in salaries and related benefits of $13.4 million driven by a reduction in headcount, offset by an increase of $3.4 million in stock-based compensation.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Sales and marketing expense for the year ended January 31, 2025 decreased by $1.8 million, or 1%, primarily due to (i) a decrease in sales commissions expense of $13.7 million, primarily driven by a change in our sales compensation plans during the year ended January 31, 2025, which resulted in an increase in the capitalization of certain contract acquisition costs, partially offset by (ii) an increase in advertising expense, which primarily consists of digital marketing spend, of $6.3 million, and (iii) an increase in salaries and related benefits, including stock-based compensation, of $6.2 million.</w:t>
      </w:r>
    </w:p>
    <w:p>
      <w:pPr>
        <w:spacing w:after="0" w:line="125"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Refer to Note 1, “Description of Business and Significant Accounting Policies” to our consolidated financial statements included elsewhere in this prospectus for further details regarding our accounting policy for contract acquisition costs.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ind w:left="44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133,552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99"/>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6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General and administrative expense for the year ended January 31, 2025 increased by $ 0.5 million, or less than 1%, primarily due to (i) an increase in expense of $23.0 million related to the release of a tax contingency reserve in the year ended January 31, 2024 and (ii) an increase in professional services expenses of $2.5 million, primarily driven by accounting and advisory services necessary to support our growth and public company preparation activities, in addition to recruiting and placement fees, partially offset by (iii) a decrease in salaries and related benefits, including stock-based compensation, of $10.0 million compared to the year ended January 31, 2024, (iv) a decrease in facilities and IT-related costs of $6.9 million, (v) a decrease in expense of $3.7 million due to the write-off of previously capitalized offering costs in the year ended January 31, 2024, and (vi) a decrease in bad debt expense of $2.1 million, primarily driven by improved credit and collection processes and shorter payment terms for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7"/>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00" w:type="dxa"/>
            <w:vAlign w:val="bottom"/>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238"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Interest expense for the year ended January 31, 2025 increased by $12.7 million, or 20%, primarily due to higher borrowing levels under the Warehouse Credit Facility and the Trade Loan Facility.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280" w:type="dxa"/>
            <w:vAlign w:val="bottom"/>
            <w:gridSpan w:val="6"/>
          </w:tcPr>
          <w:p>
            <w:pPr>
              <w:ind w:left="78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106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6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bl>
    <w:p>
      <w:pPr>
        <w:spacing w:after="0" w:line="224"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Other income (expense), net for the year ended January 31, 2025 changed by $10.2 million, or 101%, primarily due to (i) the release of a tax contingency reserve in the amount of $6.7 million in the year ended January 31, 2024, which resulted in non-recurring income in the prior year, and (ii) an increase in foreign currency transaction losses of $3.9 million.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(Loss) on Fair Value Adjustments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4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fair value adjustments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38,794</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bl>
    <w:p>
      <w:pPr>
        <w:spacing w:after="0" w:line="23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Gain (loss) on fair value adjustments for the year ended January 31, 2025 changed by $38.8 million, or 146%, primarily due to changes in the value of the embedded derivative liability related to our convertible notes.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7"/>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700" w:type="dxa"/>
            <w:vAlign w:val="bottom"/>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bl>
    <w:p>
      <w:pPr>
        <w:spacing w:after="0" w:line="23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Income tax expense for the year ended January 31, 2025 increased by $4.1 million, or 76%, primarily due to increases in foreign profits and nondeductible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ind w:right="140" w:firstLine="324"/>
        <w:spacing w:after="0" w:line="278" w:lineRule="auto"/>
        <w:rPr>
          <w:sz w:val="20"/>
          <w:szCs w:val="20"/>
          <w:color w:val="auto"/>
        </w:rPr>
      </w:pPr>
      <w:r>
        <w:rPr>
          <w:rFonts w:ascii="Arial" w:cs="Arial" w:eastAsia="Arial" w:hAnsi="Arial"/>
          <w:sz w:val="17"/>
          <w:szCs w:val="17"/>
          <w:color w:val="auto"/>
        </w:rPr>
        <w:t>To supplement our consolidated financial statements, which are prepared and presented in accordance with GAAP, we use certain non-GAAP financial measures, which include non-GAAP gross profit, non-GAAP gross margin, non-GAAP loss from operations, and non-GAAP net loss, to understand and evaluate our core operating performance.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11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include these non-GAAP financial measures in this prospectus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pacing w:after="0" w:line="125" w:lineRule="exact"/>
        <w:rPr>
          <w:sz w:val="20"/>
          <w:szCs w:val="20"/>
          <w:color w:val="auto"/>
        </w:rPr>
      </w:pPr>
    </w:p>
    <w:p>
      <w:pPr>
        <w:jc w:val="both"/>
        <w:ind w:right="340" w:firstLine="324"/>
        <w:spacing w:after="0" w:line="268" w:lineRule="auto"/>
        <w:rPr>
          <w:sz w:val="20"/>
          <w:szCs w:val="20"/>
          <w:color w:val="auto"/>
        </w:rPr>
      </w:pPr>
      <w:r>
        <w:rPr>
          <w:rFonts w:ascii="Arial" w:cs="Arial" w:eastAsia="Arial" w:hAnsi="Arial"/>
          <w:sz w:val="18"/>
          <w:szCs w:val="18"/>
          <w:color w:val="auto"/>
        </w:rPr>
        <w:t>For the reasons set forth below, we believe that excluding the following items provide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117" w:lineRule="exact"/>
        <w:rPr>
          <w:sz w:val="20"/>
          <w:szCs w:val="20"/>
          <w:color w:val="auto"/>
        </w:rPr>
      </w:pPr>
    </w:p>
    <w:p>
      <w:pPr>
        <w:ind w:left="660" w:right="100" w:hanging="328"/>
        <w:spacing w:after="0" w:line="259"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Stock-based compensation-related charges. </w:t>
      </w:r>
      <w:r>
        <w:rPr>
          <w:rFonts w:ascii="Arial" w:cs="Arial" w:eastAsia="Arial" w:hAnsi="Arial"/>
          <w:sz w:val="18"/>
          <w:szCs w:val="18"/>
          <w:color w:val="auto"/>
        </w:rPr>
        <w:t>We exclude stock-based compensation expense and related charges to allow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more meaningful comparisons of our performance between periods and to facilitate a comparison of our performance to those of other peer companies. Stock-based compensation-related charges may vary between periods due to various factors unrelated to our core performance, including as a result of the assumptions used in the valuation methodologies, timing and amount of equity grants and other factors.</w:t>
      </w:r>
    </w:p>
    <w:p>
      <w:pPr>
        <w:spacing w:after="0" w:line="125"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recognize amortization expense related to intangible assets acquired in connection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Amortization of acquired intangible assets is a non-cash expense that is significantly affected by the timing and size of acquisitions, and the inherent subjective nature of purchase price allocations. The use of intangible assets has contributed to our revenue during the periods presented, and we expect such use will contribute to revenue in future periods.</w:t>
      </w:r>
    </w:p>
    <w:p>
      <w:pPr>
        <w:spacing w:after="0" w:line="122"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debt discount and debt issuance costs. </w:t>
      </w:r>
      <w:r>
        <w:rPr>
          <w:rFonts w:ascii="Arial" w:cs="Arial" w:eastAsia="Arial" w:hAnsi="Arial"/>
          <w:sz w:val="18"/>
          <w:szCs w:val="18"/>
          <w:color w:val="auto"/>
        </w:rPr>
        <w:t>In connection with the issuance of our outstanding debt instruments, we incur</w:t>
      </w:r>
      <w:r>
        <w:rPr>
          <w:rFonts w:ascii="Arial" w:cs="Arial" w:eastAsia="Arial" w:hAnsi="Arial"/>
          <w:sz w:val="18"/>
          <w:szCs w:val="18"/>
          <w:i w:val="1"/>
          <w:iCs w:val="1"/>
          <w:color w:val="auto"/>
        </w:rPr>
        <w:t xml:space="preserve"> </w:t>
      </w:r>
      <w:r>
        <w:rPr>
          <w:rFonts w:ascii="Arial" w:cs="Arial" w:eastAsia="Arial" w:hAnsi="Arial"/>
          <w:sz w:val="18"/>
          <w:szCs w:val="18"/>
          <w:color w:val="auto"/>
        </w:rPr>
        <w:t>upfront issuance costs and, where required, account for embedded derivatives and warrants issued in connection with certain debt instruments as debt discounts. The related amortization of these costs and discounts is recognized as interest expense over the term of the related debt instruments. We believe the exclusion of this non-cash interest expense provides for a useful comparison of our operating results to prior periods and to our peer companies.</w:t>
      </w:r>
    </w:p>
    <w:p>
      <w:pPr>
        <w:spacing w:after="0" w:line="125"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Deferred offering costs write-off. </w:t>
      </w:r>
      <w:r>
        <w:rPr>
          <w:rFonts w:ascii="Arial" w:cs="Arial" w:eastAsia="Arial" w:hAnsi="Arial"/>
          <w:sz w:val="18"/>
          <w:szCs w:val="18"/>
          <w:color w:val="auto"/>
        </w:rPr>
        <w:t>During the year ended January 31, 2024, we wrote off previously capitalized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 offering of our securities that we elected not to pursue. We believe excluding these charges allows investors to make meaningful comparisons between our actual performance and those of other peer companies.</w:t>
      </w:r>
    </w:p>
    <w:p>
      <w:pPr>
        <w:spacing w:after="0" w:line="116" w:lineRule="exact"/>
        <w:rPr>
          <w:rFonts w:ascii="Arial" w:cs="Arial" w:eastAsia="Arial" w:hAnsi="Arial"/>
          <w:sz w:val="18"/>
          <w:szCs w:val="18"/>
          <w:color w:val="auto"/>
        </w:rPr>
      </w:pPr>
    </w:p>
    <w:p>
      <w:pPr>
        <w:jc w:val="both"/>
        <w:ind w:left="660" w:right="22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Gain (loss) on fair value adjustments. </w:t>
      </w:r>
      <w:r>
        <w:rPr>
          <w:rFonts w:ascii="Arial" w:cs="Arial" w:eastAsia="Arial" w:hAnsi="Arial"/>
          <w:sz w:val="18"/>
          <w:szCs w:val="18"/>
          <w:color w:val="auto"/>
        </w:rPr>
        <w:t>We exclude gains and losses on fair value adjustments related to the remeasurement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and warrant liabilities as of the end of each reporting period. We exclude these non-cash gains and losses because they are unrelated to our core operating performance.</w:t>
      </w:r>
    </w:p>
    <w:p>
      <w:pPr>
        <w:spacing w:after="0" w:line="11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Restructuring and facility exit costs. </w:t>
      </w:r>
      <w:r>
        <w:rPr>
          <w:rFonts w:ascii="Arial" w:cs="Arial" w:eastAsia="Arial" w:hAnsi="Arial"/>
          <w:sz w:val="18"/>
          <w:szCs w:val="18"/>
          <w:color w:val="auto"/>
        </w:rPr>
        <w:t>To better align our strategic priorities with our investments, we implemented workforce reductions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January 31, 2024. In connection with these reductions, we incurred employee-related expenses including severance and other termination benefits. We also incurred facility exit costs and accelerated depreciation associated with the early termination of an office lease. We exclude these costs as they are not representative of our core operations.</w:t>
      </w:r>
    </w:p>
    <w:p>
      <w:pPr>
        <w:spacing w:after="0" w:line="122"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Reversal of tax contingency. </w:t>
      </w:r>
      <w:r>
        <w:rPr>
          <w:rFonts w:ascii="Arial" w:cs="Arial" w:eastAsia="Arial" w:hAnsi="Arial"/>
          <w:sz w:val="18"/>
          <w:szCs w:val="18"/>
          <w:color w:val="auto"/>
        </w:rPr>
        <w:t>During the year ended January 31, 2024, we released a tax contingency reserve which resulted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other income and a reduction of general and administrative expense. We exclude this non-cash gain because it is unrelated to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47" w:lineRule="exact"/>
        <w:rPr>
          <w:sz w:val="20"/>
          <w:szCs w:val="20"/>
          <w:color w:val="auto"/>
        </w:rPr>
      </w:pPr>
    </w:p>
    <w:p>
      <w:pPr>
        <w:ind w:left="660" w:right="140" w:hanging="328"/>
        <w:spacing w:after="0" w:line="268"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Non-GAAP provision for income taxes. </w:t>
      </w:r>
      <w:r>
        <w:rPr>
          <w:rFonts w:ascii="Arial" w:cs="Arial" w:eastAsia="Arial" w:hAnsi="Arial"/>
          <w:sz w:val="18"/>
          <w:szCs w:val="18"/>
          <w:color w:val="auto"/>
        </w:rPr>
        <w:t>We have adjusted the provision for income taxes to reflect the income tax effects of the non-GAAP adjustments to pre-tax income (loss). Due to the full valuation allowance against U.S. federal and state deferred taxes, the primary non-GAAP adjustment relates to the income tax effects of stock-based compensation expense.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169"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We define non-GAAP gross profit as GAAP gross profit, excluding stock-based compensation-related charges, amortization of intangible assets, and restructuring and facility exit costs. We define non-GAAP gross margin as non-GAAP gross profit divided by revenue.</w:t>
      </w:r>
    </w:p>
    <w:p>
      <w:pPr>
        <w:spacing w:after="0" w:line="9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following table reflects the reconciliation of GAAP gross profit to non-GAAP gross profit and GAAP gross margin to non-GAAP gross margin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367,022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239,634</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compensation-related charges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4,751</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9"/>
                <w:szCs w:val="19"/>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1,526</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 exit costs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3,318</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Non-GAAP gross profit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371,855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249,229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gross margin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w:t>
      </w:r>
    </w:p>
    <w:p>
      <w:pPr>
        <w:spacing w:after="0" w:line="169"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We define non-GAAP loss from operations as GAAP loss from operations, excluding stock-based compensation-related charges, amortization of intangible assets, write-off of deferred offering costs, restructuring and facility exit costs, and the reversal of the tax contingency.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reconciliation of GAAP loss from operations to non-GAAP loss from operations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loss from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Stock-based compensation expense-related charges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75,851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offering costs write-off</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 exit costs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Reversal of tax contingency</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(22,952)</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loss from operations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w:t>
      </w:r>
    </w:p>
    <w:p>
      <w:pPr>
        <w:spacing w:after="0" w:line="169" w:lineRule="exact"/>
        <w:rPr>
          <w:sz w:val="20"/>
          <w:szCs w:val="20"/>
          <w:color w:val="auto"/>
        </w:rPr>
      </w:pPr>
    </w:p>
    <w:p>
      <w:pPr>
        <w:jc w:val="both"/>
        <w:ind w:right="520" w:firstLine="324"/>
        <w:spacing w:after="0" w:line="268" w:lineRule="auto"/>
        <w:rPr>
          <w:sz w:val="20"/>
          <w:szCs w:val="20"/>
          <w:color w:val="auto"/>
        </w:rPr>
      </w:pPr>
      <w:r>
        <w:rPr>
          <w:rFonts w:ascii="Arial" w:cs="Arial" w:eastAsia="Arial" w:hAnsi="Arial"/>
          <w:sz w:val="18"/>
          <w:szCs w:val="18"/>
          <w:color w:val="auto"/>
        </w:rPr>
        <w:t>We define non-GAAP net loss as GAAP net loss, excluding stock-based compensation-related charges, amortization of intangible assets, amortization of debt discount and debt issuance costs, write-off of deferred offering costs, gain (loss) on fair value adjustments, restructuring and facility exit costs, reversal of the tax contingency, and non-GAAP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reconciliation of GAAP net loss to non-GAAP net loss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Year Ended January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Stock-based compensation expense-related charges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75,851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debt discount and debt issuance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14,239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write-off</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Gain (loss) on fair value adjustments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26,594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facility exit costs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Reversal of tax contingency</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(29,652)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(224,850)</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our inception, we have financed our operations primarily through sales of equity securities and debt, as well as cash generated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from operations. Our principal uses of cash in recent periods have been funding our operations, investing in our business, technologies,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platform, capital expenditures, and various business acquisitions. As of January 31, 2025, our principal sources of liquidity were cash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of $157.7 million, which were held primarily for working capital purposes. Cash and cash equivalents consisted of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deposited with banks, funds available for use held with our corporate card payment processing partner which are not earmarked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collateralize corporate card spend by our customers, and money market funds with original or remaining maturities of three months or less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of purchase. We have generated significant operating losses from our operations as reflected in our accumulated deficit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$(1,617.1) million as of January 31, 2025. We expect to continue to incur operating losses, and our operating cash flows may fluctuate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between positive and negative amounts for the foreseeable future due to the investments we intend to make as described elsewhere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As a result, we may require additional capital resources to execute strategic initiatives to grow our business.</w:t>
      </w:r>
    </w:p>
    <w:p>
      <w:pPr>
        <w:spacing w:after="0" w:line="15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believe our existing cash and cash equivalents, cash provided by operations, together with our amounts available for borrowing under the Warehouse Credit Facility and the ABL Facility, will be sufficient to meet our requirements and plans for cash, including supporting working capital and capital expenditure requirements for at least the next 12 months and beyond. Our future capital requirements and the adequacy of available funds will depend on many factors, including our growth rate, payment volume, expansion of our platform customer base, expansion of sales and marketing activities, the timing and extent of spending to support development efforts, the introduction of new offerings, and continued market adoption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would be materially and adversely affected. We fund corporate card transactions in advance of receiving payments from our customers. Our working capital may fluctuate from period to period as a result of the timing of when we fund our corporate card payment processors and when we receive payments from our customers. During peak travel periods, the impact of this may be more significant than in other periods and may require us to draw down on the Warehouse Credit Facility.</w:t>
      </w:r>
    </w:p>
    <w:p>
      <w:pPr>
        <w:spacing w:after="0" w:line="133"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principal commitments consist of obligations under our Convertible Notes, the Warehouse Credit Facility, the Vista Facility, SAFEs, the ABL Facility, operating leases for office space, and non-cancelable purchase commitments primarily related to cloud hosting arrangements and software subscriptions.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47"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Convertible Notes and the SAFEs are expected to convert into shares of our Class A common stock in connection with this offering, as described elsewhere in this prospectus. Our obligations under our ABL Facility, the Vista Facility, and the Warehouse Credit Facility are described in the section titled “Description of Material 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November 2022, Liquid Labs SPV, LLC, or Liquid Labs, our wholly-owned subsidiary, entered into a loan agreement with a group of lenders for a revolving warehouse credit facility, or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Warehouse Credit Facility was established to finance our expense management offering. Borrowings on the Warehouse Credit Facility bear interest at a floating rate based on SOFR plus an applicable margin, as defined by the loan agreement. The Warehouse Credit Facility has a minimum utilization of 50.0% of the committed amount, and any unused portion of the Warehouse Credit Facility will bear interest at 0.50% per annum. Borrowings under the Warehouse Credit Facility are secured by the corporate card receivables.</w:t>
      </w:r>
    </w:p>
    <w:p>
      <w:pPr>
        <w:spacing w:after="0" w:line="13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Warehouse Credit Facility was amended multiple times during the years ended January 31, 2025 and 2024. As of January 31, 2025, the amended terms of the Warehouse Credit Facility include total available borrowings of $275.0 million, an extended maturity date of February 2026, an expanded borrowing base to include receivables generated in foreign currency, and amendments to certain financial covenants. Subject to the amended terms, the available borrowings decreased to $250.0 million in April 2025 through the maturity date.</w:t>
      </w:r>
    </w:p>
    <w:p>
      <w:pPr>
        <w:spacing w:after="0" w:line="12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Warehouse Credit Facility contains mandatory and optional redemption features upon an event of default and other potential additional interest provisions that are bifurcated and treated as embedded derivative liabilities under the accounting guidance Financial Accounting Standards Board Accounting Standards Codification Topic 815, Derivatives and Hedging, or ASC 815. At inception of the Warehouse Credit Facility, and as of January 31, 2025 and 2024, the fair value of the embedded derivative liabilities was determined to be immaterial.</w:t>
      </w:r>
    </w:p>
    <w:p>
      <w:pPr>
        <w:spacing w:after="0" w:line="125"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We incurred upfront commitment fees of $2.0 million for the Warehouse Credit Facility, which were recorded as a deferred cost asset on the balance sheet and are amortized on a straight-line basis as incremental interest expense. We incurred incremental upfront commitment fees of $1.4 million upon the renewal of the Warehouse Credit Facility during the year ended January 31, 2025.</w:t>
      </w:r>
    </w:p>
    <w:p>
      <w:pPr>
        <w:spacing w:after="0" w:line="117"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8"/>
          <w:szCs w:val="18"/>
          <w:color w:val="auto"/>
        </w:rPr>
        <w:t>During the year ended January 31, 2025, we drew down an aggregate of $37.8 million and repaid $30.0 million of the Warehouse Credit Facility.</w:t>
      </w:r>
    </w:p>
    <w:p>
      <w:pPr>
        <w:spacing w:after="0" w:line="99" w:lineRule="exact"/>
        <w:rPr>
          <w:sz w:val="20"/>
          <w:szCs w:val="20"/>
          <w:color w:val="auto"/>
        </w:rPr>
      </w:pPr>
    </w:p>
    <w:p>
      <w:pPr>
        <w:ind w:right="200" w:firstLine="324"/>
        <w:spacing w:after="0" w:line="260" w:lineRule="auto"/>
        <w:rPr>
          <w:sz w:val="20"/>
          <w:szCs w:val="20"/>
          <w:color w:val="auto"/>
        </w:rPr>
      </w:pPr>
      <w:r>
        <w:rPr>
          <w:rFonts w:ascii="Arial" w:cs="Arial" w:eastAsia="Arial" w:hAnsi="Arial"/>
          <w:sz w:val="18"/>
          <w:szCs w:val="18"/>
          <w:color w:val="auto"/>
        </w:rPr>
        <w:t>During the year ended January 31, 2025 we recognized $22.9 million of interest expense. Interest expense recognized during the year ended January 31, 2025 is comprised of $21.4 million of interest paid and payable, and $1.5 million interest for the amortization of debt</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issuance costs. During the ended , 2025, we recognized $ of interest expense, comprised of $ of interest paid and payable and $ for the amortization of debt issuance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April 2025, we executed an amendment to extend the term of the Warehouse Credit Facility through February 18, 2028.</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As of , 2025, we remain in compliance with the covenants of the loan agreement. See the section titled “Description of Material Indebtedness–Warehouse Credit Facility”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320" w:top="1440" w:right="379" w:bottom="1440" w:gutter="0" w:footer="0" w:header="0"/>
        </w:sectPr>
      </w:pPr>
    </w:p>
    <w:bookmarkStart w:id="111" w:name="page112"/>
    <w:bookmarkEnd w:id="111"/>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Vista Facility</w:t>
      </w:r>
    </w:p>
    <w:p>
      <w:pPr>
        <w:spacing w:after="0" w:line="169"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In February 2025, we issued term loans under the Vista Facility to lenders in exchange for proceeds of $130.0 million, which mature on February 24, 2030. In connection with the term loans under the Vista Facility, we issued warrants covering 1,459,768 shares of Class A common stock. The principal amount accrues interest at a variable interest rate based on either the Alternate Base Rate, with a 2.00% Alternate Base Rate floor, or SOFR (based on a 3-month interest period), with a 1.00% SOFR floor, in each case, plus an applicable rate. The applicable rate is, at our option, (i) in the case of SOFR Loans, (A) if we have elected to cash pay the interest, 6.50% per annum in cash or (B) if we have elected to pay the interest partially in cash and partially PIK, 6.50% per annum (of which 5.00% shall be paid in cash and</w:t>
      </w:r>
    </w:p>
    <w:p>
      <w:pPr>
        <w:spacing w:after="0" w:line="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1.50% PIK) and (ii) in the case of Alternate Base Rate Loans, (A) if we have elected to cash pay the interest, 5.50% per annum or (B) if we have elected to pay the interest partially in cash and partially PIK, 5.50% (of which 4.00% shall be paid in cash and 1.50% PIK). Interest is payable every three months in arrears, and PIK interest is added to the principal balance and compounded every three months. We may prepay the Vista Facility at any time, in whole or in part, prior to the maturity date. Prepayment is required upon certain qualified indebtedness, asset sales, or recovery events. Upon both optional and mandatory prepayments, we are required to pay a prepayment premium of (i) 3% of the principal amount prior to the first anniversary of the closing date; (ii) 1.5% of the principal amount on or after the first anniversary but prior to the second anniversary of the closing date, and (iii) 0% of the principal amount on or after the second anniversary of the closing date. We may prepay the Vista Facility in connection with a qualified IPO, including this offering, without incurring a prepayment penalty. We intend to use a portion of the net proceeds from this offering to prepay all amounts outstanding under and terminate the Vista Facility. See the section titled “Use of Proceeds” for more information.</w:t>
      </w:r>
    </w:p>
    <w:p>
      <w:pPr>
        <w:spacing w:after="0" w:line="13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Upon issuance of the term loans under the Vista Facility, the common stock warrants had a fair value of $11.0 million which was recorded as a debt discount. Debt issuance costs were recorded as a reduction to the debt liability. The debt discount and debt issuance costs are amortized to interest expense at an effective interest rate of 12.8% over the term of the loan. The common stock warrants are recorded within the consolidated balance sheets as Additional paid-in capital.</w:t>
      </w:r>
    </w:p>
    <w:p>
      <w:pPr>
        <w:spacing w:after="0" w:line="12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Vista Facility contains certain affirmative and negative covenants including, among other things, restrictions on repurchases of stock, dividends and other distributions. As of , 2025, we were in compliance with all covenants. See the section titled “Description of Material Indebtedness–Vista Facility” for further detail.</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ABL Facility</w:t>
      </w:r>
    </w:p>
    <w:p>
      <w:pPr>
        <w:spacing w:after="0" w:line="169"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In March 2025, the Company entered into an asset-based lending revolving line of credit with Citibank, N.A., or the ABL Facility, for a term through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w:t>
      </w:r>
    </w:p>
    <w:p>
      <w:pPr>
        <w:spacing w:after="0" w:line="12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 2025, we had drawn a total of $ million on the ABL Facility. The ABL Facility contains certain affirmative or negative covenants including, among other things, restrictions on repurchases of stock, dividends and other distributions. As of , 2025, we were in compliance with all covenants. See the section titled “Description of Material Indebtedness—ABL Facility”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196"/>
        </w:trPr>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tcPr>
          <w:p>
            <w:pPr>
              <w:spacing w:after="0"/>
              <w:rPr>
                <w:sz w:val="17"/>
                <w:szCs w:val="17"/>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359"/>
              <w:spacing w:after="0"/>
              <w:rPr>
                <w:sz w:val="20"/>
                <w:szCs w:val="20"/>
                <w:color w:val="auto"/>
              </w:rPr>
            </w:pPr>
            <w:r>
              <w:rPr>
                <w:rFonts w:ascii="Arial" w:cs="Arial" w:eastAsia="Arial" w:hAnsi="Arial"/>
                <w:sz w:val="18"/>
                <w:szCs w:val="18"/>
                <w:color w:val="auto"/>
              </w:rPr>
              <w:t>(50,406)</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rPr>
              <w:t>(166,363)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379"/>
              <w:spacing w:after="0"/>
              <w:rPr>
                <w:sz w:val="20"/>
                <w:szCs w:val="20"/>
                <w:color w:val="auto"/>
              </w:rPr>
            </w:pPr>
            <w:r>
              <w:rPr>
                <w:rFonts w:ascii="Arial" w:cs="Arial" w:eastAsia="Arial" w:hAnsi="Arial"/>
                <w:sz w:val="18"/>
                <w:szCs w:val="18"/>
                <w:color w:val="auto"/>
                <w:w w:val="98"/>
              </w:rPr>
              <w:t>44,870</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135"/>
              <w:spacing w:after="0"/>
              <w:rPr>
                <w:sz w:val="20"/>
                <w:szCs w:val="20"/>
                <w:color w:val="auto"/>
              </w:rPr>
            </w:pPr>
            <w:r>
              <w:rPr>
                <w:rFonts w:ascii="Arial" w:cs="Arial" w:eastAsia="Arial" w:hAnsi="Arial"/>
                <w:sz w:val="18"/>
                <w:szCs w:val="18"/>
                <w:color w:val="auto"/>
              </w:rPr>
              <w:t>(108,779)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379"/>
              <w:spacing w:after="0"/>
              <w:rPr>
                <w:sz w:val="20"/>
                <w:szCs w:val="20"/>
                <w:color w:val="auto"/>
              </w:rPr>
            </w:pPr>
            <w:r>
              <w:rPr>
                <w:rFonts w:ascii="Arial" w:cs="Arial" w:eastAsia="Arial" w:hAnsi="Arial"/>
                <w:sz w:val="18"/>
                <w:szCs w:val="18"/>
                <w:color w:val="auto"/>
                <w:w w:val="98"/>
              </w:rPr>
              <w:t>52,554</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98"/>
              </w:rPr>
              <w:t>212,620</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Net cash used in operating activities was $50.4 million for the year ended January 31, 2025 as compared to $166.4 million for the year ended January 31, 2024. The decrease in net cash used was primarily due to a decrease in net loss, offset by a decrease in non-cash loss on fair value adjustments, and the net impact of changes in operating assets and liabilities. The changes in operating assets and liabilities include the reversal of the tax contingency in the year ended January 31, 2024 impacting other non-current liabilities, a change in accounts payable primarily driven by timing of payments, and an increase in capitalized contract acquisition costs. Refer to Note 1, “Description of Business and Significant Accounting Policies” to the consolidated financial statements included elsewhere in this prospectus for further details regarding our accounting policy for contract acquisition costs.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Net cash provided by investing activities was $44.9 million for the year ended January 31, 2025 as compared to net cash used in investing activities of $108.8 million for the year ended January 31, 2024. The change was primarily related to a decrease in corporate card receivables driven by increased collections and faster turnover of receivables due to moving customers to more frequent payment terms.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Net cash provided by financing activities was $52.6 million for the year ended January 31, 2025 as compared to $212.6 million for the year ended January 31, 2024. The decrease was primarily driven by a change in proceeds and payments from debt borrowings.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conduct business in certain international markets, primarily in Europe in the United Kingdom. Because we operate in international markets, we have exposure to different economic conditions, political climates, tax systems, and regulations that could affect foreign currency exchange rates.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functional currency of our foreign subsidiaries may be the local currency or the U.S. dollar, depending on the primary economic environment in which the subsidiary operates. Consequently, changes in foreign currency exchange rates may impact the translation of those subsidiaries’ financial statements into U.S. dollars.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 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operations and have recorded net foreign currency exchange losses of $4.7 million for fiscal 2025 in other income (expense), net. Future transactional gains and losses are inherently difficult to predict as they depend on how the multiple currencies in which we transact fluctuate in relation to the U.S. dollar and other functional currencies, and the relative composition and denomination of monetary assets and liabilities in each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As of January 31, 2025, we had cash and cash equivalents of $157.7 million. Cash and cash equivalents consist of cash in banks and interest-bearing money market accounts for which the fair market value would be affected by changes in the general level of U.S. interest rates. However, due to the short-term maturities and the low-risk profile of our investments, an immediate 10% change in interest rates would not have a material effect on the fair market value of our cash and cash equivalents.</w:t>
      </w:r>
    </w:p>
    <w:p>
      <w:pPr>
        <w:spacing w:after="0" w:line="12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are also exposed to interest rate risk through fluctuations in interest rates on our debt obligations, some of which carry interest at a floating rate. We seek to manage exposure to adverse interest rate changes through our normal operating and financing activities. As of January 31, 2025, a hypothetical 10% relative change in interest rates would not have a material impact on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The preparation of our consolidated financial statements requires us to make estimates and assumptions that affect the reported amounts of revenue,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w:t>
      </w:r>
    </w:p>
    <w:p>
      <w:pPr>
        <w:spacing w:after="0" w:line="1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results of operations are described below. For further information, see Note 1, “Description of Business and Significant Accounting Policies” to the consolidated financial statements included elsewhere in this prospectus.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payment partners are generally earned on a per transaction basis or based on cumulative actual booking or transaction dollar volume relative to minimum contractual targets. Our travel supply partners include airlines, hotels, car rental companies, rail carriers, and providers of GDSs. Our payment partners primarily include our corporate card payment processors.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Platform Customers</w:t>
      </w:r>
    </w:p>
    <w:p>
      <w:pPr>
        <w:spacing w:after="0" w:line="169"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122"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Travel Supply and Payment Partner Fees</w:t>
      </w:r>
    </w:p>
    <w:p>
      <w:pPr>
        <w:spacing w:after="0" w:line="16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12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capitalize incremental costs of obtaining a contract with a customer if the costs are recoverable. These costs, which primarily consist of sales commissions, are deferred and amortized on a straight-line basis over the period of benefit, which we have estimated to be five years. We estimate the period of benefit by primarily taking into consideration the average customer life, among other factors. During fiscal 2025, we capitalized $ 23.7 million of contract acquisition costs and recognized related amortization expense of $5.6 million. Amortization expense is included in sales and marketing expense in the consolidated statements of operations.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Embedded Derivative Liability</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embedded derivative liability is bifurcated from the convertible notes issued in June 2020. Refer to the section titled “—Debt Obligations” and in Note 8, “Debt” to the consolidated financial statements included elsewhere in this prospectus for further information regarding the convertible notes. The embedded derivative liability was measured at fair value on the date of issuance, and is remeasured to fair value each reporting period until conversion, with changes in the fair value recognized as a component of gain (loss) on fair value adjustments in the accompanying consolidated statements of operations.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 involved in this determination. Refer to Note 3, “Fair Value Measurements” to the consolidated financial statements included elsewhere in this prospectus for further information regarding the significant inputs used in measuring the fair value of the embedded derivative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Stock-based compensation expense is recognized over the requisite service period, which is generally over the vesting term of four years, on a straight-line basis for all stock-based payments that are granted to employees, non-employees and directors, including grants of employee stock options and other stock-based awards, that vest based on time-based service vesting conditions. Equity-classified awards issued to employees, non-employees such as consultants and non-employee directors are measured at the grant-date fair value of the award. Forfeitures are recognized as they occur. We estimate the grant-date fair value of stock options using the Black-Scholes option pricing model.</w:t>
      </w:r>
    </w:p>
    <w:p>
      <w:pPr>
        <w:spacing w:after="0" w:line="128"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The Black-Scholes option-pricing model requires the input of highly subjective assumptions in estimating the fair value of stock-based awards. These variables include:</w:t>
      </w:r>
    </w:p>
    <w:p>
      <w:pPr>
        <w:spacing w:after="0" w:line="99" w:lineRule="exact"/>
        <w:rPr>
          <w:sz w:val="20"/>
          <w:szCs w:val="20"/>
          <w:color w:val="auto"/>
        </w:rPr>
      </w:pPr>
    </w:p>
    <w:p>
      <w:pPr>
        <w:ind w:left="660" w:right="12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As our shares of common stock are not publicly traded, the fair value was determined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with input from management and valuation reports prepared by third-party valuation specialists.</w:t>
      </w:r>
    </w:p>
    <w:p>
      <w:pPr>
        <w:spacing w:after="0" w:line="9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 available on U.S. Treasury zero-coupon issues with a term</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approximates the expected term of the option.</w:t>
      </w:r>
    </w:p>
    <w:p>
      <w:pPr>
        <w:spacing w:after="0" w:line="98"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stock-based awards are expected to be outstanding. Since we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historical information to develop reasonable expectations about future exercise behavior, the expected term for options issued to employees was calculated as the mean of the option vesting period and contractual term. The expected term for options issued to non-employees is the contractual term.</w:t>
      </w:r>
    </w:p>
    <w:p>
      <w:pPr>
        <w:spacing w:after="0" w:line="122" w:lineRule="exact"/>
        <w:rPr>
          <w:rFonts w:ascii="Arial" w:cs="Arial" w:eastAsia="Arial" w:hAnsi="Arial"/>
          <w:sz w:val="18"/>
          <w:szCs w:val="18"/>
          <w:color w:val="auto"/>
        </w:rPr>
      </w:pPr>
    </w:p>
    <w:p>
      <w:pPr>
        <w:ind w:left="660" w:right="64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we have no trading history of our common stock, the expected volatility is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peer group public companies that we consider to be comparable to our business over a period equivalent to the expected term of the stock-based grants.</w:t>
      </w:r>
    </w:p>
    <w:p>
      <w:pPr>
        <w:spacing w:after="0" w:line="116"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we applied an expected dividend yield of zero.</w:t>
      </w:r>
    </w:p>
    <w:p>
      <w:pPr>
        <w:spacing w:after="0" w:line="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RSUs are subject to both time-based service and performance-based vesting conditions, which may be satisfied by either an initial public offering, including this offering, or the sale of our company, neither of which, for accounting purposes, are considered probable until they occur. The fair value of new or modified RSU awards is equal to the grant date fair value of the Company’s common stock. These RSUs generally vest over a four-year period based on the achievement of specified qualifying events, subject to continued service through the applicable vesting dates. Compensation cost is recognized over the requisite service period when it is probable that the performance-based condition will be satisfied. In the period in which the performance-based condition becomes probable, we will record cumulative stock-based compensation expense for the service period completed to such date and will begin recording stock-based compensation expense using the accelerated attribution method based on the grant-date fair value of the RSUs for awards where the service period is not complete.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of this offering, we will recognize a significant non-cash cumulative stock-based compensation charge for RSUs for</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which the service-based vesting condition has been satisfied. As of , 2025, the total unrecognized stock-based compensation expense related to RSUs for which the service-based vesting condition had been satisfied or partially satisfied as of , 2025 was approximately $ million, calculated using the accelerated attribution method. Unrecognized stock-based compensation expense related to unvested RSUs that have not met the service condition as of , 2025 was $ million, which would be recognized over a weighted-average period of approximately years if the performance-based condition had occurred on or was probable as of , 2025. We expect to recognize the remaining unrecognized non-cash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2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RSUs that were outstanding as of the closing of this offering using the accelerated attribution method, net of forfeitures, as the service-based vesting condition is satisfied. After the closing of this offering, based on RSUs outstanding as of , 2025, we expect that approximately million, million, and million RSUs will satisfy their service-based vesting conditions by each of , , and , respectively, assuming no forfeitures. We may delay the settlement of certain of these vested RSUs until after the expiration of lock-up agreements and market stand-off provisions described elsewhere in this prospectus.</w:t>
      </w:r>
    </w:p>
    <w:p>
      <w:pPr>
        <w:spacing w:after="0" w:line="125" w:lineRule="exact"/>
        <w:rPr>
          <w:sz w:val="20"/>
          <w:szCs w:val="20"/>
          <w:color w:val="auto"/>
        </w:rPr>
      </w:pPr>
    </w:p>
    <w:p>
      <w:pPr>
        <w:ind w:right="1160" w:firstLine="324"/>
        <w:spacing w:after="0" w:line="287" w:lineRule="auto"/>
        <w:rPr>
          <w:sz w:val="20"/>
          <w:szCs w:val="20"/>
          <w:color w:val="auto"/>
        </w:rPr>
      </w:pPr>
      <w:r>
        <w:rPr>
          <w:rFonts w:ascii="Arial" w:cs="Arial" w:eastAsia="Arial" w:hAnsi="Arial"/>
          <w:sz w:val="18"/>
          <w:szCs w:val="18"/>
          <w:color w:val="auto"/>
        </w:rPr>
        <w:t>Additionally, as of , 2025, unrecognized stock-based compensation expense related to unvested stock options was $ million, which is expected to be recognized over a weighted-average period of years.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6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The fair value of our common stock underlying our equity awards was determined by our board of directors, after considering contemporaneous third-party valuations and input from management. The valuations of our common stock were determined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In the absence of a public trading market, our board of directors, with input from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significant judgment and considered various objective and subjective factors to determine the fair value of our common stock as of the date of each stock option grant, including the following factors:</w:t>
      </w:r>
    </w:p>
    <w:p>
      <w:pPr>
        <w:spacing w:after="0" w:line="128"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prices paid for common or redeemable convertible preferred stock sold to third-party investors by us and prices paid in secondary transactions for shares repurchased by us or other investors in arm’s-length transactions, including any tender offers;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lack of marketability inherent in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current business conditions and projections;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history of the company and the introduction of new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likelihood of achieving a performance event, such as an initial public offering, a merger, or acquisition of our company given prevailing market conditions;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operational and financial performance of comparable publicly traded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 and the global capital market conditions and overall economic conditions.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valuing our common stock, the fair value of the total equity of our business was determined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that is derived from an analysis of the cost of capital of comparable publicly traded companies in our industry or similar business operations as of each valuation date and is adjusted to reflect the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47"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inherent in our cash flows. The market approach estimates value based on a comparison of the subject company to comparable publicly traded companies in a similar line of business. From the comparable companies, a representative market multiple is determined and then applied to the subject company’s financial forecasts to estimate the value of the subject company based on this approach.</w:t>
      </w:r>
    </w:p>
    <w:p>
      <w:pPr>
        <w:spacing w:after="0" w:line="117"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In valuing our common stock and to allocate value across share classes, we applied a hybrid probability-weighted expected return method, or PWERM, as the principal equity allocation method. The PWERM incorporated two scenarios: an initial public offering scenario and a remain private scenario, which utilized an option-pricing method. As appropriate, a discount for lack of marketability was considered and applied in arriving at the concluded value for our common stock.</w:t>
      </w:r>
    </w:p>
    <w:p>
      <w:pPr>
        <w:spacing w:after="0" w:line="12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prices paid in the transactions an appropriate weighting in the valuation of our common stock. Factors considered include the number of different buyers and sellers, transaction volume, timing relative to the valuation date, whether the transactions occurred between willing and unrelated parties, the cadence in which the secondary transactions occur, and whether the transactions involved investors with access to our financial information, among other factors.</w:t>
      </w:r>
    </w:p>
    <w:p>
      <w:pPr>
        <w:spacing w:after="0" w:line="12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to any or all of these estimates and assumptions, or the relationships between those assumptions, impact our valuations as of each valuation date and may have a material impact on the value of our common stock.</w:t>
      </w:r>
    </w:p>
    <w:p>
      <w:pPr>
        <w:spacing w:after="0" w:line="125"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Upon completion of this offering, our Class A common stock will be publicly traded, and we will rely on the closing price of our Class A common stock as reported on the date of grant to determine the fair value of our Class A common stock.</w:t>
      </w:r>
    </w:p>
    <w:p>
      <w:pPr>
        <w:spacing w:after="0" w:line="99" w:lineRule="exact"/>
        <w:rPr>
          <w:sz w:val="20"/>
          <w:szCs w:val="20"/>
          <w:color w:val="auto"/>
        </w:rPr>
      </w:pPr>
    </w:p>
    <w:p>
      <w:pPr>
        <w:ind w:left="340"/>
        <w:spacing w:after="0"/>
        <w:tabs>
          <w:tab w:leader="none" w:pos="5680" w:val="left"/>
        </w:tabs>
        <w:rPr>
          <w:sz w:val="20"/>
          <w:szCs w:val="20"/>
          <w:color w:val="auto"/>
        </w:rPr>
      </w:pPr>
      <w:r>
        <w:rPr>
          <w:rFonts w:ascii="Arial" w:cs="Arial" w:eastAsia="Arial" w:hAnsi="Arial"/>
          <w:sz w:val="18"/>
          <w:szCs w:val="18"/>
          <w:color w:val="auto"/>
        </w:rPr>
        <w:t>Based on the assumed initial public offering price per share of $</w:t>
      </w:r>
      <w:r>
        <w:rPr>
          <w:sz w:val="20"/>
          <w:szCs w:val="20"/>
          <w:color w:val="auto"/>
        </w:rPr>
        <w:tab/>
      </w:r>
      <w:r>
        <w:rPr>
          <w:rFonts w:ascii="Arial" w:cs="Arial" w:eastAsia="Arial" w:hAnsi="Arial"/>
          <w:sz w:val="17"/>
          <w:szCs w:val="17"/>
          <w:color w:val="auto"/>
        </w:rPr>
        <w:t>, which is the midpoint of the offering price range set forth on the</w:t>
      </w:r>
    </w:p>
    <w:p>
      <w:pPr>
        <w:spacing w:after="0" w:line="27" w:lineRule="exact"/>
        <w:rPr>
          <w:sz w:val="20"/>
          <w:szCs w:val="20"/>
          <w:color w:val="auto"/>
        </w:rPr>
      </w:pPr>
    </w:p>
    <w:p>
      <w:pPr>
        <w:spacing w:after="0"/>
        <w:tabs>
          <w:tab w:leader="none" w:pos="8320" w:val="left"/>
          <w:tab w:leader="none" w:pos="9840" w:val="left"/>
        </w:tabs>
        <w:rPr>
          <w:sz w:val="20"/>
          <w:szCs w:val="20"/>
          <w:color w:val="auto"/>
        </w:rPr>
      </w:pPr>
      <w:r>
        <w:rPr>
          <w:rFonts w:ascii="Arial" w:cs="Arial" w:eastAsia="Arial" w:hAnsi="Arial"/>
          <w:sz w:val="18"/>
          <w:szCs w:val="18"/>
          <w:color w:val="auto"/>
        </w:rPr>
        <w:t>cover page of this prospectus, the aggregate intrinsic value of our outstanding stock options as of</w:t>
      </w:r>
      <w:r>
        <w:rPr>
          <w:sz w:val="20"/>
          <w:szCs w:val="20"/>
          <w:color w:val="auto"/>
        </w:rPr>
        <w:tab/>
      </w:r>
      <w:r>
        <w:rPr>
          <w:rFonts w:ascii="Arial" w:cs="Arial" w:eastAsia="Arial" w:hAnsi="Arial"/>
          <w:sz w:val="18"/>
          <w:szCs w:val="18"/>
          <w:color w:val="auto"/>
        </w:rPr>
        <w:t>, 2025, was $</w:t>
      </w:r>
      <w:r>
        <w:rPr>
          <w:sz w:val="20"/>
          <w:szCs w:val="20"/>
          <w:color w:val="auto"/>
        </w:rPr>
        <w:tab/>
      </w:r>
      <w:r>
        <w:rPr>
          <w:rFonts w:ascii="Arial" w:cs="Arial" w:eastAsia="Arial" w:hAnsi="Arial"/>
          <w:sz w:val="17"/>
          <w:szCs w:val="17"/>
          <w:color w:val="auto"/>
        </w:rPr>
        <w:t>, with</w:t>
      </w:r>
    </w:p>
    <w:p>
      <w:pPr>
        <w:spacing w:after="0" w:line="9" w:lineRule="exact"/>
        <w:rPr>
          <w:sz w:val="20"/>
          <w:szCs w:val="20"/>
          <w:color w:val="auto"/>
        </w:rPr>
      </w:pPr>
    </w:p>
    <w:p>
      <w:pPr>
        <w:ind w:left="560" w:hanging="552"/>
        <w:spacing w:after="0"/>
        <w:tabs>
          <w:tab w:leader="none" w:pos="5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related to vested stock options.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are an "emerging growth company" under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47"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result, our consolidated financial statements may not be comparable to companies that comply with new or revised accounting pronouncements applicable to public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See Note 1, “Description of Business and Significant Accounting Policies” to the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320" w:top="1440" w:right="419" w:bottom="1440" w:gutter="0" w:footer="0" w:header="0"/>
        </w:sectPr>
      </w:pPr>
    </w:p>
    <w:bookmarkStart w:id="119" w:name="page120"/>
    <w:bookmarkEnd w:id="119"/>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Travel is more than just getting from point A to point B; it's the lifeblood of connection in the modern business world. It's about forging those critical in-person relationships with clients and partners, sparking innovation through team collaboration, and empowering employees to grow and succeed. These moments matter, and they demand a travel experience worthy of their importance. We built Navan for the road warriors, for CEOs and CFOs who understand travel’s critical importance to their strategy, the finance teams who demand precision and control, the executive assistants juggling itineraries, and the program admins ensuring seamless events.</w:t>
      </w:r>
    </w:p>
    <w:p>
      <w:pPr>
        <w:spacing w:after="0" w:line="125"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Navan is an end-to-end, AI-powered software platform built to simplify the global business T&amp;E experience, benefiting users, customers, and suppliers. From day one, we leveraged technology to reimagine business travel. We built a comprehensive platform that serves as the foundation for further disruption. We deliver delightful, personalized experiences for users, efficiency and control for customers, and direct market access for suppliers—all powered by our proprietary AI framework, Navan Cognition.</w:t>
      </w:r>
    </w:p>
    <w:p>
      <w:pPr>
        <w:spacing w:after="0" w:line="12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saw firsthand the frustration of clunky, outdated systems. Travelers were forced to cobble together solutions, wait for hours on hold to book or change travel, and negotiate with travel agents. They struggled to adhere to company policies, with little visibility into those policies, and after all that, they spent even more time on tedious expense reports after a trip. We felt the pain of finance teams struggling to gain visibility into fragmented travel spending and to enforce policies, and the frustration of suppliers unable to connect directly with the high-value business travelers they sought to serve.</w:t>
      </w:r>
    </w:p>
    <w:p>
      <w:pPr>
        <w:spacing w:after="0" w:line="1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Navan challenges this status quo by putting all three constituents—users, customers, and suppliers—at the heart of an integrated global platform. With Navan, users enjoy intuitive, AI-powered booking that anticipates users’ needs and takes a fraction of the time of legacy booking systems. Users also get expense management and clear policy guidance built-in. Customers gain real-time visibility, cost control, and safety oversight, and suppliers gain direct access to the customers who matter most. Instead of having to compromise, every group benefits, and the whole network becomes greater than the sum of its parts.</w:t>
      </w:r>
    </w:p>
    <w:p>
      <w:pPr>
        <w:spacing w:after="0" w:line="125"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Navan was built on the premise that to win, all players in the ecosystem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its cohesive offering, Navan is unlocking a smarter, more rewarding future for travel—one where everyone wins.</w:t>
      </w:r>
    </w:p>
    <w:p>
      <w:pPr>
        <w:spacing w:after="0" w:line="1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CSAT score of , our virtual agent CSAT score of , and NPS of , each as of , 2025. When frequent travelers have a positive, efficient experience and earn rewards, they are more</w:t>
      </w:r>
    </w:p>
    <w:p>
      <w:pPr>
        <w:spacing w:after="0" w:line="2"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likely to use Navan. The increased adoption gives the customer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128"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From day one, Navan has leveraged artificial intelligence as a cornerstone of our platform. We built Navan Cognition, a new paradigm in AI-powered travel management. This proprietary framework enables us to create, train,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deploy, and supervise specialized virtual agents that can handle many complex tasks previously requiring human intervention. We make every step of the pre-booking, in-travel, and post-trip process as delightful and automated as possible. In fiscal 2025, 90% of bookings were made online or through mobile applications on the Navan platform. Our users on average are able to book a trip in seven minutes, far faster than the industry average of 45 minutes. And, in the majority of cases, users can resolve trip changes with a virtual agent, which Navan was one of the first in its industry to offer.</w:t>
      </w:r>
    </w:p>
    <w:p>
      <w:pPr>
        <w:spacing w:after="0" w:line="1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strategy is to land a customer with our Travel offering, delight our users and customers, broaden their engagement with Navan, and seek to manage all of their payments, expenses, VIP needs, meetings and events, and bleisure travel on our platform. As of , 2025, % of customers attached to three or more offerings.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128"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Our platform is easy-to-use, yet powerful enough to address customers of all sizes across any industry vertical. As of January 31, 2025, we had over 10,000 active customers up 27% from over 8,000 active customers as of fiscal 2024. Our revenue grew 33% year-over-year from $402 million in fiscal 2024 to $537 million in fiscal 2025. Our gross booking volume grew 32% year-over-year from $5.0 billion in fiscal 2024 to $6.6 billion in fiscal 2025. Our payment volume grew 35% year-over-year from $2.7 billion in fiscal 2024 to $3.7 billion in fiscal 2025.</w:t>
      </w:r>
    </w:p>
    <w:p>
      <w:pPr>
        <w:spacing w:after="0" w:line="122"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Our proprietary AI framework, Navan Cognition, significantly enhances support capabilities and has improved our gross margins, while leveraging powerful technology capabilities across our platform, making Navan an increasingly formidable competitor. For example, our AI-</w:t>
      </w:r>
    </w:p>
    <w:p>
      <w:pPr>
        <w:ind w:right="260"/>
        <w:spacing w:after="0" w:line="254" w:lineRule="auto"/>
        <w:rPr>
          <w:sz w:val="20"/>
          <w:szCs w:val="20"/>
          <w:color w:val="auto"/>
        </w:rPr>
      </w:pPr>
      <w:r>
        <w:rPr>
          <w:rFonts w:ascii="Arial" w:cs="Arial" w:eastAsia="Arial" w:hAnsi="Arial"/>
          <w:sz w:val="18"/>
          <w:szCs w:val="18"/>
          <w:color w:val="auto"/>
        </w:rPr>
        <w:t>powered virtual agent chatbot, Ava, was capable of effectively handling % of customer interactions as of , 2025. Our GAAP gross margin improved from 60% in fiscal 2024 to 68% in fiscal 2025. Our non-GAAP gross margin improved from 62% in fiscal 2024 to 69% in fiscal 2025. See the section titled “Management’s Discussion and Analysis of Financial Condition and Results of Operations—Non-GAAP Financial Measures” for information regarding our use of non-GAAP gross margin and a reconciliation of gross margin to non-GAAP gross margin.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Navan’s Opportunity: Reshaping an Industry that Has Not Changed in 30 Years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Travel and Expense Management is a Large and Highly Fragmented Industry</w:t>
      </w:r>
    </w:p>
    <w:p>
      <w:pPr>
        <w:spacing w:after="0" w:line="169"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Global travel is a massive and complex industry. According to the World Travel &amp; Tourism Council, the travel and tourism sector’s contribution to the global economy reached $10.9 trillion in 2024, representing 10% of the global economy.</w:t>
      </w:r>
    </w:p>
    <w:p>
      <w:pPr>
        <w:spacing w:after="0" w:line="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Over the last two decades, consumer travel has undergone significant innovation, with technology-driven marketplaces enhancing the user experience and simplifying transactions. Online penetration of global travel sales increased from 58% in 2019 to 66% in 2023, according to Euromonitor. For personal travel, which is often simpler by nature, consumers have grown accustomed to experiencing a high level of personalization and self-driven discovery. As personal travel has increased in online bookings, so have expectations around seamless booking, access to greater inventory and optionality.</w:t>
      </w:r>
    </w:p>
    <w:p>
      <w:pPr>
        <w:spacing w:after="0" w:line="1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Business travel tools, by contrast, were built to serve companies and their policies, not users. The experience of travel is plagued by antiquated technology in a sector that is still largely offline, often driven and supported by people-intense agencies and aggregators. Users are often forced to navigate multiple platforms with inadequate inventories, and to book and manage various aspects of their trip, from flights and lodging to ground transportation. Business travelers also need to ensure their choices adhere to company policies that are further complicated by the tedious, manual processes involved in expense reporting after the trip. This burden falls increasingly on travelers who are mission critical to their companies, diverting the time and focus of employees ranging from top executives and their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4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assistants to sales leaders. A thoughtfully designed travel experience not only respects these individuals’ valuable time, it becomes a strategic advantage for their companies.</w:t>
      </w:r>
    </w:p>
    <w:p>
      <w:pPr>
        <w:spacing w:after="0" w:line="9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challenge of delivering a seamless user experience for travel is exacerbated by a highly fragmented industry that imposes high costs and significant inefficiencies on businesses. A single business trip may require over ten different tools, systems, and workflows to book travel and manage expenses for one traveler: multiple suppliers to provide inventory, legacy inventory networks, a travel management company, a different platform for booking travel and lodging, travel and expense management software point solutions, other separate reporting and analytics tools to evaluate travel spend, a tool to ensure duty of care, a vendor for meetings and events, software for itinerary management, a payments platform, a corporate card offering, and a disconnected offering for rewards.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and Expense Management is Highly Fragmented Industry of Suppliers and Point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120650</wp:posOffset>
            </wp:positionV>
            <wp:extent cx="5143500" cy="2468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think of this ecosystem in the following categories: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Suppliers</w:t>
      </w:r>
    </w:p>
    <w:p>
      <w:pPr>
        <w:spacing w:after="0" w:line="169" w:lineRule="exact"/>
        <w:rPr>
          <w:sz w:val="20"/>
          <w:szCs w:val="20"/>
          <w:color w:val="auto"/>
        </w:rPr>
      </w:pPr>
    </w:p>
    <w:p>
      <w:pPr>
        <w:ind w:left="660" w:right="260" w:hanging="328"/>
        <w:spacing w:after="0" w:line="28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Traditional Inventory. </w:t>
      </w:r>
      <w:r>
        <w:rPr>
          <w:rFonts w:ascii="Arial" w:cs="Arial" w:eastAsia="Arial" w:hAnsi="Arial"/>
          <w:sz w:val="18"/>
          <w:szCs w:val="18"/>
          <w:color w:val="auto"/>
        </w:rPr>
        <w:t>Includes airlines, hotels, rail carriers, car rental agencies, and black car operators that sell and provide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Suppliers make money by selling their inventory to travelers either directly or indirectly through TMCs.</w:t>
      </w:r>
    </w:p>
    <w:p>
      <w:pPr>
        <w:spacing w:after="0" w:line="98" w:lineRule="exact"/>
        <w:rPr>
          <w:rFonts w:ascii="Arial" w:cs="Arial" w:eastAsia="Arial" w:hAnsi="Arial"/>
          <w:sz w:val="18"/>
          <w:szCs w:val="18"/>
          <w:color w:val="auto"/>
        </w:rPr>
      </w:pPr>
    </w:p>
    <w:p>
      <w:pPr>
        <w:ind w:left="660" w:right="300" w:hanging="328"/>
        <w:spacing w:after="0" w:line="259"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Travel Management Companies. </w:t>
      </w:r>
      <w:r>
        <w:rPr>
          <w:rFonts w:ascii="Arial" w:cs="Arial" w:eastAsia="Arial" w:hAnsi="Arial"/>
          <w:sz w:val="18"/>
          <w:szCs w:val="18"/>
          <w:color w:val="auto"/>
        </w:rPr>
        <w:t>Travel agencies that book trips on behalf of travelers. Many of the most prominent TMCs were</w:t>
      </w:r>
      <w:r>
        <w:rPr>
          <w:rFonts w:ascii="Arial" w:cs="Arial" w:eastAsia="Arial" w:hAnsi="Arial"/>
          <w:sz w:val="18"/>
          <w:szCs w:val="18"/>
          <w:i w:val="1"/>
          <w:iCs w:val="1"/>
          <w:color w:val="auto"/>
        </w:rPr>
        <w:t xml:space="preserve"> </w:t>
      </w:r>
      <w:r>
        <w:rPr>
          <w:rFonts w:ascii="Arial" w:cs="Arial" w:eastAsia="Arial" w:hAnsi="Arial"/>
          <w:sz w:val="18"/>
          <w:szCs w:val="18"/>
          <w:color w:val="auto"/>
        </w:rPr>
        <w:t>founded decades ago and primarily work offline with phone call bookings, changing travel bookings, high-touch customer service, and minimal technology. TMCs make money through commissions paid by suppliers in addition to one-off fees for completing bookings, providing additional support, or offering after-hours help, in particular. TMCs are financially incentivized to book travel through suppliers that provide them with the highest commission.</w:t>
      </w:r>
    </w:p>
    <w:p>
      <w:pPr>
        <w:spacing w:after="0" w:line="125" w:lineRule="exact"/>
        <w:rPr>
          <w:rFonts w:ascii="Arial" w:cs="Arial" w:eastAsia="Arial" w:hAnsi="Arial"/>
          <w:sz w:val="18"/>
          <w:szCs w:val="18"/>
          <w:color w:val="auto"/>
        </w:rPr>
      </w:pPr>
    </w:p>
    <w:p>
      <w:pPr>
        <w:ind w:left="980" w:right="420" w:hanging="324"/>
        <w:spacing w:after="0" w:line="287" w:lineRule="auto"/>
        <w:tabs>
          <w:tab w:leader="none" w:pos="976"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Traveler Data. </w:t>
      </w:r>
      <w:r>
        <w:rPr>
          <w:rFonts w:ascii="Arial" w:cs="Arial" w:eastAsia="Arial" w:hAnsi="Arial"/>
          <w:sz w:val="18"/>
          <w:szCs w:val="18"/>
          <w:color w:val="auto"/>
        </w:rPr>
        <w:t>TMCs have access to and maintain detailed information about the traveler's schedule, including dates, times,</w:t>
      </w:r>
      <w:r>
        <w:rPr>
          <w:rFonts w:ascii="Arial" w:cs="Arial" w:eastAsia="Arial" w:hAnsi="Arial"/>
          <w:sz w:val="18"/>
          <w:szCs w:val="18"/>
          <w:i w:val="1"/>
          <w:iCs w:val="1"/>
          <w:color w:val="auto"/>
        </w:rPr>
        <w:t xml:space="preserve"> </w:t>
      </w:r>
      <w:r>
        <w:rPr>
          <w:rFonts w:ascii="Arial" w:cs="Arial" w:eastAsia="Arial" w:hAnsi="Arial"/>
          <w:sz w:val="18"/>
          <w:szCs w:val="18"/>
          <w:color w:val="auto"/>
        </w:rPr>
        <w:t>flight numbers, hotel bookings, and other transportation arrangements.</w:t>
      </w:r>
    </w:p>
    <w:p>
      <w:pPr>
        <w:spacing w:after="0" w:line="98" w:lineRule="exact"/>
        <w:rPr>
          <w:rFonts w:ascii="Arial" w:cs="Arial" w:eastAsia="Arial" w:hAnsi="Arial"/>
          <w:sz w:val="18"/>
          <w:szCs w:val="18"/>
          <w:color w:val="auto"/>
        </w:rPr>
      </w:pPr>
    </w:p>
    <w:p>
      <w:pPr>
        <w:ind w:left="980" w:right="240" w:hanging="324"/>
        <w:spacing w:after="0" w:line="287" w:lineRule="auto"/>
        <w:tabs>
          <w:tab w:leader="none" w:pos="976"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Travel Agent. </w:t>
      </w:r>
      <w:r>
        <w:rPr>
          <w:rFonts w:ascii="Arial" w:cs="Arial" w:eastAsia="Arial" w:hAnsi="Arial"/>
          <w:sz w:val="18"/>
          <w:szCs w:val="18"/>
          <w:color w:val="auto"/>
        </w:rPr>
        <w:t>TMCs typically offer agent support via email, phone, or in-app chat to travelers to deal with last-minute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emergencies, and other travel-related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247" w:lineRule="exact"/>
        <w:rPr>
          <w:sz w:val="20"/>
          <w:szCs w:val="20"/>
          <w:color w:val="auto"/>
        </w:rPr>
      </w:pPr>
    </w:p>
    <w:p>
      <w:pPr>
        <w:ind w:left="648" w:right="180" w:hanging="324"/>
        <w:spacing w:after="0" w:line="268" w:lineRule="auto"/>
        <w:tabs>
          <w:tab w:leader="none" w:pos="644"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Supplier Spend Data. </w:t>
      </w:r>
      <w:r>
        <w:rPr>
          <w:rFonts w:ascii="Arial" w:cs="Arial" w:eastAsia="Arial" w:hAnsi="Arial"/>
          <w:sz w:val="18"/>
          <w:szCs w:val="18"/>
          <w:color w:val="auto"/>
        </w:rPr>
        <w:t>Supplier negotiations are a key area where data makes a difference. By analyzing past booking patterns,</w:t>
      </w:r>
      <w:r>
        <w:rPr>
          <w:rFonts w:ascii="Arial" w:cs="Arial" w:eastAsia="Arial" w:hAnsi="Arial"/>
          <w:sz w:val="18"/>
          <w:szCs w:val="18"/>
          <w:i w:val="1"/>
          <w:iCs w:val="1"/>
          <w:color w:val="auto"/>
        </w:rPr>
        <w:t xml:space="preserve"> </w:t>
      </w:r>
      <w:r>
        <w:rPr>
          <w:rFonts w:ascii="Arial" w:cs="Arial" w:eastAsia="Arial" w:hAnsi="Arial"/>
          <w:sz w:val="18"/>
          <w:szCs w:val="18"/>
          <w:color w:val="auto"/>
        </w:rPr>
        <w:t>spend volumes, and traveler preferences, TMCs enable companies to negotiate contracts that maximize value. Companies leveraging TMC data can save money on supplier contracts.</w:t>
      </w:r>
    </w:p>
    <w:p>
      <w:pPr>
        <w:spacing w:after="0" w:line="116" w:lineRule="exact"/>
        <w:rPr>
          <w:rFonts w:ascii="Arial" w:cs="Arial" w:eastAsia="Arial" w:hAnsi="Arial"/>
          <w:sz w:val="18"/>
          <w:szCs w:val="18"/>
          <w:color w:val="auto"/>
        </w:rPr>
      </w:pPr>
    </w:p>
    <w:p>
      <w:pPr>
        <w:ind w:left="328" w:hanging="328"/>
        <w:spacing w:after="0" w:line="256"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Global Distribution System. </w:t>
      </w:r>
      <w:r>
        <w:rPr>
          <w:rFonts w:ascii="Arial" w:cs="Arial" w:eastAsia="Arial" w:hAnsi="Arial"/>
          <w:sz w:val="18"/>
          <w:szCs w:val="18"/>
          <w:color w:val="auto"/>
        </w:rPr>
        <w:t>An inventory network built to display real-time availability of inventory from various suppliers. TMCs use a</w:t>
      </w:r>
      <w:r>
        <w:rPr>
          <w:rFonts w:ascii="Arial" w:cs="Arial" w:eastAsia="Arial" w:hAnsi="Arial"/>
          <w:sz w:val="18"/>
          <w:szCs w:val="18"/>
          <w:i w:val="1"/>
          <w:iCs w:val="1"/>
          <w:color w:val="auto"/>
        </w:rPr>
        <w:t xml:space="preserve"> </w:t>
      </w:r>
      <w:r>
        <w:rPr>
          <w:rFonts w:ascii="Arial" w:cs="Arial" w:eastAsia="Arial" w:hAnsi="Arial"/>
          <w:sz w:val="18"/>
          <w:szCs w:val="18"/>
          <w:color w:val="auto"/>
        </w:rPr>
        <w:t>GDS to book travel on behalf of business customers. Many GDSs were developed in the 1960s, 1970s, and 1980s and were built on original distribution technology and data models, called EDIFACT, tied to a few of the major global airlines. EDIFACT systems may lack dynamic pricing or have content gaps compared to newer distribution channels, and are restrictive on their capabilities to service travel due to a fixed data structure and toolset. GDSs were originally built as a back-end display tool without an online marketplace on which to transact. Over time, GDSs have added computer reservation systems and new distribution technology to facilitate transactions. GDSs make money by charging a fee per transaction sourced from their inventory network.</w:t>
      </w:r>
    </w:p>
    <w:p>
      <w:pPr>
        <w:spacing w:after="0" w:line="128" w:lineRule="exact"/>
        <w:rPr>
          <w:rFonts w:ascii="Arial" w:cs="Arial" w:eastAsia="Arial" w:hAnsi="Arial"/>
          <w:sz w:val="18"/>
          <w:szCs w:val="18"/>
          <w:color w:val="auto"/>
        </w:rPr>
      </w:pPr>
    </w:p>
    <w:p>
      <w:pPr>
        <w:ind w:left="328" w:right="20" w:hanging="328"/>
        <w:spacing w:after="0" w:line="268"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Low-Cost Carriers. </w:t>
      </w:r>
      <w:r>
        <w:rPr>
          <w:rFonts w:ascii="Arial" w:cs="Arial" w:eastAsia="Arial" w:hAnsi="Arial"/>
          <w:sz w:val="18"/>
          <w:szCs w:val="18"/>
          <w:color w:val="auto"/>
        </w:rPr>
        <w:t>Airlines with no-frills models that are not accessed by traditional GDSs, requiring TMCs and travel platforms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direct connections. While LCCs offer cost savings, they pose challenges for integration, reporting, and access to negotiated fares.</w:t>
      </w:r>
    </w:p>
    <w:p>
      <w:pPr>
        <w:spacing w:after="0" w:line="116" w:lineRule="exact"/>
        <w:rPr>
          <w:rFonts w:ascii="Arial" w:cs="Arial" w:eastAsia="Arial" w:hAnsi="Arial"/>
          <w:sz w:val="18"/>
          <w:szCs w:val="18"/>
          <w:color w:val="auto"/>
        </w:rPr>
      </w:pPr>
    </w:p>
    <w:p>
      <w:pPr>
        <w:ind w:left="328" w:right="120" w:hanging="328"/>
        <w:spacing w:after="0" w:line="268"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Online Travel Agencies, or OTAs. </w:t>
      </w:r>
      <w:r>
        <w:rPr>
          <w:rFonts w:ascii="Arial" w:cs="Arial" w:eastAsia="Arial" w:hAnsi="Arial"/>
          <w:sz w:val="18"/>
          <w:szCs w:val="18"/>
          <w:color w:val="auto"/>
        </w:rPr>
        <w:t>Online platforms that act as intermediaries between travelers and travel providers such as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hotels. OTAs often include commission fees and rate parity requirements mandating consistent pricing across all distribution channels.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Point Solutions</w:t>
      </w:r>
    </w:p>
    <w:p>
      <w:pPr>
        <w:spacing w:after="0" w:line="169" w:lineRule="exact"/>
        <w:rPr>
          <w:sz w:val="20"/>
          <w:szCs w:val="20"/>
          <w:color w:val="auto"/>
        </w:rPr>
      </w:pPr>
    </w:p>
    <w:p>
      <w:pPr>
        <w:ind w:left="328" w:right="220" w:hanging="328"/>
        <w:spacing w:after="0" w:line="268"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Payments Solution. </w:t>
      </w:r>
      <w:r>
        <w:rPr>
          <w:rFonts w:ascii="Arial" w:cs="Arial" w:eastAsia="Arial" w:hAnsi="Arial"/>
          <w:sz w:val="18"/>
          <w:szCs w:val="18"/>
          <w:color w:val="auto"/>
        </w:rPr>
        <w:t>Payment processing software that automates the sending and receiving of payments, streamlining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and reducing manual tasks. It helps businesses accept payments online, manage payment data, track transactions, and reconcile payments with accounting systems.</w:t>
      </w:r>
    </w:p>
    <w:p>
      <w:pPr>
        <w:spacing w:after="0" w:line="116" w:lineRule="exact"/>
        <w:rPr>
          <w:rFonts w:ascii="Arial" w:cs="Arial" w:eastAsia="Arial" w:hAnsi="Arial"/>
          <w:sz w:val="18"/>
          <w:szCs w:val="18"/>
          <w:color w:val="auto"/>
        </w:rPr>
      </w:pPr>
    </w:p>
    <w:p>
      <w:pPr>
        <w:ind w:left="328" w:right="120" w:hanging="328"/>
        <w:spacing w:after="0" w:line="268"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T&amp;E Management. </w:t>
      </w:r>
      <w:r>
        <w:rPr>
          <w:rFonts w:ascii="Arial" w:cs="Arial" w:eastAsia="Arial" w:hAnsi="Arial"/>
          <w:sz w:val="18"/>
          <w:szCs w:val="18"/>
          <w:color w:val="auto"/>
        </w:rPr>
        <w:t>Powering the bespoke demands of business travel requires intricate back-end system integrations, workflow</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automation, as well as real-time reporting and analytics—capabilities that no traditional provider offers in a unified software solution. Key requirements to enable business travel expense management include:</w:t>
      </w:r>
    </w:p>
    <w:p>
      <w:pPr>
        <w:spacing w:after="0" w:line="116" w:lineRule="exact"/>
        <w:rPr>
          <w:rFonts w:ascii="Arial" w:cs="Arial" w:eastAsia="Arial" w:hAnsi="Arial"/>
          <w:sz w:val="18"/>
          <w:szCs w:val="18"/>
          <w:color w:val="auto"/>
        </w:rPr>
      </w:pPr>
    </w:p>
    <w:p>
      <w:pPr>
        <w:ind w:left="648" w:right="40" w:hanging="324"/>
        <w:spacing w:after="0" w:line="262" w:lineRule="auto"/>
        <w:tabs>
          <w:tab w:leader="none" w:pos="644"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Expense System</w:t>
      </w:r>
      <w:r>
        <w:rPr>
          <w:rFonts w:ascii="Arial" w:cs="Arial" w:eastAsia="Arial" w:hAnsi="Arial"/>
          <w:sz w:val="18"/>
          <w:szCs w:val="18"/>
          <w:color w:val="auto"/>
        </w:rPr>
        <w:t>. Facilitates financial back office functions to account for and manage transactions, helping companies manage</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control the costs associated with their employees as they travel for work. These systems are designed to give companies visibility into their travel and expense spend, allowing for better cost management. Expense systems also enable payments back to employees for reimbursement of expenses.</w:t>
      </w:r>
    </w:p>
    <w:p>
      <w:pPr>
        <w:spacing w:after="0" w:line="122" w:lineRule="exact"/>
        <w:rPr>
          <w:rFonts w:ascii="Arial" w:cs="Arial" w:eastAsia="Arial" w:hAnsi="Arial"/>
          <w:sz w:val="18"/>
          <w:szCs w:val="18"/>
          <w:color w:val="auto"/>
        </w:rPr>
      </w:pPr>
    </w:p>
    <w:p>
      <w:pPr>
        <w:ind w:left="648" w:right="140" w:hanging="324"/>
        <w:spacing w:after="0" w:line="287" w:lineRule="auto"/>
        <w:tabs>
          <w:tab w:leader="none" w:pos="644"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Policy Management. </w:t>
      </w:r>
      <w:r>
        <w:rPr>
          <w:rFonts w:ascii="Arial" w:cs="Arial" w:eastAsia="Arial" w:hAnsi="Arial"/>
          <w:sz w:val="18"/>
          <w:szCs w:val="18"/>
          <w:color w:val="auto"/>
        </w:rPr>
        <w:t>Allows companies to implement and monitor compliance to company policy and spending limits. These aid</w:t>
      </w:r>
      <w:r>
        <w:rPr>
          <w:rFonts w:ascii="Arial" w:cs="Arial" w:eastAsia="Arial" w:hAnsi="Arial"/>
          <w:sz w:val="18"/>
          <w:szCs w:val="18"/>
          <w:i w:val="1"/>
          <w:iCs w:val="1"/>
          <w:color w:val="auto"/>
        </w:rPr>
        <w:t xml:space="preserve"> </w:t>
      </w:r>
      <w:r>
        <w:rPr>
          <w:rFonts w:ascii="Arial" w:cs="Arial" w:eastAsia="Arial" w:hAnsi="Arial"/>
          <w:sz w:val="18"/>
          <w:szCs w:val="18"/>
          <w:color w:val="auto"/>
        </w:rPr>
        <w:t>in companies’ cost management and help ensure that employees are aware of corporate policies and working within them.</w:t>
      </w:r>
    </w:p>
    <w:p>
      <w:pPr>
        <w:spacing w:after="0" w:line="98" w:lineRule="exact"/>
        <w:rPr>
          <w:rFonts w:ascii="Arial" w:cs="Arial" w:eastAsia="Arial" w:hAnsi="Arial"/>
          <w:sz w:val="18"/>
          <w:szCs w:val="18"/>
          <w:color w:val="auto"/>
        </w:rPr>
      </w:pPr>
    </w:p>
    <w:p>
      <w:pPr>
        <w:ind w:left="648" w:right="120" w:hanging="324"/>
        <w:spacing w:after="0" w:line="268" w:lineRule="auto"/>
        <w:tabs>
          <w:tab w:leader="none" w:pos="644"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Spend Analysis. </w:t>
      </w:r>
      <w:r>
        <w:rPr>
          <w:rFonts w:ascii="Arial" w:cs="Arial" w:eastAsia="Arial" w:hAnsi="Arial"/>
          <w:sz w:val="18"/>
          <w:szCs w:val="18"/>
          <w:color w:val="auto"/>
        </w:rPr>
        <w:t>Allows companies to examine spending across their employee base to identify cost-saving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efficiency, and help their employees make more informed purchasing decisions when traveling. This is often a separate finance application, allowing for better employee transaction and spend management.</w:t>
      </w:r>
    </w:p>
    <w:p>
      <w:pPr>
        <w:spacing w:after="0" w:line="116" w:lineRule="exact"/>
        <w:rPr>
          <w:rFonts w:ascii="Arial" w:cs="Arial" w:eastAsia="Arial" w:hAnsi="Arial"/>
          <w:sz w:val="18"/>
          <w:szCs w:val="18"/>
          <w:color w:val="auto"/>
        </w:rPr>
      </w:pPr>
    </w:p>
    <w:p>
      <w:pPr>
        <w:ind w:left="648" w:right="260" w:hanging="324"/>
        <w:spacing w:after="0" w:line="287" w:lineRule="auto"/>
        <w:tabs>
          <w:tab w:leader="none" w:pos="644"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Duty of Care. </w:t>
      </w:r>
      <w:r>
        <w:rPr>
          <w:rFonts w:ascii="Arial" w:cs="Arial" w:eastAsia="Arial" w:hAnsi="Arial"/>
          <w:sz w:val="18"/>
          <w:szCs w:val="18"/>
          <w:color w:val="auto"/>
        </w:rPr>
        <w:t>Monitors threats to employees and enables two-way communication between a traveler and the security team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inform traveling employees of emerging threats to ensure their safety and well-being.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08"/>
          </w:cols>
          <w:pgMar w:left="652" w:top="1440" w:right="339" w:bottom="1440" w:gutter="0" w:footer="0" w:header="0"/>
        </w:sectPr>
      </w:pPr>
    </w:p>
    <w:bookmarkStart w:id="123" w:name="page124"/>
    <w:bookmarkEnd w:id="123"/>
    <w:p>
      <w:pPr>
        <w:spacing w:after="0" w:line="247" w:lineRule="exact"/>
        <w:rPr>
          <w:sz w:val="20"/>
          <w:szCs w:val="20"/>
          <w:color w:val="auto"/>
        </w:rPr>
      </w:pPr>
    </w:p>
    <w:p>
      <w:pPr>
        <w:ind w:left="980" w:hanging="324"/>
        <w:spacing w:after="0" w:line="262" w:lineRule="auto"/>
        <w:tabs>
          <w:tab w:leader="none" w:pos="97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Meetings and Events. </w:t>
      </w:r>
      <w:r>
        <w:rPr>
          <w:rFonts w:ascii="Arial" w:cs="Arial" w:eastAsia="Arial" w:hAnsi="Arial"/>
          <w:sz w:val="18"/>
          <w:szCs w:val="18"/>
          <w:color w:val="auto"/>
        </w:rPr>
        <w:t>Solutions that promote event organization or meeting attendance across a company’s employee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coordinated booking of travel and accommodations across a common itinerary. These solutions are often separate from traditional business travel solutions, making it difficult to integrate with other parts of the ecosystem like spend analysis and policy management solutions.</w:t>
      </w:r>
    </w:p>
    <w:p>
      <w:pPr>
        <w:spacing w:after="0" w:line="122"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Rewards Programs. </w:t>
      </w:r>
      <w:r>
        <w:rPr>
          <w:rFonts w:ascii="Arial" w:cs="Arial" w:eastAsia="Arial" w:hAnsi="Arial"/>
          <w:sz w:val="18"/>
          <w:szCs w:val="18"/>
          <w:color w:val="auto"/>
        </w:rPr>
        <w:t>Programs where users can obtain rewards for loyalty and usage of hotels, airlines, or other services.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are often fragmented and segregated across airlines and hotel groups, making it difficult to get rewards while adhering to company policies.</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Itinerary Management. </w:t>
      </w:r>
      <w:r>
        <w:rPr>
          <w:rFonts w:ascii="Arial" w:cs="Arial" w:eastAsia="Arial" w:hAnsi="Arial"/>
          <w:sz w:val="18"/>
          <w:szCs w:val="18"/>
          <w:color w:val="auto"/>
        </w:rPr>
        <w:t>Tool that helps users, particularly travel agencies and tour operators, organize and manage detailed travel</w:t>
      </w:r>
      <w:r>
        <w:rPr>
          <w:rFonts w:ascii="Arial" w:cs="Arial" w:eastAsia="Arial" w:hAnsi="Arial"/>
          <w:sz w:val="18"/>
          <w:szCs w:val="18"/>
          <w:i w:val="1"/>
          <w:iCs w:val="1"/>
          <w:color w:val="auto"/>
        </w:rPr>
        <w:t xml:space="preserve"> </w:t>
      </w:r>
      <w:r>
        <w:rPr>
          <w:rFonts w:ascii="Arial" w:cs="Arial" w:eastAsia="Arial" w:hAnsi="Arial"/>
          <w:sz w:val="18"/>
          <w:szCs w:val="18"/>
          <w:color w:val="auto"/>
        </w:rPr>
        <w:t>plans. It consolidates information like flights, accommodations, activities, and transportation into one place, streamlining the planning process and enhancing the customer experience.</w:t>
      </w:r>
    </w:p>
    <w:p>
      <w:pPr>
        <w:spacing w:after="0" w:line="116"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Online Booking Tool, or OBTs. </w:t>
      </w:r>
      <w:r>
        <w:rPr>
          <w:rFonts w:ascii="Arial" w:cs="Arial" w:eastAsia="Arial" w:hAnsi="Arial"/>
          <w:sz w:val="18"/>
          <w:szCs w:val="18"/>
          <w:color w:val="auto"/>
        </w:rPr>
        <w:t>Tech solution allowing travelers to book and manage their travel itineraries in a centralized system.</w:t>
      </w:r>
      <w:r>
        <w:rPr>
          <w:rFonts w:ascii="Arial" w:cs="Arial" w:eastAsia="Arial" w:hAnsi="Arial"/>
          <w:sz w:val="18"/>
          <w:szCs w:val="18"/>
          <w:i w:val="1"/>
          <w:iCs w:val="1"/>
          <w:color w:val="auto"/>
        </w:rPr>
        <w:t xml:space="preserve"> </w:t>
      </w:r>
      <w:r>
        <w:rPr>
          <w:rFonts w:ascii="Arial" w:cs="Arial" w:eastAsia="Arial" w:hAnsi="Arial"/>
          <w:sz w:val="18"/>
          <w:szCs w:val="18"/>
          <w:color w:val="auto"/>
        </w:rPr>
        <w:t>OBTs are a centralized way for company administrators to manage and monitor a company’s travel program.</w:t>
      </w:r>
    </w:p>
    <w:p>
      <w:pPr>
        <w:spacing w:after="0" w:line="9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a result of this disconnected ecosystem, business travelers spend an average of 45 minutes booking a trip, often requiring significant additional time spent calling agents and reconciling expenses. In some instances, travel bookings and changes may take days between emails, calls, and asynchronous feedback between parties. Business travelers are dissatisfied and highly frustrated with existing solutions,</w:t>
      </w:r>
    </w:p>
    <w:p>
      <w:pPr>
        <w:spacing w:after="0" w:line="1" w:lineRule="exact"/>
        <w:rPr>
          <w:sz w:val="20"/>
          <w:szCs w:val="20"/>
          <w:color w:val="auto"/>
        </w:rPr>
      </w:pPr>
    </w:p>
    <w:p>
      <w:pPr>
        <w:spacing w:after="0"/>
        <w:tabs>
          <w:tab w:leader="none" w:pos="3620" w:val="left"/>
          <w:tab w:leader="none" w:pos="6940" w:val="left"/>
        </w:tabs>
        <w:rPr>
          <w:sz w:val="20"/>
          <w:szCs w:val="20"/>
          <w:color w:val="auto"/>
        </w:rPr>
      </w:pPr>
      <w:r>
        <w:rPr>
          <w:rFonts w:ascii="Arial" w:cs="Arial" w:eastAsia="Arial" w:hAnsi="Arial"/>
          <w:sz w:val="18"/>
          <w:szCs w:val="18"/>
          <w:color w:val="auto"/>
        </w:rPr>
        <w:t>reflected in the industry’s low NPS of</w:t>
      </w:r>
      <w:r>
        <w:rPr>
          <w:sz w:val="20"/>
          <w:szCs w:val="20"/>
          <w:color w:val="auto"/>
        </w:rPr>
        <w:tab/>
      </w:r>
      <w:r>
        <w:rPr>
          <w:rFonts w:ascii="Arial" w:cs="Arial" w:eastAsia="Arial" w:hAnsi="Arial"/>
          <w:sz w:val="18"/>
          <w:szCs w:val="18"/>
          <w:color w:val="auto"/>
        </w:rPr>
        <w:t>as compared to our NPS of</w:t>
      </w:r>
      <w:r>
        <w:rPr>
          <w:sz w:val="20"/>
          <w:szCs w:val="20"/>
          <w:color w:val="auto"/>
        </w:rPr>
        <w:tab/>
      </w:r>
      <w:r>
        <w:rPr>
          <w:rFonts w:ascii="Arial" w:cs="Arial" w:eastAsia="Arial" w:hAnsi="Arial"/>
          <w:sz w:val="17"/>
          <w:szCs w:val="17"/>
          <w:color w:val="auto"/>
        </w:rPr>
        <w:t>as of January 31, 2025.</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of Existing Solutions for Key Stakeholders in Business Travel</w:t>
      </w:r>
    </w:p>
    <w:p>
      <w:pPr>
        <w:spacing w:after="0" w:line="169" w:lineRule="exact"/>
        <w:rPr>
          <w:sz w:val="20"/>
          <w:szCs w:val="20"/>
          <w:color w:val="auto"/>
        </w:rPr>
      </w:pPr>
    </w:p>
    <w:p>
      <w:pPr>
        <w:ind w:left="660" w:right="20" w:hanging="328"/>
        <w:spacing w:after="0" w:line="256"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For Travelers: </w:t>
      </w:r>
      <w:r>
        <w:rPr>
          <w:rFonts w:ascii="Arial" w:cs="Arial" w:eastAsia="Arial" w:hAnsi="Arial"/>
          <w:sz w:val="18"/>
          <w:szCs w:val="18"/>
          <w:color w:val="auto"/>
        </w:rPr>
        <w:t>When working with legacy solutions, users are forced to navigate a global web of challenging interfaces that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booking options and offer little guidance on company travel and expense policy. It is difficult to assess which travel options are compliant with company policy, especially as users rely heavily on live booking agents to assist. Changes frequently require the traveler to call customer support, increasing time to book travel. Additionally, travelers are tasked with the frustrating process of tracking and uploading receipts, filling out cumbersome forms, and often needing to front personal dollars for their company spend. Travelers who book outside of approved systems can also miss critical travel alerts and support services provided by corporate programs. This exposes companies to legal risk as companies cannot fulfill their duty of care to their employees.</w:t>
      </w:r>
    </w:p>
    <w:p>
      <w:pPr>
        <w:spacing w:after="0" w:line="128"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For Companies: </w:t>
      </w:r>
      <w:r>
        <w:rPr>
          <w:rFonts w:ascii="Arial" w:cs="Arial" w:eastAsia="Arial" w:hAnsi="Arial"/>
          <w:sz w:val="18"/>
          <w:szCs w:val="18"/>
          <w:color w:val="auto"/>
        </w:rPr>
        <w:t>Frustration with limited booking options, siloed systems, and poor user experience can often lead to limited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systems by travelers. Existing solutions may require travelers to book or modify travel through a travel agent, resulting in the company paying additional fees. Companies also lose the cost-saving benefits from negotiated corporate discounts and volume commitments, increasing overall travel costs. Travelers end up overspending company money and often significantly exceeding their T&amp;E budgets, and this introduces difficulties in the processing of matching expenses to trips, creating additional administrative burden on companies. Without centralized booking, companies also struggle to track and manage travel spend effectively, undermining budget control and forecasting. Low adoption of T&amp;E solutions also impairs a company’s ability to locate and assist travelers during emergencies, such as natural disasters or geopolitical crises, exposing companies to legal and reputational risks. Companies of all sizes can transform their productivity and the experiences of their employees through better travel and expense solutions.</w:t>
      </w:r>
    </w:p>
    <w:p>
      <w:pPr>
        <w:spacing w:after="0" w:line="131"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For Suppliers: </w:t>
      </w:r>
      <w:r>
        <w:rPr>
          <w:rFonts w:ascii="Arial" w:cs="Arial" w:eastAsia="Arial" w:hAnsi="Arial"/>
          <w:sz w:val="18"/>
          <w:szCs w:val="18"/>
          <w:color w:val="auto"/>
        </w:rPr>
        <w:t>Fragmented, legacy travel infrastructure makes it more challenging for suppliers to consistently access a large base of</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 travelers given user dissatisfaction and frequency of off-platform spend. Travel infrastructure providers may not have invested in their technology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47" w:lineRule="exact"/>
        <w:rPr>
          <w:sz w:val="20"/>
          <w:szCs w:val="20"/>
          <w:color w:val="auto"/>
        </w:rPr>
      </w:pPr>
    </w:p>
    <w:p>
      <w:pPr>
        <w:ind w:left="660" w:right="80"/>
        <w:spacing w:after="0" w:line="262" w:lineRule="auto"/>
        <w:rPr>
          <w:sz w:val="20"/>
          <w:szCs w:val="20"/>
          <w:color w:val="auto"/>
        </w:rPr>
      </w:pPr>
      <w:r>
        <w:rPr>
          <w:rFonts w:ascii="Arial" w:cs="Arial" w:eastAsia="Arial" w:hAnsi="Arial"/>
          <w:sz w:val="18"/>
          <w:szCs w:val="18"/>
          <w:color w:val="auto"/>
        </w:rPr>
        <w:t>enable suppliers to present their inventory in a way that differentiates their offerings, including more granular details about class fares, seating options, description of amenities, and other benefits. In addition, legacy players can lack brand experience, preventing suppliers from showcasing unique products, building loyalty with frequent travelers, or facilitating the opportunity to upsell additional products and services for suppliers.</w:t>
      </w:r>
    </w:p>
    <w:p>
      <w:pPr>
        <w:spacing w:after="0" w:line="12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These disjointed steps to book business travel and manage expenses are not designed with the user in mind, resulting in inefficiencies, frustration, data silos, lack of convenience and flexibility, and limited spend control and policy enforcement. We believe that traditional T&amp;E platforms have limited adoption in the market because they are expensive and have significant implementation requirements that limit their feasibility. These requirements typically involve extensive scoping, one-off integrations with ERP and HR systems, detailed configuration and localization, multi-stage quality assurance testing, enterprise-wide training programs, and phased roll-out plans, driving up both complexity and cost. Many businesses on these legacy systems rely on phone calls and do not have access to real-time information, costing employees a considerable amount of time. Navan was built to solve these challenges.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end-to-end, AI-powered software platform is purpose-built to deliver a personalized global travel booking experience for our users, combined with next-generation expense management and payments solutions that provide real-time visibility and control over T&amp;E spend. At the core of our platform is Navan Cognition, our proprietary AI framework that powers intelligent automation and decision making across the user journey. This intelligence layer enhances virtually every step of the travel process, from booking to reconciliation, helping us deliver a more seamless, policy-compliant, and cost-effective experience for customers of all sizes.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Navan Cloud: The Infrastructure of Our Travel Experience</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built our proprietary technology and partner infrastructure from the ground up to provide a global, real-time inventory that maximizes choice for our users. In contrast with legacy players, who have generally expanded through acquisitions of local travel agencies and have a highly fragmented view of inventory with limited access to smaller suppliers, our platform is truly global, with broad inventory including smaller suppliers, and our human and virtual agents have access to all of the bookings on our platform, globally. Acting as a proprietary, in-house aggregator platform, our highly scalable Navan Cloud aggregates and dynamically accesses our broad inventory through direct relationships, API integrations, and partnerships to provide high levels of choice:</w:t>
      </w:r>
    </w:p>
    <w:p>
      <w:pPr>
        <w:spacing w:after="0" w:line="128" w:lineRule="exact"/>
        <w:rPr>
          <w:sz w:val="20"/>
          <w:szCs w:val="20"/>
          <w:color w:val="auto"/>
        </w:rPr>
      </w:pPr>
    </w:p>
    <w:p>
      <w:pPr>
        <w:ind w:left="660" w:right="120" w:hanging="328"/>
        <w:spacing w:after="0" w:line="255"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Direct Supplier Relationships. </w:t>
      </w:r>
      <w:r>
        <w:rPr>
          <w:rFonts w:ascii="Arial" w:cs="Arial" w:eastAsia="Arial" w:hAnsi="Arial"/>
          <w:sz w:val="18"/>
          <w:szCs w:val="18"/>
          <w:color w:val="auto"/>
        </w:rPr>
        <w:t>We have curated direct partnerships with a vast network of airlines, hotels, and other suppliers, giving</w:t>
      </w:r>
      <w:r>
        <w:rPr>
          <w:rFonts w:ascii="Arial" w:cs="Arial" w:eastAsia="Arial" w:hAnsi="Arial"/>
          <w:sz w:val="18"/>
          <w:szCs w:val="18"/>
          <w:i w:val="1"/>
          <w:iCs w:val="1"/>
          <w:color w:val="auto"/>
        </w:rPr>
        <w:t xml:space="preserve"> </w:t>
      </w:r>
      <w:r>
        <w:rPr>
          <w:rFonts w:ascii="Arial" w:cs="Arial" w:eastAsia="Arial" w:hAnsi="Arial"/>
          <w:sz w:val="18"/>
          <w:szCs w:val="18"/>
          <w:color w:val="auto"/>
        </w:rPr>
        <w:t>us better and sometimes exclusive access to inventory and lower prices. These relationships also let us provide richer content such as seating, amenities, and fare classes, directly from suppliers, enabling a more customizable booking experience. A cornerstone of our supply sourcing strategy is to source content directly from suppliers, whether through NDC, where Navan sits on governing bodies and helps define NDC standards, direct integrations to Passenger Service Systems, or other APIs provided by the supplier. This enables us to have swift access to the newest releases and updates to the travel distribution ecosystem. It also positions us as a partner to these suppliers, helping shape new traveler benefits and automated fulfillment and servicing capabilities that benefit our efficiency and the travel experience for our users.</w:t>
      </w:r>
    </w:p>
    <w:p>
      <w:pPr>
        <w:spacing w:after="0" w:line="130"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API Integrations. </w:t>
      </w:r>
      <w:r>
        <w:rPr>
          <w:rFonts w:ascii="Arial" w:cs="Arial" w:eastAsia="Arial" w:hAnsi="Arial"/>
          <w:sz w:val="18"/>
          <w:szCs w:val="18"/>
          <w:color w:val="auto"/>
        </w:rPr>
        <w:t>Our advanced API technology enables real-time integration with suppliers, ensuring users get accurate,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content, and availability. Where APIs are not available, we leverage our strong direct supplier relationships to source data across a broad set of channels.</w:t>
      </w:r>
    </w:p>
    <w:p>
      <w:pPr>
        <w:spacing w:after="0" w:line="116"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Partnerships. </w:t>
      </w:r>
      <w:r>
        <w:rPr>
          <w:rFonts w:ascii="Arial" w:cs="Arial" w:eastAsia="Arial" w:hAnsi="Arial"/>
          <w:sz w:val="18"/>
          <w:szCs w:val="18"/>
          <w:color w:val="auto"/>
        </w:rPr>
        <w:t>We have developed deep partnerships with banks, financial technology companies, and payment providers to broaden</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across our payments platform. These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47" w:lineRule="exact"/>
        <w:rPr>
          <w:sz w:val="20"/>
          <w:szCs w:val="20"/>
          <w:color w:val="auto"/>
        </w:rPr>
      </w:pPr>
    </w:p>
    <w:p>
      <w:pPr>
        <w:ind w:left="660" w:right="480"/>
        <w:spacing w:after="0" w:line="287" w:lineRule="auto"/>
        <w:rPr>
          <w:sz w:val="20"/>
          <w:szCs w:val="20"/>
          <w:color w:val="auto"/>
        </w:rPr>
      </w:pPr>
      <w:r>
        <w:rPr>
          <w:rFonts w:ascii="Arial" w:cs="Arial" w:eastAsia="Arial" w:hAnsi="Arial"/>
          <w:sz w:val="18"/>
          <w:szCs w:val="18"/>
          <w:color w:val="auto"/>
        </w:rPr>
        <w:t>integrations with payment networks like Visa and Mastercard as well as card issuers like Brex, Rho, Citi, Barclays, and Citizens Bank, extending our reach into the financial ecosystem.</w:t>
      </w:r>
    </w:p>
    <w:p>
      <w:pPr>
        <w:spacing w:after="0" w:line="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direct connections and integrations give us access to sell over 600 airlines via GDSs, NDC, and LCCs, and over two million individual lodging properties through our platform globally. We have connections to over 200 banks and partnerships with multiple issuing partners in Navan Cloud. Our proprietary infrastructure provides customers with dynamic access to pricing and travel availability, ensuring that users always have the most accurate information at their fingertips. Navan Cloud also simplifies expense management during and after a trip so that customers can understand and accurately capture T&amp;E spend in real time.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Navan Cognition: Our New Paradigm in AI-Powered Travel Management</w:t>
      </w:r>
    </w:p>
    <w:p>
      <w:pPr>
        <w:spacing w:after="0" w:line="16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From our early founding days, we have invested in AI technologies at the core of our platform. We started with advanced ML capabilities that were revolutionary in this industry in our early days, but we did not stop there. As the technology progressed, so did we. We evolved from deploying customized ML algorithms that deliver best-in-class optimization and personalization to building a sophisticated agentic AI platform that is programmable, modular, and dynamic.</w:t>
      </w:r>
    </w:p>
    <w:p>
      <w:pPr>
        <w:spacing w:after="0" w:line="12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developed a new paradigm in AI-powered travel management through Navan Cognition, our third-generation innovative proprietary AI framework that combines the precision and predictive power of ML with the reasoning capabilities of large language models, or LLMs. Navan Cognition is designed to leverage third-party LLMs in combination with our own proprietary, internally developed software to operate a modular framework of virtual agents using a graph-based workflow. On our platform, Navan Cognition enables us to create, train, deploy, and supervise our specialized virtual agents that can handle many complex tasks previously requiring human intervention, including our virtual agent chatbot, Ava. Within the Navan Cognition framework, our networks of virtual agents identify, categorize, and execute user queries (including distinct tasks) as users interface with our platform. The graph-based workflow identifies and processes the intent behind users’ requests to our virtual agents (such as travel type and preferences) to prompt the LLM models to execute the most relevant workflow in response to requests, while refining user intent to strive for accurate responses and minimal hallucinations. Virtual agent outputs undergo compliance, fact-checking, and logic validation, and supervisory workflows are in place with the goal of preventing hallucinations and unauthorized or unintended actions from reaching users.</w:t>
      </w:r>
    </w:p>
    <w:p>
      <w:pPr>
        <w:spacing w:after="0" w:line="12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This framework allows our virtual agents to masterfully manage an increasing number of tasks and requests on our platform,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For more information regarding the risks related to the use of AI in our business, see the section titled “Risk Factors—Risks Related to Privacy, Cybersecurity, and Intellectual Property—Our use of artificial intelligence, including Gen AI and ML, gives rise to legal, business, and operational risks, which may result in diminished performance, regulatory scrutiny, social impacts, reputational harm, and liability arising from the use of this technology” in the section titled “Risk Factors.”</w:t>
      </w:r>
    </w:p>
    <w:p>
      <w:pPr>
        <w:spacing w:after="0" w:line="1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Navan Cognition has also been core to helping us improve the service offering of our platform without adding cost to our customers and enabling us to further optimize margins. Our AI-powered virtual agent chatbot, Ava, effectively handled % of customer interactions while maintaining an impressive average CSAT score of for our overall platform and for our AI-powered virtual agent chatbot, Ava, as of , 2025. Most importantly, we have achieved this while striving to adhere to our zero-critical-hallucination</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standard, which aims to ensure every interaction is accurate, reliable, and trustworthy. Looking ahead, we intend to continue expanding both our ML and Navan Cognition capabilities. This dual approach, combining the precision of ML with the autonomous reasoning of Navan Cognition, positions us to deliver increasingly sophisticated, personalized, and efficient travel solutions. We aim to leverage these advancements to further streamline workflows, enhance self-service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and create even more value for our users through intelligent automation, ultimately helping us drive the future of travel.</w:t>
      </w:r>
    </w:p>
    <w:p>
      <w:pPr>
        <w:spacing w:after="0" w:line="17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Navan Cognition is not just a feature, it represents the foundation of our platform. Designed with built-in safeguards and real-time oversight, it works to ensure that AI-driven actions are reliable, secure, and aligned with enterprise needs. As we continue to expand the capabilities of Navan Cognition, it serves as the infrastructure layer upon which a growing ecosystem of intelligent travel applications will be built, powering a safer, smarter, and more adaptive future for business travel.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Navan Native Apps and Enterprise Integrations</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developed simple and intuitive front-end experiences for travel, payments, and expense management. Users can interface with our platform through web and mobile applications, omnichannel support, and white label travel solutions. Customers can also access our platform through administrative apps or through enterprise integrations for expense management and bank or credit cards. Our apps are discrete gateways into our platform that share a common data infrastructure and remain universally synchronized. The user experience drives product use and reinforces the flywheel of our business.</w:t>
      </w:r>
    </w:p>
    <w:p>
      <w:pPr>
        <w:spacing w:after="0" w:line="1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also offer deep enterprise integrations with leading human resource information systems, enterprise resource planning systems, and financial systems, which enable real-time syncing of employee directories, expense categories, and policy controls. This seamless connection also allows customers to streamline onboarding, enforce compliance automatically, and accelerate month-end reconciliation. By embedding Navan into existing enterprise infrastructure, finance and HR teams can maintain a single source of truth across systems and significantly reduce the operational burden of manual data entry and cross-platform coordination.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Platform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Why Users Love Navan</w:t>
      </w:r>
    </w:p>
    <w:p>
      <w:pPr>
        <w:spacing w:after="0" w:line="169"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We provide a true end-to-end travel, payments, and expense management platform that is built from the ground up with a relentless focus on our users. Our intuitive design, ease of use, and time-saving features create an enjoyable experience for our users that helps to drive adoption of our platform. Our users experience the following key benefits:</w:t>
      </w:r>
    </w:p>
    <w:p>
      <w:pPr>
        <w:spacing w:after="0" w:line="117" w:lineRule="exact"/>
        <w:rPr>
          <w:sz w:val="20"/>
          <w:szCs w:val="20"/>
          <w:color w:val="auto"/>
        </w:rPr>
      </w:pPr>
    </w:p>
    <w:p>
      <w:pPr>
        <w:ind w:left="660" w:right="200" w:hanging="328"/>
        <w:spacing w:after="0" w:line="26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Highly personalized experience. </w:t>
      </w:r>
      <w:r>
        <w:rPr>
          <w:rFonts w:ascii="Arial" w:cs="Arial" w:eastAsia="Arial" w:hAnsi="Arial"/>
          <w:sz w:val="18"/>
          <w:szCs w:val="18"/>
          <w:color w:val="auto"/>
        </w:rPr>
        <w:t>Starting with booking, our AI capabilities enable us to curate results based on the user’s past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trips, and travel patterns that are all within a customer’s policy. During the trip, our technology offers suggestions and content informed by the user’s itinerary. Whether business travel or personal travel booked around business trips, referred to as bleisure, the more a user spends on our platform, the more we can deliver a personalized experience.</w:t>
      </w:r>
    </w:p>
    <w:p>
      <w:pPr>
        <w:spacing w:after="0" w:line="122"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platform for user needs. </w:t>
      </w:r>
      <w:r>
        <w:rPr>
          <w:rFonts w:ascii="Arial" w:cs="Arial" w:eastAsia="Arial" w:hAnsi="Arial"/>
          <w:sz w:val="18"/>
          <w:szCs w:val="18"/>
          <w:color w:val="auto"/>
        </w:rPr>
        <w:t>Our platform enables users to address their travel, payments, and expense management needs</w:t>
      </w:r>
      <w:r>
        <w:rPr>
          <w:rFonts w:ascii="Arial" w:cs="Arial" w:eastAsia="Arial" w:hAnsi="Arial"/>
          <w:sz w:val="18"/>
          <w:szCs w:val="18"/>
          <w:i w:val="1"/>
          <w:iCs w:val="1"/>
          <w:color w:val="auto"/>
        </w:rPr>
        <w:t xml:space="preserve"> </w:t>
      </w:r>
      <w:r>
        <w:rPr>
          <w:rFonts w:ascii="Arial" w:cs="Arial" w:eastAsia="Arial" w:hAnsi="Arial"/>
          <w:sz w:val="18"/>
          <w:szCs w:val="18"/>
          <w:color w:val="auto"/>
        </w:rPr>
        <w:t>in a single, unified workspace. Previously, users relied on a fragmented set of point solutions that required users to toggle between multiple applications, calendars, emails, printouts, and texts. With Navan, users can find what they need all in one place, from logistics for events travel to bleisure to bespoke, white-glove VIP services, which can satisfy the complex requirements even the highest profile travelers, including private jets and police escorts. In fiscal 2025, % of bookings were made online or through mobile applications on our platform.</w:t>
      </w:r>
    </w:p>
    <w:p>
      <w:pPr>
        <w:spacing w:after="0" w:line="128"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Differentiated support experience. </w:t>
      </w:r>
      <w:r>
        <w:rPr>
          <w:rFonts w:ascii="Arial" w:cs="Arial" w:eastAsia="Arial" w:hAnsi="Arial"/>
          <w:sz w:val="18"/>
          <w:szCs w:val="18"/>
          <w:color w:val="auto"/>
        </w:rPr>
        <w:t>We offer an exceptional support experience that combines our self-serve support tools with 24/7</w:t>
      </w:r>
      <w:r>
        <w:rPr>
          <w:rFonts w:ascii="Arial" w:cs="Arial" w:eastAsia="Arial" w:hAnsi="Arial"/>
          <w:sz w:val="18"/>
          <w:szCs w:val="18"/>
          <w:i w:val="1"/>
          <w:iCs w:val="1"/>
          <w:color w:val="auto"/>
        </w:rPr>
        <w:t xml:space="preserve"> </w:t>
      </w:r>
      <w:r>
        <w:rPr>
          <w:rFonts w:ascii="Arial" w:cs="Arial" w:eastAsia="Arial" w:hAnsi="Arial"/>
          <w:sz w:val="18"/>
          <w:szCs w:val="18"/>
          <w:color w:val="auto"/>
        </w:rPr>
        <w:t>live service through chat or phone. Users can select from three different levels of support to best meet their needs, including our dedicated paid offering. Users can access our support services via chat or phone, typically connecting with a dedicated agent within minutes. Increasingly, more of our support is becoming automated through our AI-powered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320" w:top="1440" w:right="399" w:bottom="1440" w:gutter="0" w:footer="0" w:header="0"/>
        </w:sectPr>
      </w:pPr>
    </w:p>
    <w:bookmarkStart w:id="127" w:name="page128"/>
    <w:bookmarkEnd w:id="127"/>
    <w:p>
      <w:pPr>
        <w:spacing w:after="0" w:line="247" w:lineRule="exact"/>
        <w:rPr>
          <w:sz w:val="20"/>
          <w:szCs w:val="20"/>
          <w:color w:val="auto"/>
        </w:rPr>
      </w:pPr>
    </w:p>
    <w:p>
      <w:pPr>
        <w:ind w:left="660" w:right="200"/>
        <w:spacing w:after="0" w:line="287" w:lineRule="auto"/>
        <w:rPr>
          <w:sz w:val="20"/>
          <w:szCs w:val="20"/>
          <w:color w:val="auto"/>
        </w:rPr>
      </w:pPr>
      <w:r>
        <w:rPr>
          <w:rFonts w:ascii="Arial" w:cs="Arial" w:eastAsia="Arial" w:hAnsi="Arial"/>
          <w:sz w:val="18"/>
          <w:szCs w:val="18"/>
          <w:color w:val="auto"/>
        </w:rPr>
        <w:t>virtual agent chatbot, Ava, with more than % of interactions being handled without live agent intervention as of , 2025. This allows travelers to access support efficiently and effectively and lessens the burden on customers’ administrative support teams.</w:t>
      </w:r>
    </w:p>
    <w:p>
      <w:pPr>
        <w:spacing w:after="0" w:line="99" w:lineRule="exact"/>
        <w:rPr>
          <w:sz w:val="20"/>
          <w:szCs w:val="20"/>
          <w:color w:val="auto"/>
        </w:rPr>
      </w:pPr>
    </w:p>
    <w:p>
      <w:pPr>
        <w:ind w:left="660" w:right="40" w:hanging="328"/>
        <w:spacing w:after="0" w:line="25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Increased productivity. </w:t>
      </w:r>
      <w:r>
        <w:rPr>
          <w:rFonts w:ascii="Arial" w:cs="Arial" w:eastAsia="Arial" w:hAnsi="Arial"/>
          <w:sz w:val="18"/>
          <w:szCs w:val="18"/>
          <w:color w:val="auto"/>
        </w:rPr>
        <w:t>Designed to eliminate friction from the entire travel booking experience all the way through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expensing the trip, our platform makes everything from booking travel to managing itineraries and making changes simple and fast. Users receive timely notifications as a trip approaches, and instead of having to spend valuable time waiting on hold and speaking to an agent, our AI-powered virtual agent chatbot, Ava, can make trip changes directly without involving a live agent. After a trip, our technology links travel bookings to expenses and automates the reconciliation process. With Navan, the average time to book a trip is seven minutes, compared with 45 minutes through outside channels.</w:t>
      </w:r>
    </w:p>
    <w:p>
      <w:pPr>
        <w:spacing w:after="0" w:line="128"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Ability to share in rewards. </w:t>
      </w:r>
      <w:r>
        <w:rPr>
          <w:rFonts w:ascii="Arial" w:cs="Arial" w:eastAsia="Arial" w:hAnsi="Arial"/>
          <w:sz w:val="18"/>
          <w:szCs w:val="18"/>
          <w:color w:val="auto"/>
        </w:rPr>
        <w:t>Our rewards program allows users to share in a portion of the savings realized by their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Traditionally, users are not incentivized to save money on travel and are only given a blanket maximum of what they can spend. Instead, our platform gives users a “price to beat,” which is a median price for a particular location at a given time, and is designed to incentivize users to save money by focusing on what a booking should reasonably cost. Users can redeem rewards for personal travel, travel upgrades, or gift cards. We assume the cost of these rewards as a way to incentivize users while allowing customers to save money.</w:t>
      </w:r>
    </w:p>
    <w:p>
      <w:pPr>
        <w:spacing w:after="0" w:line="128"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Real-time visibility into expenses and faster reimbursement process. </w:t>
      </w:r>
      <w:r>
        <w:rPr>
          <w:rFonts w:ascii="Arial" w:cs="Arial" w:eastAsia="Arial" w:hAnsi="Arial"/>
          <w:sz w:val="18"/>
          <w:szCs w:val="18"/>
          <w:color w:val="auto"/>
        </w:rPr>
        <w:t>Users are able to track expenses in real-time and can easily</w:t>
      </w:r>
      <w:r>
        <w:rPr>
          <w:rFonts w:ascii="Arial" w:cs="Arial" w:eastAsia="Arial" w:hAnsi="Arial"/>
          <w:sz w:val="18"/>
          <w:szCs w:val="18"/>
          <w:i w:val="1"/>
          <w:iCs w:val="1"/>
          <w:color w:val="auto"/>
        </w:rPr>
        <w:t xml:space="preserve"> </w:t>
      </w:r>
      <w:r>
        <w:rPr>
          <w:rFonts w:ascii="Arial" w:cs="Arial" w:eastAsia="Arial" w:hAnsi="Arial"/>
          <w:sz w:val="18"/>
          <w:szCs w:val="18"/>
          <w:color w:val="auto"/>
        </w:rPr>
        <w:t>check spend relative to per diems. These features help increase adoption of our platform because users do not have to worry about whether they are in compliance with policies or fear being flagged out of policy after the fact. We also streamline the reimbursement process to enable users to get paid back faster.</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manage complexities across travel, payments, and expense management for our users through an easy-to-use platform that has</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enabled us to earn an NPS of as of , 2025. The benefits of an enjoyable user experience, increased productivity, and higher adoption of our platform ultimately drive GBV on our platform.</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Why Our Customers Love Navan</w:t>
      </w:r>
    </w:p>
    <w:p>
      <w:pPr>
        <w:spacing w:after="0" w:line="16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Customers struggle to enforce travel and expense policies and to gain visibility into spend without an often adversarial relationship with users. Our focus on our users and customers creates a self-reinforcing flywheel. The seamless experience we deliver to users leads to high overall adoption. High user adoption leads to better visibility and control into spend, which helps save customers money and time. Customers experience the following key benefits:</w:t>
      </w:r>
    </w:p>
    <w:p>
      <w:pPr>
        <w:spacing w:after="0" w:line="122" w:lineRule="exact"/>
        <w:rPr>
          <w:sz w:val="20"/>
          <w:szCs w:val="20"/>
          <w:color w:val="auto"/>
        </w:rPr>
      </w:pPr>
    </w:p>
    <w:p>
      <w:pPr>
        <w:ind w:left="660" w:right="60" w:hanging="328"/>
        <w:spacing w:after="0" w:line="256"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Unified platform experience. </w:t>
      </w:r>
      <w:r>
        <w:rPr>
          <w:rFonts w:ascii="Arial" w:cs="Arial" w:eastAsia="Arial" w:hAnsi="Arial"/>
          <w:sz w:val="18"/>
          <w:szCs w:val="18"/>
          <w:color w:val="auto"/>
        </w:rPr>
        <w:t>Our platform is built for speed, automation, and ease of use, offering customers a seamless onboarding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and fast time-to-value. Our intuitive interface and dedicated customer success teams simplify adoption across companies, while automation powers everything from policy enforcement to expense reporting, reducing manual workflows and administrative burden. Customers have access to support on both desktop and mobile to enable platform utilization whenever needed. Additionally, flexible payment options through Navan Connect and our partnerships give customers the ability to choose their preferred mechanisms, lowering friction and promoting platform adoption across teams. These integrations make our platform intuitive and delightful to both travelers and administrators alike to improve the T&amp;E experience.</w:t>
      </w:r>
    </w:p>
    <w:p>
      <w:pPr>
        <w:spacing w:after="0" w:line="128"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Increased user adoption of our platform for all travel, payments, and expense management needs. </w:t>
      </w:r>
      <w:r>
        <w:rPr>
          <w:rFonts w:ascii="Arial" w:cs="Arial" w:eastAsia="Arial" w:hAnsi="Arial"/>
          <w:sz w:val="18"/>
          <w:szCs w:val="18"/>
          <w:color w:val="auto"/>
        </w:rPr>
        <w:t>We designed our platform to</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 the need for users to book off platform. By enabling customers to ramp faster and incentivizing users to increase spend on our platform, we create visibility and cost savings for customers. We also allow companies to maintain their duty of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247" w:lineRule="exact"/>
        <w:rPr>
          <w:sz w:val="20"/>
          <w:szCs w:val="20"/>
          <w:color w:val="auto"/>
        </w:rPr>
      </w:pPr>
    </w:p>
    <w:p>
      <w:pPr>
        <w:ind w:left="660" w:right="640"/>
        <w:spacing w:after="0" w:line="287" w:lineRule="auto"/>
        <w:rPr>
          <w:sz w:val="20"/>
          <w:szCs w:val="20"/>
          <w:color w:val="auto"/>
        </w:rPr>
      </w:pPr>
      <w:r>
        <w:rPr>
          <w:rFonts w:ascii="Arial" w:cs="Arial" w:eastAsia="Arial" w:hAnsi="Arial"/>
          <w:sz w:val="18"/>
          <w:szCs w:val="18"/>
          <w:color w:val="auto"/>
        </w:rPr>
        <w:t>for users by providing critical travel alerts or locating and assisting travelers during emergencies, such as natural disasters or geopolitical crises.</w:t>
      </w:r>
    </w:p>
    <w:p>
      <w:pPr>
        <w:spacing w:after="0" w:line="99" w:lineRule="exact"/>
        <w:rPr>
          <w:sz w:val="20"/>
          <w:szCs w:val="20"/>
          <w:color w:val="auto"/>
        </w:rPr>
      </w:pPr>
    </w:p>
    <w:p>
      <w:pPr>
        <w:ind w:left="660" w:right="20" w:hanging="328"/>
        <w:spacing w:after="0" w:line="259"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Real-time visibility into spend trends and ability to forecast costs. </w:t>
      </w:r>
      <w:r>
        <w:rPr>
          <w:rFonts w:ascii="Arial" w:cs="Arial" w:eastAsia="Arial" w:hAnsi="Arial"/>
          <w:sz w:val="18"/>
          <w:szCs w:val="18"/>
          <w:color w:val="auto"/>
        </w:rPr>
        <w:t>As users book more and more travel through our platform,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teams gain access to granular, real-time data that helps them make informed decisions about current and future spend. Our dashboards include company-specific benchmarks and trend analysis across trips and travelers, enabling visibility into total and per-user spend in real-time. These reporting capabilities support proactive budgeting, save company cost, improve forecasting accuracy, and streamline reporting workflows.</w:t>
      </w:r>
    </w:p>
    <w:p>
      <w:pPr>
        <w:spacing w:after="0" w:line="125"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Automated expense management. </w:t>
      </w:r>
      <w:r>
        <w:rPr>
          <w:rFonts w:ascii="Arial" w:cs="Arial" w:eastAsia="Arial" w:hAnsi="Arial"/>
          <w:sz w:val="18"/>
          <w:szCs w:val="18"/>
          <w:color w:val="auto"/>
        </w:rPr>
        <w:t>Navan automates the entire expense workflow, from booking to reconciliation, aiming to eliminate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need for employees to file a manual expense report. Virtual and physical cards are integrated directly into the platform, enabling real-time tracking, automated receipt matching, and policy enforcement at the point of spend. This helps to eliminate the need for employees to front personal money, chase down receipts, or fill out forms, while giving finance teams real-time visibility into spend, faster month-end close, and direct ERP integrations. Budgets are automatically routed to the correct owners, helping companies track their return on investment on T&amp;E relative to sales, projects, and departmental goals with a simplicity and precision that legacy systems could not deliver.</w:t>
      </w:r>
    </w:p>
    <w:p>
      <w:pPr>
        <w:spacing w:after="0" w:line="128"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Deepest range of content on the market. </w:t>
      </w:r>
      <w:r>
        <w:rPr>
          <w:rFonts w:ascii="Arial" w:cs="Arial" w:eastAsia="Arial" w:hAnsi="Arial"/>
          <w:sz w:val="18"/>
          <w:szCs w:val="18"/>
          <w:color w:val="auto"/>
        </w:rPr>
        <w:t>Navan has direct connections and integrations with over 600 airlines via GDSs, NDC, and</w:t>
      </w:r>
      <w:r>
        <w:rPr>
          <w:rFonts w:ascii="Arial" w:cs="Arial" w:eastAsia="Arial" w:hAnsi="Arial"/>
          <w:sz w:val="18"/>
          <w:szCs w:val="18"/>
          <w:i w:val="1"/>
          <w:iCs w:val="1"/>
          <w:color w:val="auto"/>
        </w:rPr>
        <w:t xml:space="preserve"> </w:t>
      </w:r>
      <w:r>
        <w:rPr>
          <w:rFonts w:ascii="Arial" w:cs="Arial" w:eastAsia="Arial" w:hAnsi="Arial"/>
          <w:sz w:val="18"/>
          <w:szCs w:val="18"/>
          <w:color w:val="auto"/>
        </w:rPr>
        <w:t>LCCs and over two million lodging properties. Navan Lodging Collection offers a broad range of content with premium commercial terms (through direct relationships with key properties and chains). We also offer certain private channel rates on air travel to users, highlighting key airline partners who work collaboratively in commercial partnership. These partnerships provide our customers with access to dynamic pricing and ultimately cost savings.</w:t>
      </w:r>
    </w:p>
    <w:p>
      <w:pPr>
        <w:spacing w:after="0" w:line="125"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Cost savings and reduced administrative burden. </w:t>
      </w:r>
      <w:r>
        <w:rPr>
          <w:rFonts w:ascii="Arial" w:cs="Arial" w:eastAsia="Arial" w:hAnsi="Arial"/>
          <w:sz w:val="18"/>
          <w:szCs w:val="18"/>
          <w:color w:val="auto"/>
        </w:rPr>
        <w:t>Cost savings from automation and operational improvements significantly reduce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burden and enable customers to close their books faster. Cost optimization also comes from the rewards program and price to beat algorithm that incentivizes users to book lower rates. Our inventory also allows us to drive low rates through volume-based discounts with suppliers, our access to LCCs, and our direct connections with suppliers. Our direct partnerships with suppliers enable us to provide customers with timely delivery of new offers and real-time pricing, which are difficult to match. At the same time, our platform provides automated control and compliance with customer T&amp;E policies, allowing for dynamic adjustments based on changing conditions, segmentation of travelers into policy buckets, and optimization for cost savings while ensuring policy adherence. Customers using our platform have recognized up to 15% savings on travel compared to their prior legacy solution or unmanaged environment, with even greater value unlocked through time savings and reduced overhead, delivering a step change in total T&amp;E efficiency. Given how large expenditures typically are at companies, this represents significant potential cost savings.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Why Our Suppliers Benefit in Partnership with Navan</w:t>
      </w:r>
    </w:p>
    <w:p>
      <w:pPr>
        <w:spacing w:after="0" w:line="16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Suppliers have often been overlooked as a key stakeholder in the travel ecosystem, as they cannot form relationships with key customers or effectively market their products and services. Our platform creates opportunities for these integral stakeholders in the travel and payments ecosystem. Suppliers appreciate tech-forward solutions which simplify the current web of TMCs, OTAs, direct booking platforms, and consumer expectations and propel the industry forward. Our global platform provides the following key benefits to our key categories of supplier partners (such as inventory suppliers and GDSs):</w:t>
      </w:r>
    </w:p>
    <w:p>
      <w:pPr>
        <w:spacing w:after="0" w:line="125" w:lineRule="exact"/>
        <w:rPr>
          <w:sz w:val="20"/>
          <w:szCs w:val="20"/>
          <w:color w:val="auto"/>
        </w:rPr>
      </w:pPr>
    </w:p>
    <w:p>
      <w:pPr>
        <w:jc w:val="both"/>
        <w:ind w:left="660" w:right="18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Direct access to high-value travelers. </w:t>
      </w:r>
      <w:r>
        <w:rPr>
          <w:rFonts w:ascii="Arial" w:cs="Arial" w:eastAsia="Arial" w:hAnsi="Arial"/>
          <w:sz w:val="18"/>
          <w:szCs w:val="18"/>
          <w:color w:val="auto"/>
        </w:rPr>
        <w:t>We give suppliers access to a large and highly engaged user base of frequent travelers, who</w:t>
      </w:r>
      <w:r>
        <w:rPr>
          <w:rFonts w:ascii="Arial" w:cs="Arial" w:eastAsia="Arial" w:hAnsi="Arial"/>
          <w:sz w:val="18"/>
          <w:szCs w:val="18"/>
          <w:i w:val="1"/>
          <w:iCs w:val="1"/>
          <w:color w:val="auto"/>
        </w:rPr>
        <w:t xml:space="preserve"> </w:t>
      </w:r>
      <w:r>
        <w:rPr>
          <w:rFonts w:ascii="Arial" w:cs="Arial" w:eastAsia="Arial" w:hAnsi="Arial"/>
          <w:sz w:val="18"/>
          <w:szCs w:val="18"/>
          <w:color w:val="auto"/>
        </w:rPr>
        <w:t>can be more difficult to reach through traditional travel channels like TMCs and OBTs. Because we manage the full booking stack, suppliers gain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247" w:lineRule="exact"/>
        <w:rPr>
          <w:sz w:val="20"/>
          <w:szCs w:val="20"/>
          <w:color w:val="auto"/>
        </w:rPr>
      </w:pPr>
    </w:p>
    <w:p>
      <w:pPr>
        <w:ind w:left="660" w:right="200"/>
        <w:spacing w:after="0" w:line="268" w:lineRule="auto"/>
        <w:rPr>
          <w:sz w:val="20"/>
          <w:szCs w:val="20"/>
          <w:color w:val="auto"/>
        </w:rPr>
      </w:pPr>
      <w:r>
        <w:rPr>
          <w:rFonts w:ascii="Arial" w:cs="Arial" w:eastAsia="Arial" w:hAnsi="Arial"/>
          <w:sz w:val="18"/>
          <w:szCs w:val="18"/>
          <w:color w:val="auto"/>
        </w:rPr>
        <w:t>only greater volume but also visibility into previously opaque demand signals. This enables them to reach premium, high-margin customers in a consistent and repeatable way, helping to drive better yield and more strategic distribution compared to fragmented legacy platforms.</w:t>
      </w:r>
    </w:p>
    <w:p>
      <w:pPr>
        <w:spacing w:after="0" w:line="117" w:lineRule="exact"/>
        <w:rPr>
          <w:sz w:val="20"/>
          <w:szCs w:val="20"/>
          <w:color w:val="auto"/>
        </w:rPr>
      </w:pPr>
    </w:p>
    <w:p>
      <w:pPr>
        <w:ind w:left="660" w:right="40" w:hanging="328"/>
        <w:spacing w:after="0" w:line="25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Flexible retailing and brand control. </w:t>
      </w:r>
      <w:r>
        <w:rPr>
          <w:rFonts w:ascii="Arial" w:cs="Arial" w:eastAsia="Arial" w:hAnsi="Arial"/>
          <w:sz w:val="18"/>
          <w:szCs w:val="18"/>
          <w:color w:val="auto"/>
        </w:rPr>
        <w:t>Our ownership of both the front-end user interface and back-end technology stack gives</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a unique ability to retail their products exactly as they intend. Unlike traditional TMCs and OBTs that often fragment the traveler experience and slow down updates, we provide a single, integrated system where suppliers can showcase brand-forward content, control fare and ancillary pricing, and iterate on their merchandising strategy in real-time. This allows suppliers to differentiate their offerings, adjust to market dynamics, and align their retail goals with how their products are discovered and booked by end users, capabilities that are especially critical as the industry embraces modern retailing frameworks like NDC.</w:t>
      </w:r>
    </w:p>
    <w:p>
      <w:pPr>
        <w:spacing w:after="0" w:line="128" w:lineRule="exact"/>
        <w:rPr>
          <w:rFonts w:ascii="Arial" w:cs="Arial" w:eastAsia="Arial" w:hAnsi="Arial"/>
          <w:sz w:val="18"/>
          <w:szCs w:val="18"/>
          <w:color w:val="auto"/>
        </w:rPr>
      </w:pPr>
    </w:p>
    <w:p>
      <w:pPr>
        <w:ind w:left="660" w:right="80" w:hanging="328"/>
        <w:spacing w:after="0" w:line="25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Accelerated innovation through collaborative distribution. </w:t>
      </w:r>
      <w:r>
        <w:rPr>
          <w:rFonts w:ascii="Arial" w:cs="Arial" w:eastAsia="Arial" w:hAnsi="Arial"/>
          <w:sz w:val="18"/>
          <w:szCs w:val="18"/>
          <w:color w:val="auto"/>
        </w:rPr>
        <w:t>We work closely with suppliers to modernize how travel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supporting both near-term retail improvements and long-term transformation initiatives like NDC. Our NDC enables us to have swift access to updates to the travel distribution ecosystem and positions us as a partner to these suppliers. Our flexible architecture and deep integration capabilities allow suppliers to roll out new content formats, dynamic pricing models, loyalty logic, and upsell features faster than legacy platforms. By partnering with us, suppliers can test, launch, and evolve their offerings in a controlled and collaborative environment, unlocking speed-to-market and visibility that legacy intermediaries often cannot provide.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End-to-End AI-Driven Software Platform for Travel, Payments, and Expense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Most Advanced Travel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119380</wp:posOffset>
            </wp:positionV>
            <wp:extent cx="5349240" cy="2322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partnerships with over 600 airlines via GDS, NDC, and LCCs, two million individual lodging properties via leading OTAs, GDSs, and direct connections with 40 major train providers, over 40 rental car companies, and over 45 black car vendors. We connect with over 200 banks and multiple issuing partners. This wide array of integrations and partners powers our infrastructure. Our proprietary infrastructure provides customers with dynamic access to pricing and travel availability, ensuring that users always have the most accurate information at their fingertips. Navan Cloud also simplifies expense management during and after a trip through streamlined reconciliation of travel bookings.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 creates a powerful flywheel for all constituents</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Navan platform creates a powerful flywheel effect where the user, customer, and supplier benefits reinforce each other. When frequent travelers have a positive, efficient experience and earn rewards, they are more likely to use Navan. This user satisfaction drives further adoption within their company. The increased adoption gives the customer (employer)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virtuous cycle strengthens each flywheel, creating a robust and self-sustaining ecosystem.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1"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Navan addresses a large, growing, and global TAM by providing an all-in-one software platform for customers of all sizes. Our TAM spans travel management, both managed and traditionally unmanaged, as well as expense management and payments.</w:t>
      </w:r>
    </w:p>
    <w:p>
      <w:pPr>
        <w:spacing w:after="0" w:line="9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Legacy players in travel management estimated their market opportunity would be $1.5 trillion in total travel bookings and related spend across business and consumer travel categories in 2024. According to a Euromonitor report commissioned by us, Euromonitor estimates global business travel spend as $2.1 trillion for 2024. Euromonitor’s estimates include business travel and expense costs, gathered through business-to-business surveys, desk research, expert interviews, and the Euromonitor Passport Database. Our travel management solution spans a broader TAM than that of traditional business travel providers. Our TAM consists of managed and unmanaged, as well as meeting and events, VIP, and bleisure. We estimate the TAM for the services we offer today to be approximately $185 billion globally. To estimate our total TAM, we identified four categories of market opportunities: (1) managed and unmanaged business travel management, referred to as the managed and unmanaged categories, (2) bleisure, (3) expense management, and (4) payments.</w:t>
      </w:r>
    </w:p>
    <w:p>
      <w:pPr>
        <w:spacing w:after="0" w:line="131" w:lineRule="exact"/>
        <w:rPr>
          <w:sz w:val="20"/>
          <w:szCs w:val="20"/>
          <w:color w:val="auto"/>
        </w:rPr>
      </w:pPr>
    </w:p>
    <w:p>
      <w:pPr>
        <w:ind w:left="660" w:hanging="328"/>
        <w:spacing w:after="0" w:line="275" w:lineRule="auto"/>
        <w:tabs>
          <w:tab w:leader="none" w:pos="655"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Business Travel Management. </w:t>
      </w:r>
      <w:r>
        <w:rPr>
          <w:rFonts w:ascii="Arial" w:cs="Arial" w:eastAsia="Arial" w:hAnsi="Arial"/>
          <w:sz w:val="17"/>
          <w:szCs w:val="17"/>
          <w:color w:val="auto"/>
        </w:rPr>
        <w:t>We estimate our revenue opportunity in the business travel management category today to be</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$86 billion globally across both the managed and unmanaged categories, based on our own monetization of business travel. To arrive at our revenue opportunity, we used the commissioned Euromonitor survey finding a Global Business Travel serviceable addressable market, or SAM, of $1.2 trillion travel spend as of 2024, multiplied by our usage yield of approximately 7% for fiscal 2025. Usage yield represents our ability to convert GBV into usage-based revenue. Refer to “Management’s Discussion and Analysis of Financial Condition and Results of Operations–How Our Business Works” for more information regarding usage yield.</w:t>
      </w:r>
    </w:p>
    <w:p>
      <w:pPr>
        <w:spacing w:after="0" w:line="114" w:lineRule="exact"/>
        <w:rPr>
          <w:rFonts w:ascii="Arial" w:cs="Arial" w:eastAsia="Arial" w:hAnsi="Arial"/>
          <w:sz w:val="17"/>
          <w:szCs w:val="17"/>
          <w:color w:val="auto"/>
        </w:rPr>
      </w:pPr>
    </w:p>
    <w:p>
      <w:pPr>
        <w:ind w:left="980" w:right="60" w:hanging="324"/>
        <w:spacing w:after="0" w:line="262" w:lineRule="auto"/>
        <w:tabs>
          <w:tab w:leader="none" w:pos="976"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Managed Opportunity. </w:t>
      </w:r>
      <w:r>
        <w:rPr>
          <w:rFonts w:ascii="Arial" w:cs="Arial" w:eastAsia="Arial" w:hAnsi="Arial"/>
          <w:sz w:val="18"/>
          <w:szCs w:val="18"/>
          <w:color w:val="auto"/>
        </w:rPr>
        <w:t>According to survey results, 35% of the business travel management revenue opportunity was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as of 2024, including both travel spend through the designated travel management system and off-platform spend that is booked outside of the designated system. Of companies with a managed system, there may not necessarily be 100% utilization by users.</w:t>
      </w:r>
    </w:p>
    <w:p>
      <w:pPr>
        <w:spacing w:after="0" w:line="122" w:lineRule="exact"/>
        <w:rPr>
          <w:rFonts w:ascii="Arial" w:cs="Arial" w:eastAsia="Arial" w:hAnsi="Arial"/>
          <w:sz w:val="18"/>
          <w:szCs w:val="18"/>
          <w:color w:val="auto"/>
        </w:rPr>
      </w:pPr>
    </w:p>
    <w:p>
      <w:pPr>
        <w:ind w:left="980" w:right="220" w:hanging="324"/>
        <w:spacing w:after="0" w:line="256" w:lineRule="auto"/>
        <w:tabs>
          <w:tab w:leader="none" w:pos="976"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Unmanaged Opportunity. </w:t>
      </w:r>
      <w:r>
        <w:rPr>
          <w:rFonts w:ascii="Arial" w:cs="Arial" w:eastAsia="Arial" w:hAnsi="Arial"/>
          <w:sz w:val="18"/>
          <w:szCs w:val="18"/>
          <w:color w:val="auto"/>
        </w:rPr>
        <w:t>According to survey results, 65% of the business travel management revenue opportunity was</w:t>
      </w:r>
      <w:r>
        <w:rPr>
          <w:rFonts w:ascii="Arial" w:cs="Arial" w:eastAsia="Arial" w:hAnsi="Arial"/>
          <w:sz w:val="18"/>
          <w:szCs w:val="18"/>
          <w:i w:val="1"/>
          <w:iCs w:val="1"/>
          <w:color w:val="auto"/>
        </w:rPr>
        <w:t xml:space="preserve"> </w:t>
      </w:r>
      <w:r>
        <w:rPr>
          <w:rFonts w:ascii="Arial" w:cs="Arial" w:eastAsia="Arial" w:hAnsi="Arial"/>
          <w:sz w:val="18"/>
          <w:szCs w:val="18"/>
          <w:color w:val="auto"/>
        </w:rPr>
        <w:t>unmanaged as of 2024, which provides us with a significant greenfield opportunity. Unmanaged includes spend with no formal system in place to capture and monitor spend. Historically, we have been successful in pulling traditionally unmanaged businesses into our platform, and we believe that we are positioned to continue unlocking the unmanaged portion of spend through our sales motion. These customers are driven to our platform by the streamlined experience we provide their travelers and the ease of implementation in their company. We will continue offering more self-service capabilities for unmanaged businesses to deploy our platform quickly and realize greater insights, control, and cost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47" w:lineRule="exact"/>
        <w:rPr>
          <w:sz w:val="20"/>
          <w:szCs w:val="20"/>
          <w:color w:val="auto"/>
        </w:rPr>
      </w:pPr>
    </w:p>
    <w:p>
      <w:pPr>
        <w:ind w:left="660" w:right="680" w:hanging="328"/>
        <w:spacing w:after="0" w:line="262" w:lineRule="auto"/>
        <w:tabs>
          <w:tab w:leader="none" w:pos="65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Bleisure. </w:t>
      </w:r>
      <w:r>
        <w:rPr>
          <w:rFonts w:ascii="Arial" w:cs="Arial" w:eastAsia="Arial" w:hAnsi="Arial"/>
          <w:sz w:val="18"/>
          <w:szCs w:val="18"/>
          <w:color w:val="auto"/>
        </w:rPr>
        <w:t>We estimate our revenue opportunity in the bleisure category today to be approximately $24 billion.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Euromonitor, the bleisure SAM was estimated to be $324 billion as of 2024 which when multiplied by our usage yield of approximately 7% for fiscal 2025 results in a revenue opportunity of $24 billion. We currently penetrate a small portion of this category.</w:t>
      </w:r>
    </w:p>
    <w:p>
      <w:pPr>
        <w:spacing w:after="0" w:line="122" w:lineRule="exact"/>
        <w:rPr>
          <w:rFonts w:ascii="Arial" w:cs="Arial" w:eastAsia="Arial" w:hAnsi="Arial"/>
          <w:sz w:val="18"/>
          <w:szCs w:val="18"/>
          <w:color w:val="auto"/>
        </w:rPr>
      </w:pPr>
    </w:p>
    <w:p>
      <w:pPr>
        <w:ind w:left="660" w:hanging="328"/>
        <w:spacing w:after="0" w:line="262" w:lineRule="auto"/>
        <w:tabs>
          <w:tab w:leader="none" w:pos="65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We estimate the revenue opportunity in the expense management category today to be approximately $39</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globally. Our Expense Management offering is a software-driven expense and payments management system, and we calculate the $39 billion global addressable market by multiplying the total number of small-and-medium-sized businesses, according to FactSet data, by our internal estimate of average revenue per customer.</w:t>
      </w:r>
    </w:p>
    <w:p>
      <w:pPr>
        <w:spacing w:after="0" w:line="122" w:lineRule="exact"/>
        <w:rPr>
          <w:rFonts w:ascii="Arial" w:cs="Arial" w:eastAsia="Arial" w:hAnsi="Arial"/>
          <w:sz w:val="18"/>
          <w:szCs w:val="18"/>
          <w:color w:val="auto"/>
        </w:rPr>
      </w:pPr>
    </w:p>
    <w:p>
      <w:pPr>
        <w:ind w:left="660" w:hanging="328"/>
        <w:spacing w:after="0" w:line="259" w:lineRule="auto"/>
        <w:tabs>
          <w:tab w:leader="none" w:pos="65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Payments. </w:t>
      </w:r>
      <w:r>
        <w:rPr>
          <w:rFonts w:ascii="Arial" w:cs="Arial" w:eastAsia="Arial" w:hAnsi="Arial"/>
          <w:sz w:val="18"/>
          <w:szCs w:val="18"/>
          <w:color w:val="auto"/>
        </w:rPr>
        <w:t>We estimate the revenue opportunity in the payments category based on total spending to be approximately $37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2025 globally. According to Euromonitor, commercial charge and credit card spend is estimated to be $3.1 trillion by the end of 2025. To calculate our addressable market in the payments category, we multiplied the total spend by our internal estimate of net interchange. We believe we have significant room to grow our relationship with partners and expand in the corporate card market opportunity.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elements of our growth strategy include the following:</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Add new customers to the Navan platform: </w:t>
      </w:r>
      <w:r>
        <w:rPr>
          <w:rFonts w:ascii="Arial" w:cs="Arial" w:eastAsia="Arial" w:hAnsi="Arial"/>
          <w:sz w:val="18"/>
          <w:szCs w:val="18"/>
          <w:color w:val="auto"/>
        </w:rPr>
        <w:t>We believe the market for our solutions is large. Our platform is intuitive to use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for customers of all sizes across industries and geographies. We believe that customers with travel and expense systems today (managed customers) are underserved by existing vendors and frustrated by the fragmented experience that they face via these solutions. In addition to this managed category of the market, we believe there is sizable greenfield opportunity in helping manage travel and expense spend across customers who do not have a travel and expense platform today. According to Euromonitor survey results, spend across this unmanaged category represents approximately 65% of global business travel spend overall. These companies use spreadsheets or other non-purpose-built solutions and are reluctant to adopt traditional travel management solutions given the high costs and relative complexity associated with legacy systems. We believe our end-to-end, intuitive, and easy to implement solution is well positioned to meet the needs of both the managed and unmanaged categories, and we pursue new customers across these categories via two primary strategies today:</w:t>
      </w:r>
    </w:p>
    <w:p>
      <w:pPr>
        <w:spacing w:after="0" w:line="127" w:lineRule="exact"/>
        <w:rPr>
          <w:sz w:val="20"/>
          <w:szCs w:val="20"/>
          <w:color w:val="auto"/>
        </w:rPr>
      </w:pPr>
    </w:p>
    <w:p>
      <w:pPr>
        <w:ind w:left="660" w:hanging="328"/>
        <w:spacing w:after="0" w:line="269" w:lineRule="auto"/>
        <w:tabs>
          <w:tab w:leader="none" w:pos="655"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Sales-Led Growth: </w:t>
      </w:r>
      <w:r>
        <w:rPr>
          <w:rFonts w:ascii="Arial" w:cs="Arial" w:eastAsia="Arial" w:hAnsi="Arial"/>
          <w:sz w:val="17"/>
          <w:szCs w:val="17"/>
          <w:color w:val="auto"/>
        </w:rPr>
        <w:t>We have historically focused our customer acquisition strategy on mid-size and larger corporate customers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 sales-led motion via our dedicated sales team. These customers often have a travel and expense vendor or solution today, but are oftentimes frustrated by the fragmented nature of the solutions and complexity of their existing travel and expense management workflow. Alternatively, some of these customers may not have existing travel and expense solutions. In engaging with these customers, we focus our efforts on highlighting the potential for quantifiable cost savings and operating efficiencies, as well as increased travel and expense policy adherence via the adoption of our platform, while also highlighting the potential for improved productivity and engagement. We have seen significant success in deploying this approach thanks to the deeply integrated, end-to-end nature of our offering and its ease of implementation. Our platform allows customers to consolidate multiple fragmented systems into a single solution that streamlines travel and expense management across their business. Additionally, our platform integrates seamlessly with existing enterprise infrastructure, including SSO, HRIS, and ERP systems, enabling faster customer onboarding and minimizing business disruption and cost during rollout for our customers. As we have continued to engage with and embed ourselves with our customers, we have seen increasing engagement at the CFO and CXO (chief experience officer) levels across customers as a part of their ongoing business transformation efforts, with these executives often viewing our solution as a key lever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247"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color w:val="auto"/>
        </w:rPr>
        <w:t>driving continued efficiency and cost savings, as well as supporting their growth through seamlessly helping them manage the travel and expense demands of their users.</w:t>
      </w:r>
    </w:p>
    <w:p>
      <w:pPr>
        <w:spacing w:after="0" w:line="99" w:lineRule="exact"/>
        <w:rPr>
          <w:sz w:val="20"/>
          <w:szCs w:val="20"/>
          <w:color w:val="auto"/>
        </w:rPr>
      </w:pPr>
    </w:p>
    <w:p>
      <w:pPr>
        <w:ind w:left="660" w:hanging="328"/>
        <w:spacing w:after="0" w:line="269"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Product-Led Growth: </w:t>
      </w:r>
      <w:r>
        <w:rPr>
          <w:rFonts w:ascii="Arial" w:cs="Arial" w:eastAsia="Arial" w:hAnsi="Arial"/>
          <w:sz w:val="17"/>
          <w:szCs w:val="17"/>
          <w:color w:val="auto"/>
        </w:rPr>
        <w:t>More recently, we have begun to deploy a product-led and sales-assisted motion to acquire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who have traditionally been unmanaged, meaning they have no travel and expense vendor or solution. According to survey results, 65% of the overall business travel management revenue opportunity is unmanaged, which provides us with a significant greenfield opportunity. Many of these businesses are smaller companies that are generally not serviced by traditional T&amp;E providers. These customers often have limited bandwidth across their existing teams to integrate legacy solutions which they often find to be expensive, difficult to integrate, and cumbersome to use, leading many to question the value proposition of these legacy solutions, and to choose to manually deal with the challenges of travel spend via tools such as excel spreadsheets. These customers often find Navan through word-of-mouth, or through our growth marketing efforts and are attracted to the streamlined experience we provide to travelers and the tangible cost savings potential provided by our platform. Notably, we attract these customers due to our platform’s distinct technology and scale advantage, relative to many other providers (especially certain legacy providers). To onboard these customers, we provide streamlined self-service implementation tools, which provide flexibility for these customers to engage with and roll-out our offerings at their own pace. We also offer ongoing customer support as these customers both increase adoption of our platform and scale their own operations to support further engagement across all of our offerings. While still an emerging growth motion for us, we plan on continuing to invest in our capabilities to engage with and onboard these unmanaged customers given the scale of the overall market opportunity, particularly as our platform scales and recognition for our brand continues to grow.</w:t>
      </w:r>
    </w:p>
    <w:p>
      <w:pPr>
        <w:spacing w:after="0" w:line="11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i w:val="1"/>
          <w:iCs w:val="1"/>
          <w:color w:val="auto"/>
        </w:rPr>
        <w:t xml:space="preserve">Drive higher penetration and adoption across our existing customers. </w:t>
      </w:r>
      <w:r>
        <w:rPr>
          <w:rFonts w:ascii="Arial" w:cs="Arial" w:eastAsia="Arial" w:hAnsi="Arial"/>
          <w:sz w:val="18"/>
          <w:szCs w:val="18"/>
          <w:color w:val="auto"/>
        </w:rPr>
        <w:t>We are focused on continuing to expand our wallet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existing customer relationships by:</w:t>
      </w:r>
    </w:p>
    <w:p>
      <w:pPr>
        <w:spacing w:after="0" w:line="99" w:lineRule="exact"/>
        <w:rPr>
          <w:sz w:val="20"/>
          <w:szCs w:val="20"/>
          <w:color w:val="auto"/>
        </w:rPr>
      </w:pPr>
    </w:p>
    <w:p>
      <w:pPr>
        <w:ind w:left="660" w:right="220" w:hanging="328"/>
        <w:spacing w:after="0" w:line="254"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Driving cross-sell: </w:t>
      </w:r>
      <w:r>
        <w:rPr>
          <w:rFonts w:ascii="Arial" w:cs="Arial" w:eastAsia="Arial" w:hAnsi="Arial"/>
          <w:sz w:val="18"/>
          <w:szCs w:val="18"/>
          <w:color w:val="auto"/>
        </w:rPr>
        <w:t>We typically land our customers with our Travel offering. As their engagement with our platform grows, our</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customer success teams focus on helping educate customers on the full breadth of our offerings to help them maximize efficiency and value across their travel and expense management workflows. This often includes helping customers integrate additional offerings across our platform such as Corporate Payments, Expense Management, and VIP, based on the customer’s evolving needs, especially as the customer continues to grow and scale their own business and employee base. Our Bleisure capability expands this potential by enabling employees to seamlessly add personal travel to business trips, further deepening adoption and increasing engagement. This cross-sell motion remains a significant whitespace opportunity for us to grow within our customer base. For example, as of , 2025, % of customers attached to three or more offerings. The incremental cross-selling opportunities above and beyond our base Travel offering provide a substantial opportunity for growth, as the holistic use of our platform provides compelling incremental value to our customers over each individual offering.</w:t>
      </w:r>
    </w:p>
    <w:p>
      <w:pPr>
        <w:spacing w:after="0" w:line="131"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Increasing platform adoption: </w:t>
      </w:r>
      <w:r>
        <w:rPr>
          <w:rFonts w:ascii="Arial" w:cs="Arial" w:eastAsia="Arial" w:hAnsi="Arial"/>
          <w:sz w:val="18"/>
          <w:szCs w:val="18"/>
          <w:color w:val="auto"/>
        </w:rPr>
        <w:t>In addition to benefiting from continued underlying growth in business travel spend, we also see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opportunity for growth alongside our customers as they scale their underlying business and increase their investment in travel and expense to support their growth. For example, as our customers grow their employee base and resulting travel and expense budgets, we typically see increased utilization across our platform, which in turn allows us to facilitate more travel bookings, meetings, and events across each of our customers, increasing spend captured across our platform. In addition to capturing growth via new travelers onboarded by our customers, we also see opportunities to increase platform adoption across the existing user base for our customers. For example, there are cohorts of users that are at times resistant to using a new travel and expense platform at the onset; this is no different across our customer base. Our customer success teams partner with our customers to identify these travelers, isolate drivers that are leading to a lack of adoption and utilization,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247"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auto"/>
        </w:rPr>
        <w:t>ultimately support engagement of these travelers via education to drive adoption and increased utilization, further increasing travel and expense spend managed across our platform.</w:t>
      </w:r>
    </w:p>
    <w:p>
      <w:pPr>
        <w:spacing w:after="0" w:line="9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b w:val="1"/>
          <w:bCs w:val="1"/>
          <w:i w:val="1"/>
          <w:iCs w:val="1"/>
          <w:color w:val="auto"/>
        </w:rPr>
        <w:t xml:space="preserve">Continue to invest in our platform and offerings. </w:t>
      </w:r>
      <w:r>
        <w:rPr>
          <w:rFonts w:ascii="Arial" w:cs="Arial" w:eastAsia="Arial" w:hAnsi="Arial"/>
          <w:sz w:val="18"/>
          <w:szCs w:val="18"/>
          <w:color w:val="auto"/>
        </w:rPr>
        <w:t>We have a strong history of technology innovation, and we believe there is ample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for growth as we continue to invest in the development of our platform capabilities to serve current and future travelers and customers. Cumulatively in fiscal 2025 and fiscal 2024, we invested approximately $255 million in R&amp;D, with a focus on expanding our offerings, introducing new features and hiring top technical talent to continue to evolve our platform. Across our platform, we see a particularly strong opportunity to continue to scale our capabilities through the continued deployment of advanced technologies to streamline the overall booking experience for travelers and drive costs down for our customers, as well as evolve our customer-facing UI to further simplify and personalize their booking and support experience. Our vision has always been to use the best technology available to create amazing experiences for our users. Our initial technology investments focused on the deployment of ML algorithms to power highly-personalized recommendations for travelers on our platform. This allows us to offer a highly curated inventory of travel options within seconds vs. the hours previously spent by travelers researching the perfect hotel and flight options, creating significant efficiencies and cost savings for travelers. This foundational ML framework has proven to be successful. For instance, our dynamic policy engine adapts corporate spend guidelines based on market trends and travel patterns, resulting in 80% of travelers in fiscal 2025 accepting our platform’s first recommended option. In addition to our ML investments, we have invested heavily in deploying generative AI capabilities to complement our ML-based capabilities, leading to our development of Navan Cognition. Navan Cognition is our innovative AI framework that combines the precision and predictive power of ML with the reasoning capabilities of LLMs, representing a new paradigm in AI-powered travel management. On our platform, Navan Cognition enables us to create, train, deploy, and supervise specialized virtual agents that can handle complex tasks previously requiring human intervention. Our virtual agents now masterfully manage everything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w:t>
      </w:r>
    </w:p>
    <w:p>
      <w:pPr>
        <w:spacing w:after="0" w:line="137"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Navan Cognition has also been core to helping improve the service offering of our platform without adding cost to our customers and enabling us to further optimize margins. For example, our AI-powered virtual agent chatbot, Ava, was capable of effectively handling % of</w:t>
      </w:r>
    </w:p>
    <w:p>
      <w:pPr>
        <w:ind w:right="60"/>
        <w:spacing w:after="0" w:line="254" w:lineRule="auto"/>
        <w:rPr>
          <w:sz w:val="20"/>
          <w:szCs w:val="20"/>
          <w:color w:val="auto"/>
        </w:rPr>
      </w:pPr>
      <w:r>
        <w:rPr>
          <w:rFonts w:ascii="Arial" w:cs="Arial" w:eastAsia="Arial" w:hAnsi="Arial"/>
          <w:sz w:val="18"/>
          <w:szCs w:val="18"/>
          <w:color w:val="auto"/>
        </w:rPr>
        <w:t>customer interactions while maintaining an impressive CSAT score for our overall platform and for our virtual agent as of , 2025. Looking ahead, we are continuing to invest in and expand both our ML and Navan Cognition capabilities. We view our AI-enabled capabilities as core to our platform and expect the continued advancement of these capabilities to enable us to continuously improve user experiences, further streamline workflows and unlock new use cases, which should in turn continue to expand the value we are able to deliver to customers as we move forward.</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to making investments to grow our platform organically, we have selectively pursued inorganic growth opportunities from time to time. Our history of acquisitions for both platform expansion and the development of greater geographic expertise has demonstrated our ability to grow effectively. For example, we acquired R&amp;M, a high-end travel and meeting and events business with global clientele and market reach, in April 2021, allowing us to expand our global reach, as well as expanding our capabilities around high-end, high-touch business travel, as well as meetings and events. The internalization of these capabilities ultimately set the foundation for expanding our VIP and Meeting and Events offerings across our customer base. In addition to making acquisitions to enhance our offerings, we’ve also selectively acquired international-facing travel and expense management solutions to broaden the markets we serve, including, but not limited to, Comtravo (February 2022), a modern travel solution in Germany, Austria, and Switzerland, Resia (February 2022), a leading travel agency covering Northern Europe, Tripeur (April 2023), a leading travel and expense management company serving India, and Regent (June 2024), a business travel and events business in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247"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Should the opportunity for future inorganic growth present itself for developing future capabilities, supplier relationships, geographic expertise, or other means of serving our travelers and customers, we may consider pursuing them.</w:t>
      </w:r>
    </w:p>
    <w:p>
      <w:pPr>
        <w:spacing w:after="0" w:line="9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Grow our international presence. </w:t>
      </w:r>
      <w:r>
        <w:rPr>
          <w:rFonts w:ascii="Arial" w:cs="Arial" w:eastAsia="Arial" w:hAnsi="Arial"/>
          <w:sz w:val="18"/>
          <w:szCs w:val="18"/>
          <w:color w:val="auto"/>
        </w:rPr>
        <w:t>We continue to broaden the scope and extent of our offerings outside of the United States.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inherently international nature of travel has meant that we invested in building out a global infrastructure for our platform from the very beginning. These early investments in integrating travel suppliers from across the globe, as well as the development of localized partner relationships, has allowed us to offer a truly global inventory of travel offerings, as well as supplement our platform with regional knowledge, personalized support, and multi-currency payment services. These integrated capabilities across the travel and expense spectrum have allowed us to offer a global solution with unified visibility and control for our customers across various countries and geographies, allowing us to materially increase our presence across non-U.S.-based customers. For fiscal 2025, revenue across non-U.S. based customers represented 41% of our revenue, underscoring the success we have had to date in growing across international markets and the sizable opportunity that remains across those markets for us to increase our presence. We have been active in pursuing both organic and inorganic actions to expand the geographic reach of our platform and improve cross-selling capabilities of our offerings to international customers, with plans to continue to invest in these areas to drive continued growth across these international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Offerings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offer a comprehensive, all-in-one, AI-powered travel, payments, and expense management solution designed to streamline the entire travel lifecycle, from booking and policy enforcement to payment processing, expense reconciliation, and reporting. Our platform unifies our Travel, Corporate Payments, Expense Management, Meetings and Events, VIP, and Bleisure offerings into a single, intuitive application accessible via both desktop and a mobile device. By replacing fragmented, legacy point solutions with a modern, technology-driven system, we enable companies to drive greater efficiency, improve compliance, and deliver a superior experience for users and customers alike.</w:t>
      </w:r>
    </w:p>
    <w:p>
      <w:pPr>
        <w:spacing w:after="0" w:line="12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Our integrated, end-to-end platform is designed to support the full spectrum of travel, payments, and expense management needs through a unified product suite that simplifies every step of the travel, payments, and expense management journey. Our principal offerings today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85725</wp:posOffset>
            </wp:positionV>
            <wp:extent cx="5126355" cy="2717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2635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247" w:lineRule="exact"/>
        <w:rPr>
          <w:sz w:val="20"/>
          <w:szCs w:val="20"/>
          <w:color w:val="auto"/>
        </w:rPr>
      </w:pPr>
    </w:p>
    <w:p>
      <w:pPr>
        <w:ind w:left="328" w:right="160" w:hanging="328"/>
        <w:spacing w:after="0" w:line="259" w:lineRule="auto"/>
        <w:tabs>
          <w:tab w:leader="none" w:pos="323"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Travel: </w:t>
      </w:r>
      <w:r>
        <w:rPr>
          <w:rFonts w:ascii="Arial" w:cs="Arial" w:eastAsia="Arial" w:hAnsi="Arial"/>
          <w:sz w:val="18"/>
          <w:szCs w:val="18"/>
          <w:color w:val="auto"/>
        </w:rPr>
        <w:t>Our flagship online booking application that enables travelers to book flights, hotels, trains, and rental cars through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 that aligns with company policy and preferences, driving adoption across both managed and unmanaged travel. The system provides real-time monitoring of trips, including flight status updates, gate changes, and potential delays, ensuring travelers stay informed. Furthermore, the tool allows for easy editing of existing reservations, such as modifying dates, times, or accommodations, offering flexibility and control over travel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91440</wp:posOffset>
            </wp:positionV>
            <wp:extent cx="5040630" cy="26574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4063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8" w:hanging="328"/>
        <w:spacing w:after="0" w:line="257" w:lineRule="auto"/>
        <w:tabs>
          <w:tab w:leader="none" w:pos="323"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Corporate Payments: </w:t>
      </w:r>
      <w:r>
        <w:rPr>
          <w:rFonts w:ascii="Arial" w:cs="Arial" w:eastAsia="Arial" w:hAnsi="Arial"/>
          <w:sz w:val="18"/>
          <w:szCs w:val="18"/>
          <w:color w:val="auto"/>
        </w:rPr>
        <w:t>Our virtual and physical Navan corporate card offering simplifies payments for business needs.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instantly approved, flagged, or declined at the point of purchase. Automated submission and reconciliation of authorized spending aims to eliminate the need for manual expense reports. Spending policies are integrated into the cards and enforced during transactions, aiming to automate the entire expense management cycle from the initial purchase to reconciliation. These virtual and physical cards can be used for various business expenses, including travel, routine expenditures, spot purchases, and software subscriptions, freeing customers from paperwork and saving finance teams significant time during month-end reconciliation.</w:t>
      </w:r>
    </w:p>
    <w:p>
      <w:pPr>
        <w:spacing w:after="0" w:line="128" w:lineRule="exact"/>
        <w:rPr>
          <w:rFonts w:ascii="Arial" w:cs="Arial" w:eastAsia="Arial" w:hAnsi="Arial"/>
          <w:sz w:val="18"/>
          <w:szCs w:val="18"/>
          <w:color w:val="auto"/>
        </w:rPr>
      </w:pPr>
    </w:p>
    <w:p>
      <w:pPr>
        <w:ind w:left="328" w:hanging="328"/>
        <w:spacing w:after="0" w:line="254" w:lineRule="auto"/>
        <w:tabs>
          <w:tab w:leader="none" w:pos="323"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Our expense application that automates and centralizes the control, management, and tracking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It monitors travel and entertainment expenses and automates reporting and analytics. The software eliminates the inefficiencies and frustrations associated with traditional expense reports, offering interactive dashboards for real-time transaction visibility and improved decision-making. Our Expense Management offering can either be coupled with our Corporate Payments offering or can be used on a standalone basis with Navan Connect, our open API framework, through which companies can integrate their own third-party corporate card programs into the Expense Management application. Third-party cards connected via Navan Connect can still benefit from nearly all of the capabilities offered within our Corporate Payments offering (such as instant application of customer expense policy and automated expense submission and reconciliation), without requiring our customers to transition their legacy corporate card relationship to the Navan Corporate Payments platform. This flexibility allows our Expense Management application to serve as the central point for viewing, managing, analyzing, and controlling all expense related data across the customer and their travelers, irrespective of the corporate card being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888"/>
          </w:cols>
          <w:pgMar w:left="652" w:top="1440" w:right="35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1374140</wp:posOffset>
            </wp:positionH>
            <wp:positionV relativeFrom="page">
              <wp:posOffset>1083310</wp:posOffset>
            </wp:positionV>
            <wp:extent cx="4808855" cy="2983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80885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8" w:right="80" w:hanging="328"/>
        <w:spacing w:after="0" w:line="254" w:lineRule="auto"/>
        <w:tabs>
          <w:tab w:leader="none" w:pos="32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Meetings and Events: </w:t>
      </w:r>
      <w:r>
        <w:rPr>
          <w:rFonts w:ascii="Arial" w:cs="Arial" w:eastAsia="Arial" w:hAnsi="Arial"/>
          <w:sz w:val="18"/>
          <w:szCs w:val="18"/>
          <w:color w:val="auto"/>
        </w:rPr>
        <w:t>Facilitates group event planning for employee gatherings through our platform, without our customers having</w:t>
      </w:r>
      <w:r>
        <w:rPr>
          <w:rFonts w:ascii="Arial" w:cs="Arial" w:eastAsia="Arial" w:hAnsi="Arial"/>
          <w:sz w:val="18"/>
          <w:szCs w:val="18"/>
          <w:i w:val="1"/>
          <w:iCs w:val="1"/>
          <w:color w:val="auto"/>
        </w:rPr>
        <w:t xml:space="preserve"> </w:t>
      </w:r>
      <w:r>
        <w:rPr>
          <w:rFonts w:ascii="Arial" w:cs="Arial" w:eastAsia="Arial" w:hAnsi="Arial"/>
          <w:sz w:val="18"/>
          <w:szCs w:val="18"/>
          <w:color w:val="auto"/>
        </w:rPr>
        <w:t>to deal with the complexity of having a costly in-house Meetings and Events team. This offering provides both a self-service option, as well as the ability to leverage our team of dedicated and experienced agents to lead researching, planning, and booking travel for meetings and events. This dedicated team aids the customer in cost reduction through network partners and expert consulting, and manages logistics for event experiences. Once the logistics and details of the event have been finalized, the user is able to share a singular invite with colleagues, through which they can book their own travel, lodging, and related travel needs, based on the pre-arranged details of the event (including recommended hotels and a full schedule of events). Our Meeting and Events application ultimately allows our customers to track the status of both bookings and spend across planned group events and meetings via a centralized platform, allowing our customers to better ensure policy adherence, control costs, and manage general logistics between the planning and event execution phases.</w:t>
      </w:r>
    </w:p>
    <w:p>
      <w:pPr>
        <w:spacing w:after="0" w:line="131" w:lineRule="exact"/>
        <w:rPr>
          <w:rFonts w:ascii="Arial" w:cs="Arial" w:eastAsia="Arial" w:hAnsi="Arial"/>
          <w:sz w:val="18"/>
          <w:szCs w:val="18"/>
          <w:color w:val="auto"/>
        </w:rPr>
      </w:pPr>
    </w:p>
    <w:p>
      <w:pPr>
        <w:ind w:left="328" w:hanging="328"/>
        <w:spacing w:after="0" w:line="259" w:lineRule="auto"/>
        <w:tabs>
          <w:tab w:leader="none" w:pos="32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VIP: </w:t>
      </w:r>
      <w:r>
        <w:rPr>
          <w:rFonts w:ascii="Arial" w:cs="Arial" w:eastAsia="Arial" w:hAnsi="Arial"/>
          <w:sz w:val="18"/>
          <w:szCs w:val="18"/>
          <w:color w:val="auto"/>
        </w:rPr>
        <w:t>Offers premium, white-glove support for executive travelers and high-priority itineraries through Navan Pro, our premium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merging the simplicity of our Travel offering application with the expertise of our dedicated agents. This offering delivers exceptional high-end travel support for businesses of all sizes globally, catering to specific needs such as private jets and police escorts for executives or sustained VIP service for entire businesses. Integrated with Navan technology, travelers benefit from our platform while receiving the expected level of VIP service.</w:t>
      </w:r>
    </w:p>
    <w:p>
      <w:pPr>
        <w:spacing w:after="0" w:line="125" w:lineRule="exact"/>
        <w:rPr>
          <w:rFonts w:ascii="Arial" w:cs="Arial" w:eastAsia="Arial" w:hAnsi="Arial"/>
          <w:sz w:val="18"/>
          <w:szCs w:val="18"/>
          <w:color w:val="auto"/>
        </w:rPr>
      </w:pPr>
    </w:p>
    <w:p>
      <w:pPr>
        <w:ind w:left="328" w:right="80" w:hanging="328"/>
        <w:spacing w:after="0" w:line="257" w:lineRule="auto"/>
        <w:tabs>
          <w:tab w:leader="none" w:pos="32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Bleisure: </w:t>
      </w:r>
      <w:r>
        <w:rPr>
          <w:rFonts w:ascii="Arial" w:cs="Arial" w:eastAsia="Arial" w:hAnsi="Arial"/>
          <w:sz w:val="18"/>
          <w:szCs w:val="18"/>
          <w:color w:val="auto"/>
        </w:rPr>
        <w:t>Our personal travel offering, Bleisure, enables leisure and bleisure bookings through the Navan platform as an added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for users from our customers. Users are incentivized to book personal travel through our platform with access to the same inventory, discounts, and on-platform travel support offered to their employer. Additional features such as the ability to use reward points earned on our platform from helping their employer save money via their booked travel to offset costs for their personal travel booking, as well as the ability to seamlessly extend an existing business trip to accommodate personal travel further encourages the broader use of our platform. These benefits allow us to increase platform engagement, allowing us to add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08"/>
          </w:cols>
          <w:pgMar w:left="652" w:top="1440" w:right="339" w:bottom="1440" w:gutter="0" w:footer="0" w:header="0"/>
        </w:sectPr>
      </w:pPr>
    </w:p>
    <w:bookmarkStart w:id="137" w:name="page138"/>
    <w:bookmarkEnd w:id="137"/>
    <w:p>
      <w:pPr>
        <w:spacing w:after="0" w:line="247" w:lineRule="exact"/>
        <w:rPr>
          <w:sz w:val="20"/>
          <w:szCs w:val="20"/>
          <w:color w:val="auto"/>
        </w:rPr>
      </w:pPr>
    </w:p>
    <w:p>
      <w:pPr>
        <w:ind w:left="660" w:right="880"/>
        <w:spacing w:after="0" w:line="287" w:lineRule="auto"/>
        <w:rPr>
          <w:sz w:val="20"/>
          <w:szCs w:val="20"/>
          <w:color w:val="auto"/>
        </w:rPr>
      </w:pPr>
      <w:r>
        <w:rPr>
          <w:rFonts w:ascii="Arial" w:cs="Arial" w:eastAsia="Arial" w:hAnsi="Arial"/>
          <w:sz w:val="18"/>
          <w:szCs w:val="18"/>
          <w:color w:val="auto"/>
        </w:rPr>
        <w:t>understanding of each user’s travel preferences and further refine recommendations to personalize the travel and booking experience offered under our Business Travel application.</w:t>
      </w:r>
    </w:p>
    <w:p>
      <w:pPr>
        <w:spacing w:after="0" w:line="9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capabilities across our suite of offerings are supplemented and supported by our comprehensive set of AI-powered capabilities, enabled through both ML and Navan Cognition. These tools enable our platform to offer personalized travel recommendations, automate manual workflows across travel and expense processes, and generate real-time insights that help companies make better, faster decisions. These capabilities allow us to continuously improve user experiences, further streamline workflows, unlock new use cases, and expand the value we deliver to customers over time.</w:t>
      </w:r>
    </w:p>
    <w:p>
      <w:pPr>
        <w:spacing w:after="0" w:line="1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More specifically, our user-friendly tools leverage powerful ML algorithms to intelligently surface highly personalized travel recommendations based on factors such as individual user profiles, loyalty preferences, and past booking behavior, all while optimizing pricing. Our AI-powered tools, enabled by our Navan Cognition framework, allow both us and our customers to automate manual workflows and processes. These tools also supplement existing capabilities through virtual agents that can take proactive steps, such as contacting hotels to verify payment arrangements before a traveler's arrival, ensuring a smooth check-in and offering real-time analysis of expense and spending data. This in turn drives significant efficiency and improves the overall user experience.</w:t>
      </w:r>
    </w:p>
    <w:p>
      <w:pPr>
        <w:spacing w:after="0" w:line="128"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Together, these capabilities provide a seamless, end-to-end experience that drives user satisfaction for our customers and enables our customers to operate more efficiently at scale, while reducing the time and cost associated with managing travel and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serve a broad and diverse customer base, with over 10,000 active customers as of January 31, 2025. Our customers (as defined in the section titled “Glossary of Terms”) range from enterprise businesses to middle -market to small and medium-sized businesses, none of which contributed to more than 2% of our revenue for fiscal 2025. This breadth is echoed in the variety of industries we serve, with customers spanning a diverse array of sectors, from software and technology to real estate, health, media, retail, finance, and more. In addition to industry diversity, our customers are geographically diverse, with 41% of our revenue in fiscal 2025 generated from customers based outside of the United States. This global presence reflects the international nature of business travel and our platform's ability to support customers with operations and employees worldwide.</w:t>
      </w:r>
    </w:p>
    <w:p>
      <w:pPr>
        <w:spacing w:after="0" w:line="129"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color w:val="auto"/>
        </w:rPr>
        <w:t>The broad-based nature of and diversity across our customer base highlights the universal need for efficient travel and expense management solutions across different sectors and company sizes, as well as the ubiquity of our offerings.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Principles and Employees</w:t>
      </w:r>
    </w:p>
    <w:p>
      <w:pPr>
        <w:spacing w:after="0" w:line="17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team that we have built at Navan has been critical to the success we have had to date. As we continue to invest in and grow both our business and our team, our employees continue to be guided by core principles shared across our organization on how we operate and behave:</w:t>
      </w:r>
    </w:p>
    <w:p>
      <w:pPr>
        <w:spacing w:after="0" w:line="117" w:lineRule="exact"/>
        <w:rPr>
          <w:sz w:val="20"/>
          <w:szCs w:val="20"/>
          <w:color w:val="auto"/>
        </w:rPr>
      </w:pPr>
    </w:p>
    <w:p>
      <w:pPr>
        <w:ind w:left="660" w:right="160" w:hanging="328"/>
        <w:spacing w:after="0" w:line="28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Obsession. </w:t>
      </w:r>
      <w:r>
        <w:rPr>
          <w:rFonts w:ascii="Arial" w:cs="Arial" w:eastAsia="Arial" w:hAnsi="Arial"/>
          <w:sz w:val="18"/>
          <w:szCs w:val="18"/>
          <w:color w:val="auto"/>
        </w:rPr>
        <w:t>We prioritize exceeding customer expectations to earn trust. This deep commitment to customer needs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rapid feedback fuels our agility, allowing us to quickly adapt our offerings and strategies to deliver best-in-class solutions.</w:t>
      </w:r>
    </w:p>
    <w:p>
      <w:pPr>
        <w:spacing w:after="0" w:line="98" w:lineRule="exact"/>
        <w:rPr>
          <w:rFonts w:ascii="Arial" w:cs="Arial" w:eastAsia="Arial" w:hAnsi="Arial"/>
          <w:sz w:val="18"/>
          <w:szCs w:val="18"/>
          <w:color w:val="auto"/>
        </w:rPr>
      </w:pPr>
    </w:p>
    <w:p>
      <w:pPr>
        <w:ind w:left="980" w:right="40" w:hanging="324"/>
        <w:spacing w:after="0" w:line="287" w:lineRule="auto"/>
        <w:tabs>
          <w:tab w:leader="none" w:pos="976" w:val="left"/>
        </w:tabs>
        <w:numPr>
          <w:ilvl w:val="1"/>
          <w:numId w:val="83"/>
        </w:numPr>
        <w:rPr>
          <w:rFonts w:ascii="Arial" w:cs="Arial" w:eastAsia="Arial" w:hAnsi="Arial"/>
          <w:sz w:val="18"/>
          <w:szCs w:val="18"/>
          <w:color w:val="auto"/>
        </w:rPr>
      </w:pPr>
      <w:r>
        <w:rPr>
          <w:rFonts w:ascii="Arial" w:cs="Arial" w:eastAsia="Arial" w:hAnsi="Arial"/>
          <w:sz w:val="18"/>
          <w:szCs w:val="18"/>
          <w:color w:val="auto"/>
        </w:rPr>
        <w:t>We do not just meet customer expectations, we aim to exceed them. By deeply understanding our customers, earning their trust, and swiftly acting on their feedback, we can keep Navan agile and our offerings unmatched.</w:t>
      </w:r>
    </w:p>
    <w:p>
      <w:pPr>
        <w:spacing w:after="0" w:line="98" w:lineRule="exact"/>
        <w:rPr>
          <w:rFonts w:ascii="Arial" w:cs="Arial" w:eastAsia="Arial" w:hAnsi="Arial"/>
          <w:sz w:val="18"/>
          <w:szCs w:val="18"/>
          <w:color w:val="auto"/>
        </w:rPr>
      </w:pPr>
    </w:p>
    <w:p>
      <w:pPr>
        <w:jc w:val="both"/>
        <w:ind w:left="660" w:right="260" w:hanging="328"/>
        <w:spacing w:after="0" w:line="268"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Autonomous Units. </w:t>
      </w:r>
      <w:r>
        <w:rPr>
          <w:rFonts w:ascii="Arial" w:cs="Arial" w:eastAsia="Arial" w:hAnsi="Arial"/>
          <w:sz w:val="18"/>
          <w:szCs w:val="18"/>
          <w:color w:val="auto"/>
        </w:rPr>
        <w:t>We aim to empower independent teams and balance outcomes with a vibrant culture. Our leadership fosters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agility by enabling faster decision-making and execution at functional &amp; local levels. This decentralized structure allows for quicker responses to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47"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auto"/>
        </w:rPr>
        <w:t>circumstances and market demands. The vibrant culture within these units drives high performance through increased ownership, motivation, and innovation.</w:t>
      </w:r>
    </w:p>
    <w:p>
      <w:pPr>
        <w:spacing w:after="0" w:line="99" w:lineRule="exact"/>
        <w:rPr>
          <w:sz w:val="20"/>
          <w:szCs w:val="20"/>
          <w:color w:val="auto"/>
        </w:rPr>
      </w:pPr>
    </w:p>
    <w:p>
      <w:pPr>
        <w:ind w:left="980" w:right="760" w:hanging="324"/>
        <w:spacing w:after="0" w:line="287" w:lineRule="auto"/>
        <w:tabs>
          <w:tab w:leader="none" w:pos="9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We push our teams not to wait, but lead. Teams move independently and are results driven. Faster decisions and rapid execution mean increased ownership, robust innovation, and a competitive edge in ever-changing markets.</w:t>
      </w:r>
    </w:p>
    <w:p>
      <w:pPr>
        <w:spacing w:after="0" w:line="9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Bias to Action. </w:t>
      </w:r>
      <w:r>
        <w:rPr>
          <w:rFonts w:ascii="Arial" w:cs="Arial" w:eastAsia="Arial" w:hAnsi="Arial"/>
          <w:sz w:val="18"/>
          <w:szCs w:val="18"/>
          <w:color w:val="auto"/>
        </w:rPr>
        <w:t>Data, metrics, and anecdotal insights guide decision-making. Speed remains paramount in our business approach.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tolerate analysis paralysis and accelerate our ability to capitalize on opportunities or address challenges swiftly. We foster a culture of experimentation and iteration, leading to higher performance through rapid learning and optimization.</w:t>
      </w:r>
    </w:p>
    <w:p>
      <w:pPr>
        <w:spacing w:after="0" w:line="116" w:lineRule="exact"/>
        <w:rPr>
          <w:rFonts w:ascii="Arial" w:cs="Arial" w:eastAsia="Arial" w:hAnsi="Arial"/>
          <w:sz w:val="18"/>
          <w:szCs w:val="18"/>
          <w:color w:val="auto"/>
        </w:rPr>
      </w:pPr>
    </w:p>
    <w:p>
      <w:pPr>
        <w:ind w:left="980" w:hanging="324"/>
        <w:spacing w:after="0" w:line="268" w:lineRule="auto"/>
        <w:tabs>
          <w:tab w:leader="none" w:pos="9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At Navan, speed matters. We move quickly, using a combination of data, insightful metrics, and real-world experiences. Analysis paralysis is not in our vocabulary; instead, we aim to excel through experimentation, iteration, and decisive action, quickly learning and continually optimizing for success.</w:t>
      </w:r>
    </w:p>
    <w:p>
      <w:pPr>
        <w:spacing w:after="0" w:line="116"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Extreme Ownership. </w:t>
      </w:r>
      <w:r>
        <w:rPr>
          <w:rFonts w:ascii="Arial" w:cs="Arial" w:eastAsia="Arial" w:hAnsi="Arial"/>
          <w:sz w:val="18"/>
          <w:szCs w:val="18"/>
          <w:color w:val="auto"/>
        </w:rPr>
        <w:t>Our leaders foster a culture of responsibility and clear communication. There is no task beneath them; every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 of the business is their concern. Clear communication, championed by leaders, enhances agility by facilitating rapid information flow and coordinated action across teams. This commitment to the entire business fosters a culture of shared success, contributing significantly to our sustained success by building trust and alignment throughout the organization.</w:t>
      </w:r>
    </w:p>
    <w:p>
      <w:pPr>
        <w:spacing w:after="0" w:line="122" w:lineRule="exact"/>
        <w:rPr>
          <w:rFonts w:ascii="Arial" w:cs="Arial" w:eastAsia="Arial" w:hAnsi="Arial"/>
          <w:sz w:val="18"/>
          <w:szCs w:val="18"/>
          <w:color w:val="auto"/>
        </w:rPr>
      </w:pPr>
    </w:p>
    <w:p>
      <w:pPr>
        <w:ind w:left="980" w:right="380" w:hanging="324"/>
        <w:spacing w:after="0" w:line="268" w:lineRule="auto"/>
        <w:tabs>
          <w:tab w:leader="none" w:pos="9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We believe accountability starts at the top and extends through every layer of our organization. Leaders take personal responsibility, as no job is too small or insignificant. Clear communication and teamwork create a culture that’s built on trust, which ensures shared success.</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Learning. </w:t>
      </w:r>
      <w:r>
        <w:rPr>
          <w:rFonts w:ascii="Arial" w:cs="Arial" w:eastAsia="Arial" w:hAnsi="Arial"/>
          <w:sz w:val="18"/>
          <w:szCs w:val="18"/>
          <w:color w:val="auto"/>
        </w:rPr>
        <w:t>We embed a mindset of continuous improvement through consistent learning, reflection, and feedback.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to growth drives high performance by fostering innovation, improving efficiency, and enhancing problem-solving capabilities.</w:t>
      </w:r>
    </w:p>
    <w:p>
      <w:pPr>
        <w:spacing w:after="0" w:line="116" w:lineRule="exact"/>
        <w:rPr>
          <w:rFonts w:ascii="Arial" w:cs="Arial" w:eastAsia="Arial" w:hAnsi="Arial"/>
          <w:sz w:val="18"/>
          <w:szCs w:val="18"/>
          <w:color w:val="auto"/>
        </w:rPr>
      </w:pPr>
    </w:p>
    <w:p>
      <w:pPr>
        <w:ind w:left="980" w:right="40" w:hanging="324"/>
        <w:spacing w:after="0" w:line="287" w:lineRule="auto"/>
        <w:tabs>
          <w:tab w:leader="none" w:pos="9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Improvement is a constant. We are obsessed with personal and professional growth, through consistent learning, reflection, and feedback. Our curiosity fosters innovation, streamlines efficiency, and transforms challenges into opportunities.</w:t>
      </w:r>
    </w:p>
    <w:p>
      <w:pPr>
        <w:spacing w:after="0" w:line="98"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Best Team. </w:t>
      </w:r>
      <w:r>
        <w:rPr>
          <w:rFonts w:ascii="Arial" w:cs="Arial" w:eastAsia="Arial" w:hAnsi="Arial"/>
          <w:sz w:val="18"/>
          <w:szCs w:val="18"/>
          <w:color w:val="auto"/>
        </w:rPr>
        <w:t>We lead through coaching, valuing drive, intelligence, qualifications, and character. We seek to attract and develop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highest caliber talent for the company. We empower leaders to develop individuals and maximize team performance through consistent coaching and value strong character and essential intangible qualities for lasting success and collaboration.</w:t>
      </w:r>
    </w:p>
    <w:p>
      <w:pPr>
        <w:spacing w:after="0" w:line="116" w:lineRule="exact"/>
        <w:rPr>
          <w:rFonts w:ascii="Arial" w:cs="Arial" w:eastAsia="Arial" w:hAnsi="Arial"/>
          <w:sz w:val="18"/>
          <w:szCs w:val="18"/>
          <w:color w:val="auto"/>
        </w:rPr>
      </w:pPr>
    </w:p>
    <w:p>
      <w:pPr>
        <w:ind w:left="980" w:right="200" w:hanging="324"/>
        <w:spacing w:after="0" w:line="268" w:lineRule="auto"/>
        <w:tabs>
          <w:tab w:leader="none" w:pos="9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We are committed to building the ultimate team. We attract and nurture talent defined by drive, intelligence, qualifications, and character. Our leaders uplift individuals through intentional coaching, recognizing potential, and amplifying performance. This emphasis on people shapes our culture of excellence and collaboration, fueling ongoing success.</w:t>
      </w:r>
    </w:p>
    <w:p>
      <w:pPr>
        <w:spacing w:after="0" w:line="117"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As of January 31, 2025, we had approximately 3,200 employees globally. None of our employees are represented by a labor union. However, in certain countries in which we operate, such as The Netherlands,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320" w:top="1440" w:right="399" w:bottom="1440" w:gutter="0" w:footer="0" w:header="0"/>
        </w:sectPr>
      </w:pPr>
    </w:p>
    <w:bookmarkStart w:id="139" w:name="page140"/>
    <w:bookmarkEnd w:id="139"/>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1"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Our sales and marketing teams are dedicated to driving adoption of our travel management, expense and corporate card offerings across our core geographies.</w:t>
      </w:r>
    </w:p>
    <w:p>
      <w:pPr>
        <w:spacing w:after="0" w:line="9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go-to-market strategy is designed to best serve our large, diverse, and global customer base. The customers that we serve range from small businesses considering a managed travel and expense solution for their employees for the first time, to several of the world’s largest, global enterprises, which can spend over $100 million on travel each year. We typically sell into finance, accounting and procurement teams, and at times also the C-suite, aligning with business transformation initiatives focused around driving hard cost savings, operating efficiencies, as well as travel and expense policy adherence, while improving user productivity and engagement. We focus on surfacing value to every department throughout the customer engagement process as our travel, corporate cards, and expense offerings are relevant and applicable to functions across the business, from front-office to back-office.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deploy two primary sales motions, which are tailored to the needs of each of our customer types and regions.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sales-led and product-led go-to-market strategies are targeted towards prospective customers who oftentimes do not have an existing travel and expense management solution. These customers are oftentimes smaller (although, not always) and find Navan in various ways, including through our growth marketing efforts and are attracted to the streamlined experience we provide to travelers and the tangible cost savings potential provided by our platform, as well as the convenience of our self-service capabilities. In fact, since launching our new self-serve offering in March 2022, thousands of customers have joined our platform through our website, with minimal sales touchpoints. We have also established affiliate partnerships as an additional channel to engage companies. Once live and transacting, these companies leverage our comprehensive knowledge base library, chat support, and a scaled customer-success desk for ongoing post go-live support. Customers have the opportunity to purchase additional Navan offerings directly from the platform and/or with the assistance of an account executive.</w:t>
      </w:r>
    </w:p>
    <w:p>
      <w:pPr>
        <w:spacing w:after="0" w:line="12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For prospective customers with existing travel and expense management solutions, we deploy both inside and field sales professionals around the globe, with our exact approach adjusted based on the size and complexity of the prospective customer. These businesses are typically larger and have highly complex travel needs and legacy systems. These customers are assigned account managers for fast implementation and post go-live to drive optimal adoption, expansion, and retention.</w:t>
      </w:r>
    </w:p>
    <w:p>
      <w:pPr>
        <w:spacing w:after="0" w:line="12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While travel management has been the focus of our sales teams since our founding, the launch of our expense and corporate payments offerings in 2020 broadened our sales motion and favorable customer impact. With these offerings, we are able to sell an all-in-one suite of complementary capabilities. Our Travel offering is often the beginning of a customer’s journey. From there, we can help customers realize synergies by expanding into our Corporate Payments and Expense Management offering. For example, in fiscal 2025, approximately 48% of our customers purchased our Travel offering as well as one or both of our Corporate Payments and Expense Management offerings. For customers that initially purchased our Travel offering exclusively, our sales organization checks in periodically to position our Expense Management and Corporate Payments offerings (along with our VIP, Meetings and Events, and Bleisure offerings) to expand customer value. These customers are also prompted within our application to highlight the potential value upside from coupling their existing offerings with our broader product suite. The efforts of our sales organization, as well as the prompts within the application, are critical drivers for helping us capture the significant go-forward runway we have by driving deeper penetration of our existing customers across our entire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69" w:lineRule="exact"/>
        <w:rPr>
          <w:sz w:val="20"/>
          <w:szCs w:val="20"/>
          <w:color w:val="auto"/>
        </w:rPr>
      </w:pPr>
    </w:p>
    <w:p>
      <w:pPr>
        <w:ind w:right="80" w:firstLine="324"/>
        <w:spacing w:after="0" w:line="278" w:lineRule="auto"/>
        <w:rPr>
          <w:sz w:val="20"/>
          <w:szCs w:val="20"/>
          <w:color w:val="auto"/>
        </w:rPr>
      </w:pPr>
      <w:r>
        <w:rPr>
          <w:rFonts w:ascii="Arial" w:cs="Arial" w:eastAsia="Arial" w:hAnsi="Arial"/>
          <w:sz w:val="17"/>
          <w:szCs w:val="17"/>
          <w:color w:val="auto"/>
        </w:rPr>
        <w:t>Our marketing efforts focus on reach, acquisition, and revenue. We have been able to use our travel and expense management strategy to win customers ranging from five employees to thousands of employees, all while in the process of building brand and category awareness and creating a new market. To establish awareness of our platform, we leverage a world-class demand generation engine that feeds self-service channels as well as our sales teams. We generate leads through digital marketing campaigns, paid search, referrals, word-of-mouth, content-marketing, account-based marketing, in-product customer education, brand advertising, public relations, and social media.</w:t>
      </w:r>
    </w:p>
    <w:p>
      <w:pPr>
        <w:spacing w:after="0" w:line="11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grow our relationships with existing customers by expanding their engagement with our platform and our offerings. Expanded use of our platform is enabled by customer education and lead generation campaigns that include our education center for travel manager education, automated nurture programs, and word-of-mouth.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171"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Our innovation is fundamentally powered by our world-class global Research and Development, or R&amp;D, organization, where we have deeply embedded AI to help drive rapid, targeted innovation and deliver AI-enhanced value to our customers. The velocity, agility, and productivity of our R&amp;D capabilities are significantly amplified by AI, representing a key competitive differentiator. Guided by an AI-first technology vision and DORA (DevOps Research and Assessment) elite standards, our engineering teams often deploy production changes over 100 times in a day. Strategic AI adoption throughout the engineering lifecycle, from coding assistance to intelligent deployment, has accelerated our pace of development and innovation. This AI-augmented approach is powered by our strong global R&amp;D talent team, strategically distributed across key innovation hubs including Palo Alto, Bangalore, Berlin, and Tel Aviv. This global footprint allows us to operate 24/7 from an engineering perspective, allowing us to scale our platform capabilities with significant speed and efficiency.</w:t>
      </w:r>
    </w:p>
    <w:p>
      <w:pPr>
        <w:spacing w:after="0" w:line="11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continuously invest in R&amp;D, with a primary focus on enhancing our platform's intelligence, functionality, and user experience through the continual integration of AI capabilities, aimed at ensuring the solutions we introduce are predictive of evolving customer demands. Our AI-augmented, customer-centric feedback loop enables us to proactively drive operational efficiencies and a personalized customer experience. This commitment extends to maintaining a secure, scalable, and high-performance platform, underscored by our 99.99% average uptime, in line with industry leaders, with AI playing a crucial role in areas like threat detection, system optimization, and predictive maintenance. Our R&amp;D consistently yields market-defining, AI-powered offerings, from intuitive travel bookings and sophisticated corporate cards with AI-based fraud prevention, to AI-native expense automation. Notably, solution introductions from our R&amp;D team such as Ava, our in-house, proprietary AI customer service tool, allow our platform to autonomously handle over % of interactions, enhancing customer satisfaction.</w:t>
      </w:r>
    </w:p>
    <w:p>
      <w:pPr>
        <w:spacing w:after="0" w:line="13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believe the global breadth of our R&amp;D engineering team, its deep use of AI, and the resulting efficiency of the R&amp;D team are strategic advantages for us, allowing us to innovate quickly, keep our infrastructure costs low (allowing us to drive higher margins), and continuously redefine the possibilities in travel and expense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1"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We compete in several highly competitive industries, and our ability to compete successfully and grow our market share is essential to our long-term growth and success.</w:t>
      </w:r>
    </w:p>
    <w:p>
      <w:pPr>
        <w:spacing w:after="0" w:line="99"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We are not a traditional travel provider. Unlike legacy travel management companies that operate as services businesses, Navan is a software platform built on modern infrastructure, proprietary AI, and automation. Our higher-margin model enables us to reinvest more aggressively in product innovation, user experience, and go-to-market, and deeper engagement across our customer base. As a result, we are able to serve a broader range of customers, from startups to global enterprises, while compounding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4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value of our network with every new user, customer, and supplier added. This creates a powerful flywheel and network effect, contributing to our growth potential.</w:t>
      </w:r>
    </w:p>
    <w:p>
      <w:pPr>
        <w:spacing w:after="0" w:line="9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travel industry is highly competitive and fragmented. We currently compete, and will continue to compete, with a variety of travel and travel-related companies, including other travel management service providers such as BCD Travel, Global Business Travel Group, and SAP Concur, traditional travel agencies, as well as emerging and established online travel agencies. We also face competition, to a lesser extent, from credit card loyalty programs, online travel search and price comparison services, facilitators of alternative accommodations such as short-term home or condominium rentals, social media and e-commerce websites, as well as direct-booking platforms from hotel chains and airliners. We compete by offering our customers a unified, end-to-end travel and expense management platform with global scale and broad inventory, as well as by delivering on a better and more intuitive user experience for employees looking to book their travel, better customer service, better personalization, and more automation across workflows to drive efficiency. We compete against legacy travel companies with our differentiated technology platform that has been built over many years and by technology driven talent. We believe our investments in technology and our ability to act on the underlying data we have collected across our customers are unique and as we continue to invest, we should see an acceleration of our flywheels. We compete against emerging companies with our global scale, supply relationships, and infrastructure. Business travel is global and involves connecting a fractured supplier base to travel buyers, and we have invested in building those direct relationships and creating a platform where customers, travelers, and suppliers win.</w:t>
      </w:r>
    </w:p>
    <w:p>
      <w:pPr>
        <w:spacing w:after="0" w:line="131"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Our expense and corporate card businesses face competitive challenges from do-it-yourself approaches as well as horizontal platform solutions with expense management features such as Expensify, Oracle, and SAP, corporate card providers, and expense management solutions such as Brex and Ramp. With the introduction of new technologies and the entry of new companies into the market, we expect competition to persist and intensify. We compete against these new and existing solutions by serving a robust travel and expense management solution that integrates data across both workflows into a unified, end-to-end platform, allowing us to offer our customers full visibility and control across their travel and expense spend, and drive savings and operational efficiency. In addition to this, we have long believed in an open API policy. This ultimately underpinned the launch of Navan Connect, which allows customers and travelers to port any enrolled corporate Mastercard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Visa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card into our Expense Management offering, including those issued by other corporate card providers such as Brex.</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differentiators that drive our leadership in the markets we compete in include the following:</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Unified, end-to-end travel and expense management offering with global scale and supply presence;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Relentless focus on the frequent traveler and customer experience;</w:t>
      </w:r>
    </w:p>
    <w:p>
      <w:pPr>
        <w:spacing w:after="0" w:line="171"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AI-powered differentiated traveler experience, including optimizing and simplifying search, providing highly tailored and customized travel recommendations, as well as proactive support in case of travel interruption;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Ease of access, deployment, adoption,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Actionable analytics and intelligence for managers to monitor, analyze and approve travel and entertainment spend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Platform functionality and ability to automate processes;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Mobile access across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Data security and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1440" w:right="479" w:bottom="1440" w:gutter="0" w:footer="0" w:header="0"/>
        </w:sectPr>
      </w:pPr>
    </w:p>
    <w:bookmarkStart w:id="142" w:name="page143"/>
    <w:bookmarkEnd w:id="142"/>
    <w:p>
      <w:pPr>
        <w:spacing w:after="0" w:line="24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Speed and scalability of architecture underlying the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Brand reputation;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compete favorably against our competitors on the basis of the factors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Our intellectual property rights, including those in our proprietary technology, software, data, processes, know-how, and brand, are an important aspect of our business and help us maintain our competitive position. To establish and protect our rights in our intellectual property, we rely upon a combination of patent, copyright, trade secret, and trademark laws, and contractual restrictions such as confidentiality agreements, licenses, and intellectual property assignment agreements.</w:t>
      </w:r>
    </w:p>
    <w:p>
      <w:pPr>
        <w:spacing w:after="0" w:line="12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As of June 1, 2025, we have six trademark registrations and three trademark applications in the United States, as well as 80 trademark registrations and six trademark applications in foreign jurisdictions. We will pursue additional trademark registrations to the extent we believe it would be beneficial and cost effective. We also own domain names, including www.navan.com.</w:t>
      </w:r>
    </w:p>
    <w:p>
      <w:pPr>
        <w:spacing w:after="0" w:line="117"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As of June 1, 2025, we have two issued patents and 14 pending patent applications in the United States, and 13 pending international patent applications. One of our issued U.S. patents expires in 2039 and the other in 2041. We continually review our development efforts to assess the existence and patentability of new intellectual property.</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Our practices require our employees and third parties who develop any material intellectual property on our behalf to enter into confidentiality and invention assignment agreements. Our practices also require third parties with whom we share our confidential proprietary information to enter into nondisclosure and confidentiality agreements or to be bound by professional, fiduciary or other contractual obligations requiring the applicable employee or third party to protect our trade secrets, proprietary know-how, and other confidential proprietary information, including those related to our proprietary AI models. However, we cannot guarantee that we have entered into agreements containing such obligations with each party that has been involved in the development of intellectual property for us or that has, or may have had, access to our trade secrets, proprietary know-how, and other confidential proprietary information.</w:t>
      </w:r>
    </w:p>
    <w:p>
      <w:pPr>
        <w:spacing w:after="0" w:line="131"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In addition, intellectual property laws and our procedures and restrictions provide only limited protection, and any of our intellectual property rights may be challenged, invalidated, circumvented, infringed, or misappropriated.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71"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Our business activities are or may be subject to various federal, state, local, and foreign laws, rules, and regulations, including those related to travel, data privacy, security and data protection, financial services, intellectual property, advertising practices, employment and labor, tax, anti-corruption, and export control and sanctions laws.</w:t>
      </w:r>
    </w:p>
    <w:p>
      <w:pPr>
        <w:spacing w:after="0" w:line="11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travel management business is subject to registration and licensing requirements imposed by airline industry-established organizations, including agent accreditation requirements imposed by the Airlines Reporting Corporation, or the ARC, in the United States and the International Air Transport Association, or the IATA, in other countries. Pursuant to such accreditation and licensing requirements, our business is authorized to sell and issue tickets on behalf of various airlines, subject to agent rules set by the ARC and the IATA. The failure by our business to comply with such requirements and rules or to obtain and maintain such licenses could result in the suspension or revocation of our authority to sell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320" w:top="1440" w:right="379" w:bottom="1440" w:gutter="0" w:footer="0" w:header="0"/>
        </w:sectPr>
      </w:pPr>
    </w:p>
    <w:bookmarkStart w:id="143" w:name="page144"/>
    <w:bookmarkEnd w:id="143"/>
    <w:p>
      <w:pPr>
        <w:spacing w:after="0" w:line="24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issue tickets on behalf of one or more airlines. In addition, R&amp;M UK also has an ATOL registration, which is similar to the EU package travel directive (that otherwise generally does not apply to Navan and its subsidiaries).</w:t>
      </w:r>
    </w:p>
    <w:p>
      <w:pPr>
        <w:spacing w:after="0" w:line="99"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As we continue to expand our travel management offerings based on new offerings and features or new geographic regions, we may become subject to additional laws and regulations applicable to TMCs or travel booking platforms, including, in some countries, licensing and registration requirements, price or other display requirements, mandatory bonding and travel indemnity fund contributions, industry specific value-added tax regimes, and laws regulating the provision of travel packages.</w:t>
      </w:r>
    </w:p>
    <w:p>
      <w:pPr>
        <w:spacing w:after="0" w:line="122"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Currently, we partner with banks and other regulated financial institutions that enter into direct agreements with our customers to provide regulated offerings as part of our expense management offering. Nevertheless, the laws and regulations related to payments and lending are complex, subject to change, and vary across different jurisdictions in the United States and globally. We may become subject to financial services laws and regulations, including laws and regulations regulating or requiring licensing for payments or lending-related activities, as we expand our expense management solution into new regions and develop new offerings in the future or if regulatory interpretations of existing laws change or are otherwise deemed to apply to our business activities. New and existing laws and regulations (or changes in interpretation of existing laws and regulations) may also be adopted, implemented, or interpreted to apply to our activities or those of our service partners, and uncertainty around the application of these laws may affect demand for travel and our expense management platform. Additionally, as our platform’s geographic scope expands, regulatory agencies, courts, and other authorities may claim that we are subject to additional requirements or are prohibited from conducting our business in or with customers in certain jurisdictions, either generally or with respect to certain services, or that we are otherwise required to change our business practices. We believe we are in material compliance with such laws and regulations and do not expect continued compliance to have a material impact on our capital expenditures, earnings, or competitive position. For additional discussion on governmental regulation affecting our business, please see the section titled “Risk Factors—Risks Related to Legal and Regulatory Matters.”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Security and Privacy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data we collect, use, receive, and otherwise process is integral to our business, enabling us to provide our offerings to our customers and providing us with insights to improve our platform and offerings, particularly related to our AI offerings enabled by Navan Cognition. Our collection, use, receipt, and other processing of data (including personal information) in our business subjects us to numerous U.S. state and federal and international laws and regulations addressing privacy, data protection, information security and the collection, storing, sharing, use, transfer, disclosure, protection, and processing of certain types of data, and use of personal information for marketing, advertising, and other activities conducted by telephone, email, mobile devices, and the Internet. Such regulations include, for example, CAN-SPAM, CCPA, GDPR, and the EU ePrivacy Directive. We work to comply with, and to help allow customers to comply with, applicable laws and regulations relating to privacy, data protection, cybersecurity, and information security. This helps to underpin our strategy of building trust and providing a strong experience to customers.</w:t>
      </w:r>
    </w:p>
    <w:p>
      <w:pPr>
        <w:spacing w:after="0" w:line="127"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For example, 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cybersecurity).</w:t>
      </w:r>
    </w:p>
    <w:p>
      <w:pPr>
        <w:spacing w:after="0" w:line="11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Numerous U.S. states have enacted comprehensive consumer privacy laws that impose certain obligations on covered businesses, including providing specific disclosures in privacy notices and affording consumers with certain rights concerning their personal information. Certain states also impose stricter requirements for processing certain personal information, including sensitive personal information, such as conducting data privacy impact assessments. These state laws allow for statutory fines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noncompliance. For example, the CCPA applies to personal information of consumers, business representatives, employees, and others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Moreover, all U.S. states have enacted state data breach notification laws requiring businesses to provide notice under certain circumstances to consumers whose personal information has been disclosed as a result of a data breach.</w:t>
      </w:r>
    </w:p>
    <w:p>
      <w:pPr>
        <w:spacing w:after="0" w:line="1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Furthermore, as we accept and store debit and credit cards for payment, we are subject to the PCI-DSS, issued by the Payment Card Industry Security Standards Council. PCI-DSS contains compliance guidelines with regard to our security surrounding the physical and electronic storage, processing, and transmission of cardholder data. Costs and potential problems and interruptions associated with the implementation of new or upgraded systems and technology, such as those necessary to achieve compliance with PCI-DSS or with maintenance or adequate support of existing systems could also disrupt or reduce the efficiency of our operations.</w:t>
      </w:r>
    </w:p>
    <w:p>
      <w:pPr>
        <w:spacing w:after="0" w:line="1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contract with third-party service providers, including shared cloud computing services, to store or process data (including personal information) on our behalf in compliance with applicable laws, regulations, rules and standards. To that end, we strive to enter into data processing agreements with all our third-party providers to clearly define the services being provided and the nature of the engagement, for example the protection and ownership of the data being processed by the service provider. We also maintain processes to ensure that all our third-party providers comply with our data processing agreements, as applicable. However, we may at times fail to do so and cannot ensure that our data processing agreements will be sufficient to protect us from claims, proceedings, liability or adverse publicity relating to data privacy or cybersecurity.</w:t>
      </w:r>
    </w:p>
    <w:p>
      <w:pPr>
        <w:spacing w:after="0" w:line="12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Furthermore, the evolving regulatory framework complicates data transfers across borders. For example, legal developments in the EEA and the U.K. have created complexity and uncertainty regarding processing and transfers of personal data from the EEA and the U.K. to the United States and other so-called third countries outside the EEA and the U.K. that have not been determined by the relevant data protection authorities to provide an adequate level of protection for privacy rights. Ongoing legal challenges and changes in adequacy decisions, such as the EU-U.S. Data Privacy Framework, may further restrict our ability to transfer personal data internationally, potentially disrupting our operations. In many cases, these laws and regulations apply not only to third-party transactions, but also to transfers of information among our entities.</w:t>
      </w:r>
    </w:p>
    <w:p>
      <w:pPr>
        <w:spacing w:after="0" w:line="1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Despite our efforts to comply with applicable laws, regulations and other obligations relating to privacy, data protection, cybersecurity and information security, it is possible that our interpretations of the law, practices or platform could be inconsistent with, or fail or be alleged to fail to meet all requirements of, such laws, regulations, or obligations. Our failure, or the failure by our third-party partners, vendors, service providers, or customers, to comply with applicable laws or regulations or any other obligations relating to privacy, data protection, cybersecurity, or information security, or any compromise of security that results in unauthorized access to, or use, modification, release, or other unauthorized processing of personal information or other data relating to customers, their employees, other personnel and / or other individuals, or the perception that any of the foregoing types of failure or compromise has occurred, could damage our reputation and brand, discourage new and existing customers from using our platform, or result in fines, investigations, or proceedings by governmental agencies, and private claims and litigation, any of which could adversely affect our business, financial condition, and results of operations. Furthermore, we and our third-party partners, vendors and service providers with whom we work are subject to a variety of evolving cybersecurity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adware, telecommunications failures, earthquakes, fires, floods, attacks enhanced or facilitated by AI, and other similar threats. While we have implemented security measures designed to protect against security incidents and data breaches, there can be no assurance that these measures will be effective. For more information on risks associated with our information technology systems, see the section titled “Risk Factors—Risks Related to Privacy, Cybersecurity, and Intellectual Property.”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are headquartered in Palo Alto, California, where we occupy approximately 31,500 square feet of office space pursuant to a lease that expires in 2032. In addition, we lease office space in the United States in San Francisco, CA; Coppell and Austin, TX; New York City, NY; and internationally, including in London, Paris, Berlin, Lisbon, United Arab Emirates, Israel, India and Australia, which we use for operations, sales, and engineering, as applicable.</w:t>
      </w:r>
    </w:p>
    <w:p>
      <w:pPr>
        <w:spacing w:after="0" w:line="12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We intend to procure additional space in the future as we continue to add employees and expand geographically. We believe that our current facilities are adequate to meet our current needs and that, should it be needed, suitable additional or alternative space will be available to accommodate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results of operations,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360" w:type="dxa"/>
            <w:vAlign w:val="bottom"/>
          </w:tcPr>
          <w:p>
            <w:pPr>
              <w:ind w:left="800"/>
              <w:spacing w:after="0"/>
              <w:rPr>
                <w:sz w:val="20"/>
                <w:szCs w:val="20"/>
                <w:color w:val="auto"/>
              </w:rPr>
            </w:pPr>
            <w:r>
              <w:rPr>
                <w:rFonts w:ascii="Arial" w:cs="Arial" w:eastAsia="Arial" w:hAnsi="Arial"/>
                <w:sz w:val="18"/>
                <w:szCs w:val="18"/>
                <w:b w:val="1"/>
                <w:bCs w:val="1"/>
                <w:color w:val="auto"/>
              </w:rPr>
              <w:t>MANAGEMENT</w:t>
            </w:r>
          </w:p>
        </w:tc>
        <w:tc>
          <w:tcPr>
            <w:tcW w:w="1720" w:type="dxa"/>
            <w:vAlign w:val="bottom"/>
          </w:tcPr>
          <w:p>
            <w:pPr>
              <w:spacing w:after="0"/>
              <w:rPr>
                <w:sz w:val="21"/>
                <w:szCs w:val="21"/>
                <w:color w:val="auto"/>
              </w:rPr>
            </w:pPr>
          </w:p>
        </w:tc>
      </w:tr>
      <w:tr>
        <w:trPr>
          <w:trHeight w:val="378"/>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 and Non-Employee Directors</w:t>
            </w:r>
          </w:p>
        </w:tc>
        <w:tc>
          <w:tcPr>
            <w:tcW w:w="5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0"/>
        </w:trPr>
        <w:tc>
          <w:tcPr>
            <w:tcW w:w="9520" w:type="dxa"/>
            <w:vAlign w:val="bottom"/>
            <w:gridSpan w:val="5"/>
          </w:tcPr>
          <w:p>
            <w:pPr>
              <w:ind w:left="340"/>
              <w:spacing w:after="0"/>
              <w:rPr>
                <w:sz w:val="20"/>
                <w:szCs w:val="20"/>
                <w:color w:val="auto"/>
              </w:rPr>
            </w:pPr>
            <w:r>
              <w:rPr>
                <w:rFonts w:ascii="Arial" w:cs="Arial" w:eastAsia="Arial" w:hAnsi="Arial"/>
                <w:sz w:val="18"/>
                <w:szCs w:val="18"/>
                <w:color w:val="auto"/>
              </w:rPr>
              <w:t>The following table provides information regarding our executive officers and non-employee directors as of</w:t>
            </w:r>
          </w:p>
        </w:tc>
        <w:tc>
          <w:tcPr>
            <w:tcW w:w="1720" w:type="dxa"/>
            <w:vAlign w:val="bottom"/>
          </w:tcPr>
          <w:p>
            <w:pPr>
              <w:jc w:val="right"/>
              <w:ind w:right="910"/>
              <w:spacing w:after="0"/>
              <w:rPr>
                <w:sz w:val="20"/>
                <w:szCs w:val="20"/>
                <w:color w:val="auto"/>
              </w:rPr>
            </w:pPr>
            <w:r>
              <w:rPr>
                <w:rFonts w:ascii="Arial" w:cs="Arial" w:eastAsia="Arial" w:hAnsi="Arial"/>
                <w:sz w:val="18"/>
                <w:szCs w:val="18"/>
                <w:color w:val="auto"/>
              </w:rPr>
              <w:t>, 2025:</w:t>
            </w:r>
          </w:p>
        </w:tc>
      </w:tr>
      <w:tr>
        <w:trPr>
          <w:trHeight w:val="386"/>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Age</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Position(s)</w:t>
            </w:r>
          </w:p>
        </w:tc>
        <w:tc>
          <w:tcPr>
            <w:tcW w:w="1720" w:type="dxa"/>
            <w:vAlign w:val="bottom"/>
          </w:tcPr>
          <w:p>
            <w:pPr>
              <w:spacing w:after="0"/>
              <w:rPr>
                <w:sz w:val="24"/>
                <w:szCs w:val="24"/>
                <w:color w:val="auto"/>
              </w:rPr>
            </w:pPr>
          </w:p>
        </w:tc>
      </w:tr>
      <w:tr>
        <w:trPr>
          <w:trHeight w:val="224"/>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3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Ariel Cohen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Chairperson of our board of directors and Chief Executive Officer</w:t>
            </w:r>
          </w:p>
        </w:tc>
        <w:tc>
          <w:tcPr>
            <w:tcW w:w="1720" w:type="dxa"/>
            <w:vAlign w:val="bottom"/>
          </w:tcPr>
          <w:p>
            <w:pPr>
              <w:spacing w:after="0"/>
              <w:rPr>
                <w:sz w:val="19"/>
                <w:szCs w:val="19"/>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Ilan Twig</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and Chief Technology Officer</w:t>
            </w:r>
          </w:p>
        </w:tc>
        <w:tc>
          <w:tcPr>
            <w:tcW w:w="1720" w:type="dxa"/>
            <w:vAlign w:val="bottom"/>
            <w:shd w:val="clear" w:color="auto" w:fill="CCEEFF"/>
          </w:tcPr>
          <w:p>
            <w:pPr>
              <w:spacing w:after="0"/>
              <w:rPr>
                <w:sz w:val="19"/>
                <w:szCs w:val="19"/>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Amy Butte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spacing w:after="0"/>
              <w:rPr>
                <w:sz w:val="19"/>
                <w:szCs w:val="19"/>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Sindicich</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w:t>
            </w:r>
          </w:p>
        </w:tc>
        <w:tc>
          <w:tcPr>
            <w:tcW w:w="1720" w:type="dxa"/>
            <w:vAlign w:val="bottom"/>
            <w:shd w:val="clear" w:color="auto" w:fill="CCEEFF"/>
          </w:tcPr>
          <w:p>
            <w:pPr>
              <w:spacing w:after="0"/>
              <w:rPr>
                <w:sz w:val="19"/>
                <w:szCs w:val="19"/>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 Horowitz</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shd w:val="clear" w:color="auto" w:fill="CCEEFF"/>
          </w:tcPr>
          <w:p>
            <w:pPr>
              <w:spacing w:after="0"/>
              <w:rPr>
                <w:sz w:val="19"/>
                <w:szCs w:val="19"/>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Arif Janmohamed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19"/>
                <w:szCs w:val="19"/>
                <w:color w:val="auto"/>
              </w:rPr>
            </w:pPr>
          </w:p>
        </w:tc>
      </w:tr>
      <w:tr>
        <w:trPr>
          <w:trHeight w:val="23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Kourey</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shd w:val="clear" w:color="auto" w:fill="CCEEFF"/>
          </w:tcPr>
          <w:p>
            <w:pPr>
              <w:spacing w:after="0"/>
              <w:rPr>
                <w:sz w:val="19"/>
                <w:szCs w:val="19"/>
                <w:color w:val="auto"/>
              </w:rPr>
            </w:pPr>
          </w:p>
        </w:tc>
      </w:tr>
      <w:tr>
        <w:trPr>
          <w:trHeight w:val="229"/>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Clara Liang</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19"/>
                <w:szCs w:val="19"/>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Sandesh Patnam</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shd w:val="clear" w:color="auto" w:fill="CCEEFF"/>
          </w:tcPr>
          <w:p>
            <w:pPr>
              <w:spacing w:after="0"/>
              <w:rPr>
                <w:sz w:val="19"/>
                <w:szCs w:val="19"/>
                <w:color w:val="auto"/>
              </w:rPr>
            </w:pPr>
          </w:p>
        </w:tc>
      </w:tr>
      <w:tr>
        <w:trPr>
          <w:trHeight w:val="239"/>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Oren Zeev</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Member of the nominating and governance committee.</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16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Executive Officers</w:t>
      </w:r>
    </w:p>
    <w:p>
      <w:pPr>
        <w:spacing w:after="0" w:line="16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Ariel Cohen </w:t>
      </w:r>
      <w:r>
        <w:rPr>
          <w:rFonts w:ascii="Arial" w:cs="Arial" w:eastAsia="Arial" w:hAnsi="Arial"/>
          <w:sz w:val="18"/>
          <w:szCs w:val="18"/>
          <w:color w:val="auto"/>
        </w:rPr>
        <w:t>is our co-founder and has served as our Chief Executive Officer and as a member of our board of directors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in February 2015 and as chairperson of our board of directors since September 2022. Mr. Cohen previously served as our President from February 2015 to March 2025. Prior to our founding, Mr. Cohen served as Vice President, Product Management at Jive Software, Inc., or Jive Software, a provider of social business software, from 2013 to 2015, following the acquisition by Jive Software of StreamOnce, Inc., a business multimedia integration platform, where he served as co-founder and Chief Executive Officer from 2012 to 2013. From 2010 to 2012, Mr. Cohen served as Senior Director, Product Management at Jive Software. Prior to Jive Software, Mr. Cohen served in various senior roles at HP Inc. (formerly Hewlett-Packard Company), a multinational information technology company, from 2006 to 2010. Mr. Cohen served on the board of directors of Lyft, Inc., or Lyft, a publicly traded ridesharing company, from March 2021 to May 2025. Mr. Cohen holds a B.A. in Economics from the College of Management Academic Studies and an Executive M.B.A. from Northwestern University, Kellogg School of Management. We believe Mr. Cohen is qualified to serve on our board of directors because of the historical knowledge, operational expertise, leadership, culture management, and continuity that he brings to our board of directors as our co-founder, President, and Chief Executive Officer.</w:t>
      </w:r>
    </w:p>
    <w:p>
      <w:pPr>
        <w:spacing w:after="0" w:line="13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Ilan Twig </w:t>
      </w:r>
      <w:r>
        <w:rPr>
          <w:rFonts w:ascii="Arial" w:cs="Arial" w:eastAsia="Arial" w:hAnsi="Arial"/>
          <w:sz w:val="18"/>
          <w:szCs w:val="18"/>
          <w:color w:val="auto"/>
        </w:rPr>
        <w:t>is our co-founder and has served as our Chief Technology Officer and as a member of our board of directors since our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2015. Prior to our founding, Mr. Twig served as an Executive Vice President, Engineering at Jive Software during 2015 and a Vice President, Engineering from 2013 to 2014, following the acquisition by Jive Software of StreamOnce, Inc., a business multimedia integration platform, where he served as co-founder and Chief Technology Officer from 2012 to 2013. Prior to Jive Software, Mr. Twig served as the Head of Engineering at RockMelt, Inc., a social media web browsing service, from 2010 to 2012. Mr. Twig holds a B.Sc. in Computer Science from the Academic College of Tel-Aviv, Yaffo. We believe Mr. Twig is qualified to serve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4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given his deep technical understanding of our platform and business and the continuity that he brings to our board of directors as co-founder and Chief Technology Officer.</w:t>
      </w:r>
    </w:p>
    <w:p>
      <w:pPr>
        <w:spacing w:after="0" w:line="9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Amy Butte </w:t>
      </w:r>
      <w:r>
        <w:rPr>
          <w:rFonts w:ascii="Arial" w:cs="Arial" w:eastAsia="Arial" w:hAnsi="Arial"/>
          <w:sz w:val="18"/>
          <w:szCs w:val="18"/>
          <w:color w:val="auto"/>
        </w:rPr>
        <w:t>has served as our Chief Financial Officer since June 2024. Ms. Butte previously served as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from April 2024 to June 2024. Ms. Butte has served on the boards of directors of Bain Capital Specialty Finance, Inc., a publicly traded managed specialty finance company, since July 2019 and Bain Capital Private Credit, a public non-traded business development company, since April 2022. For both Bain entities, Ms. Butte also serves on the audit committee and compensation committee and as the chair of the nominating and corporate governance committee. Ms. Butte previously served on the boards of directors of DigitalOcean Holdings, Inc., a publicly traded software company, from April 2018 to June 2025, where she also served as the chair of the audit committee, BNP Paribas USA, Inc., a multinational bank and financial services company, from 2016 to 2023, where she also served on the risk committee and as the chair of the audit committee, and as an independent trustee, for the Fidelity Investments Strategic Advisers Funds from 2011 to 2017, where she also served as the chair of the audit committee. In addition, Ms. Butte is an advisor to several private companies, including the Long-Term Stock Exchange, a national security exchange, since 2015. Ms. Butte served as the founder of TILE Financial Inc., or TILE, a financial technology company, from 2008 to 2012. Prior to TILE, Ms. Butte served as Chief Financial Officer of Man Financial, Inc., or Man Financial, a brokerage firm, from 2006 to 2008. Prior to Man Financial, Ms. Butte served as Chief Financial Officer and Executive President of the New York Stock Exchange from 2004 to 2006. Prior to the New York Stock Exchange, Ms. Butte served as an Equity Research Analyst at Bear Stearns and Merrill Lynch. Ms. Butte holds a B.A. in Psychology from Yale University and an M.B.A. from Harvard Business School.</w:t>
      </w:r>
    </w:p>
    <w:p>
      <w:pPr>
        <w:spacing w:after="0" w:line="13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Michael Sindicich </w:t>
      </w:r>
      <w:r>
        <w:rPr>
          <w:rFonts w:ascii="Arial" w:cs="Arial" w:eastAsia="Arial" w:hAnsi="Arial"/>
          <w:sz w:val="18"/>
          <w:szCs w:val="18"/>
          <w:color w:val="auto"/>
        </w:rPr>
        <w:t>has served as our President since March 2025. Mr. Sindicich previously served as our Chief Executive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Navan Expense from April 2023 to March 2025, our Executive Vice President and General Manager of Navan Expense from December 2019 to April 2023, our Vice President of Enterprise Sales from December 2018 to December 2019, our Vice President of Sales, West from May 2018 to January 2019, a Director of Sales from 2017 to May 2018, and a Senior Account Executive from April 2016 to April 2017. Mr. Sindicich holds a B.S. in Psychobiology from the University of California, Los Angeles.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Ben Horowitz </w:t>
      </w:r>
      <w:r>
        <w:rPr>
          <w:rFonts w:ascii="Arial" w:cs="Arial" w:eastAsia="Arial" w:hAnsi="Arial"/>
          <w:sz w:val="18"/>
          <w:szCs w:val="18"/>
          <w:color w:val="auto"/>
        </w:rPr>
        <w:t>has served as a member of our board of directors since October 2018. Mr. Horowitz is a co-founder and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of Andreessen Horowitz, a venture capital firm, since July 2009. Prior to Andreesen Horowitz, Mr. Horowitz served as a Vice President and General Manager of HP Inc. (formerly Hewlett-Packard Company), a multinational information technology company, from 2007 to 2008. Prior to HP, Mr. Horowitz served as co-founder, President, and Chief Executive Officer of Opsware, Inc., a computer software company, from 1999 to 2007. Mr. Horowitz has served on the board of directors of Okta, Inc., or Okta, a publicly traded software company, since February 2010, and previously served on the board of directors of Lyft from June 2016 to June 2020. In addition, Mr. Horowitz serves on the boards of directors of several private companies. Mr. Horowitz holds a B.A. in Computer Science from Columbia University and an M.S. in Computer Science from the University of California, Los Angeles. We believe Mr. Horowitz is qualified to serve as a member of our board of directors because of his extensive experience in the venture capital industry, his knowledge of technology companies, and his service on other privately and publicly held companies.</w:t>
      </w:r>
    </w:p>
    <w:p>
      <w:pPr>
        <w:spacing w:after="0" w:line="13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Arif Janmohamed </w:t>
      </w:r>
      <w:r>
        <w:rPr>
          <w:rFonts w:ascii="Arial" w:cs="Arial" w:eastAsia="Arial" w:hAnsi="Arial"/>
          <w:sz w:val="18"/>
          <w:szCs w:val="18"/>
          <w:color w:val="auto"/>
        </w:rPr>
        <w:t>has served as a member of our board of directors since April 2017. Since 2008, Mr. Janmohamed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Lightspeed Venture Partners, or Lightspeed, a venture capital firm. Prior to joining Lightspeed, Mr. Janmohamed held roles at various technology companies, including Cisco Systems, Inc., a technology solutions company, from 2006 to 2008. Mr. Janmohamed holds a B.Sc. in Computer Engineering from University of Waterloo, Canada and an M.B.A. in Finance from the University of Pennsylvania Wharton School of Business. We believe Mr. Janmohamed is qualified to serve as a member of our board of directors given his leadership and business experience, technical knowledge, and his deep understanding of our business and industry as an early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i w:val="1"/>
          <w:iCs w:val="1"/>
          <w:color w:val="auto"/>
        </w:rPr>
        <w:t xml:space="preserve">Michael Kourey </w:t>
      </w:r>
      <w:r>
        <w:rPr>
          <w:rFonts w:ascii="Arial" w:cs="Arial" w:eastAsia="Arial" w:hAnsi="Arial"/>
          <w:sz w:val="18"/>
          <w:szCs w:val="18"/>
          <w:color w:val="auto"/>
        </w:rPr>
        <w:t>has served as a member on our board of directors since October 2024. Mr. Kourey has served on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 Dialpad, Inc., or Dialpad, an AI-driven communications intelligence company, since February 2024, and previously served as the Chief Financial Officer of Dialpad from September 2021 to February 2025. Prior to Dialpad, Mr. Kourey served as Chief Financial Officer of Okta from March to May 2021. Prior to Okta, Mr. Kourey served as Chief Financial Officer of Vlocity, Inc., or Vlocity (acquired by Salesforce), a provider of industry-specific cloud and mobile software, from January 2019 to December 2020. Prior to Vlocity, Mr. Kourey served as Chief Financial Officer and an Executive Vice President of Medallia, Inc., or Medallia, a cloud-based customer experience management company, from 2015 to 2018. Prior to Medallia, Mr. Kourey served as a Partner at Khosla Ventures, a venture capital firm, from 2013 to 2015, and previously served as Operating Partner at Khosla Ventures from 2012 to 2013. Prior to Khosla Ventures, Mr. Kourey served in a variety of roles, most recently as Chief Financial Officer, at Polycom, Inc., or Polycom, a publicly traded communications solutions company, from 1991 to 2012. Mr. Kourey served on the boards of directors of various public companies such as Okta from October 2015 to March 2021, RingCentral, Inc., a publicly traded cloud-based communications company, from 2015 to 2016, Aruba Networks, Inc. (acquired by Hewlett-Packard Company), a formerly publicly traded security and networking company, from 2007 to 2015, Riverbed Technology LLC, a formerly publicly traded information technology solutions company, from 2006 to 2014, Polycom from 1999 to 2012, and WatchGuard Technologies, Inc., a formerly publicly traded cybersecurity company, from 2003 to 2006. In addition, Mr. Kourey currently serves on the boards of directors of several private companies. Mr. Kourey holds a B.S. in Agricultural and Managerial Economics from the University of California, Davis and an M.B.A. from the Santa Clara University Leavey School of Business. We believe Mr. Kourey is qualified to serve as a member of our board of directors because of his extensive experience as a public company financial officer, his extensive finance background, and his service on boards of other privately and publicly held companies.</w:t>
      </w:r>
    </w:p>
    <w:p>
      <w:pPr>
        <w:spacing w:after="0" w:line="13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Clara Liang </w:t>
      </w:r>
      <w:r>
        <w:rPr>
          <w:rFonts w:ascii="Arial" w:cs="Arial" w:eastAsia="Arial" w:hAnsi="Arial"/>
          <w:sz w:val="18"/>
          <w:szCs w:val="18"/>
          <w:color w:val="auto"/>
        </w:rPr>
        <w:t>has served as a member of our board of directors since September 2022. Since February 2024, Ms. Liang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Head of Global Strategic Operations at Stripe, Inc., or Stripe, a financial services company, and previously served as a Business Lead at Stripe from January 2022 to February 2024. Prior to Stripe, Ms. Liang served as a Vice President and General Manager and in other product director roles at Airbnb, Inc., or Airbnb, an online travel marketplace, from July 2016 to January 2022. Prior to Airbnb, Ms. Liang served as Chief Product Officer at Jive Software from 2012 to 2015. Prior to Jive Software, Ms. Liang served in a number of technology and professional services roles at International Business Machines Corporation, a technology and consulting company, from 2001 to 2011. Ms. Liang has served on the board of directors of SoFi Technologies, Inc., a publicly traded financial services company, since October 2019. Ms. Liang holds a B.Sc. in Symbolic Systems from Stanford University and an M.S. in Technology Commercialization from the University of Texas at Austin. We believe Ms. Liang is qualified to serve as a member of our board of directors because of her experience leading and scaling global technology companies.</w:t>
      </w:r>
    </w:p>
    <w:p>
      <w:pPr>
        <w:spacing w:after="0" w:line="1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Sandesh Patnam </w:t>
      </w:r>
      <w:r>
        <w:rPr>
          <w:rFonts w:ascii="Arial" w:cs="Arial" w:eastAsia="Arial" w:hAnsi="Arial"/>
          <w:sz w:val="18"/>
          <w:szCs w:val="18"/>
          <w:color w:val="auto"/>
        </w:rPr>
        <w:t>has served as a member of our board of directors since July 2022. Mr. Patnam has served as the U.S.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Premji Invest, a growth equity firm, since March 2014. Prior to Premji Invest, Mr. Patnam served as a General Partner at DFJ Growth, a venture capital firm, from October 2020 to October 2021. Prior to DFJ Growth, Mr. Patnam served as an Investment Officer and Senior Equity Analyst at Seligman Technology Group at Columbia Management Investment Advisers LLC, or Seligman, an investment company, from 2010 to 2014. Prior to Seligman, Mr. Patnam served as the General Partner at Bay Partners LLC, a venture capital firm, from 2005 to 2010. Mr. Patnam serves on the boards of directors of several private companies and served on the board of directors of Anaplan, Inc., a publicly traded software company, from 2016 to 2022. Mr. Patnam holds a B.S. in Electrical Engineering from the University of Rochester and an M.B.A. in Finance from the University of Pennsylvania Wharton School of Business. We believe Mr. Patnam is qualified to serve as a member of our board of directors because of his business and venture capital expertise and his service on other privately and publicly held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2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Oren Zeev </w:t>
      </w:r>
      <w:r>
        <w:rPr>
          <w:rFonts w:ascii="Arial" w:cs="Arial" w:eastAsia="Arial" w:hAnsi="Arial"/>
          <w:sz w:val="18"/>
          <w:szCs w:val="18"/>
          <w:color w:val="auto"/>
        </w:rPr>
        <w:t>has served as a member on our board of directors since April 2015. Since 2015, Mr. Zeev has served as the Sole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Zeev Ventures, a venture capital firm. Between 2008 and 2015, Mr. Zeev invested his own capital in private technology companies. Prior to that, Mr. Zeev served as a General Partner at Apax Partners, a venture capital firm, from 1995 to 2007. Mr. Zeev currently serves as a member of the boards of directors of various private technology companies. Mr. Zeev previously served on the board of Chegg, Inc., an education technology company, from 2008 to 2013 and Audible, Inc., an online audiobook company, from 2003 to 2008. Mr. Zeev holds a B.Sc. in Electrical Engineering from Technion, Israel Institute of Technology and an M.B.A. from INSEAD. We believe Mr. Zeev is qualified to serve as a member of our board of directors because of his extensive experience in the venture capital industry and his knowledge of technology companies and our industry.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currently consists of eight directors. Pursuant to our amended and restated certificate of incorporation, as currently in effect, and the Amended and Restated Voting Agreement by and among us and other parties, dated July 28, 2022, as amended, or our Voting Agreement, our current directors were elected as follows:</w:t>
      </w:r>
    </w:p>
    <w:p>
      <w:pPr>
        <w:spacing w:after="0" w:line="122"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Messrs. Cohen and Twig were elected as the designees nominated by certain holders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Zeev was elected as the designee nominated by holders of our Series A redeemable convertible preferred stock;</w:t>
      </w:r>
    </w:p>
    <w:p>
      <w:pPr>
        <w:spacing w:after="0" w:line="171"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Janmohamed was elected as the designee nominated by a holder of our Series A-1 redeemable convertible preferred stock, together with its affiliates;</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Horowitz was elected as the designee nominated by a holder of our Series C redeemable convertible preferred stock, together with its affiliates;</w:t>
      </w:r>
    </w:p>
    <w:p>
      <w:pPr>
        <w:spacing w:after="0" w:line="98"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Patnam was elected as the designee nominated by a holder of our Series G redeemable convertible preferred stock, together with its affiliates;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Ms. Liang was elected as the designee nominated by all of the other directors then-serving on our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Kourey was appointed by all of the other directors then-serving on our board of directors.</w:t>
      </w:r>
    </w:p>
    <w:p>
      <w:pPr>
        <w:spacing w:after="0" w:line="1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Voting Agreement will terminate and the provisions of our current amended and restated certificate of incorporation by which our directors were elected will be amended and restated in connection with this offering and, following this offering, there will be no contractual obligations regarding the election of our directors. After this offering, the number of directors will be fixed by our board of directors, subject to the terms of our amended and restated certificate of incorporation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24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bylaws that will become effective immediately prior to the completion of this offering. Each of our current directors will continue to serve as a director until the election and qualification of their successor, or until their earlier death, resignation, or removal.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Upon the completion of this offering, our board of directors will consist of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ectPr>
          <w:pgSz w:w="11900" w:h="16838" w:orient="portrait"/>
          <w:cols w:equalWidth="0" w:num="1">
            <w:col w:w="11200"/>
          </w:cols>
          <w:pgMar w:left="320" w:top="1440" w:right="379" w:bottom="1440" w:gutter="0" w:footer="0" w:header="0"/>
        </w:sectPr>
      </w:pPr>
    </w:p>
    <w:p>
      <w:pPr>
        <w:spacing w:after="0" w:line="1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right="280" w:hanging="4"/>
        <w:spacing w:after="0" w:line="287" w:lineRule="auto"/>
        <w:rPr>
          <w:sz w:val="20"/>
          <w:szCs w:val="20"/>
          <w:color w:val="auto"/>
        </w:rPr>
      </w:pPr>
      <w:r>
        <w:rPr>
          <w:rFonts w:ascii="Arial" w:cs="Arial" w:eastAsia="Arial" w:hAnsi="Arial"/>
          <w:sz w:val="18"/>
          <w:szCs w:val="18"/>
          <w:color w:val="auto"/>
        </w:rPr>
        <w:t>the Class I directors will be completion of this offering;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the first annual meeting of stockholders to be held after the</w:t>
      </w:r>
    </w:p>
    <w:p>
      <w:pPr>
        <w:spacing w:after="0" w:line="398" w:lineRule="exact"/>
        <w:rPr>
          <w:sz w:val="20"/>
          <w:szCs w:val="20"/>
          <w:color w:val="auto"/>
        </w:rPr>
      </w:pPr>
    </w:p>
    <w:p>
      <w:pPr>
        <w:sectPr>
          <w:pgSz w:w="11900" w:h="16838" w:orient="portrait"/>
          <w:cols w:equalWidth="0" w:num="3">
            <w:col w:w="400" w:space="260"/>
            <w:col w:w="2420" w:space="720"/>
            <w:col w:w="7400"/>
          </w:cols>
          <w:pgMar w:left="320" w:top="1440" w:right="37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4"/>
        <w:spacing w:after="0" w:line="318" w:lineRule="auto"/>
        <w:rPr>
          <w:sz w:val="20"/>
          <w:szCs w:val="20"/>
          <w:color w:val="auto"/>
        </w:rPr>
      </w:pPr>
      <w:r>
        <w:rPr>
          <w:rFonts w:ascii="Arial" w:cs="Arial" w:eastAsia="Arial" w:hAnsi="Arial"/>
          <w:sz w:val="17"/>
          <w:szCs w:val="17"/>
          <w:color w:val="auto"/>
        </w:rPr>
        <w:t>the Class II directors will be completion of this offering;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and their terms will expire at the second annual meeting of stockholders to be held after the</w:t>
      </w:r>
    </w:p>
    <w:p>
      <w:pPr>
        <w:spacing w:after="0" w:line="398" w:lineRule="exact"/>
        <w:rPr>
          <w:sz w:val="20"/>
          <w:szCs w:val="20"/>
          <w:color w:val="auto"/>
        </w:rPr>
      </w:pPr>
    </w:p>
    <w:p>
      <w:pPr>
        <w:sectPr>
          <w:pgSz w:w="11900" w:h="16838" w:orient="portrait"/>
          <w:cols w:equalWidth="0" w:num="3">
            <w:col w:w="400" w:space="260"/>
            <w:col w:w="2460" w:space="720"/>
            <w:col w:w="7360"/>
          </w:cols>
          <w:pgMar w:left="320" w:top="1440" w:right="37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20" w:hanging="4"/>
        <w:spacing w:after="0" w:line="287" w:lineRule="auto"/>
        <w:rPr>
          <w:sz w:val="20"/>
          <w:szCs w:val="20"/>
          <w:color w:val="auto"/>
        </w:rPr>
      </w:pPr>
      <w:r>
        <w:rPr>
          <w:rFonts w:ascii="Arial" w:cs="Arial" w:eastAsia="Arial" w:hAnsi="Arial"/>
          <w:sz w:val="18"/>
          <w:szCs w:val="18"/>
          <w:color w:val="auto"/>
        </w:rPr>
        <w:t>the Class III directors will be completion of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and their terms will expire at the third annual meeting of stockholders to be held after the</w:t>
      </w:r>
    </w:p>
    <w:p>
      <w:pPr>
        <w:spacing w:after="0" w:line="387" w:lineRule="exact"/>
        <w:rPr>
          <w:sz w:val="20"/>
          <w:szCs w:val="20"/>
          <w:color w:val="auto"/>
        </w:rPr>
      </w:pPr>
    </w:p>
    <w:p>
      <w:pPr>
        <w:sectPr>
          <w:pgSz w:w="11900" w:h="16838" w:orient="portrait"/>
          <w:cols w:equalWidth="0" w:num="3">
            <w:col w:w="400" w:space="260"/>
            <w:col w:w="2660" w:space="720"/>
            <w:col w:w="7160"/>
          </w:cols>
          <w:pgMar w:left="320" w:top="1440" w:right="379" w:bottom="1440" w:gutter="0" w:footer="0" w:header="0"/>
          <w:type w:val="continuous"/>
        </w:sectPr>
      </w:pPr>
    </w:p>
    <w:p>
      <w:pPr>
        <w:ind w:right="260" w:firstLine="324"/>
        <w:spacing w:after="0" w:line="259"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amended and restated certificate of incorporation and restated bylaws to be in effect upon the completion of this offering will authorize only our board of directors to fill vacancies on our board of directors. This classification of our board of directors may have the effect of delaying or preventing changes in control of our company. See the section titled “Description of Capital Stock—Anti-Takeover Provisions.”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connection with this offering, we intend to list our Class A common stock on Nasdaq. Under Nasdaq rules independent directors must comprise a majority of a listed company’s board of directors within a specified period after the completion of this offering. In addition, the Nasdaq rules require that, subject to specified exceptions, each member of a listed company’s audit, compensation and nominating and governance committees be independent. Under the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8"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9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2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their ability to exercise independent judgment in carrying out his or her responsibilities. As a result of this review, our board of directors determined that Ms. Liang and Messrs. Horowitz, Kourey, Janmohamed, Patnam, and Zeev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1440" w:right="379" w:bottom="1440" w:gutter="0" w:footer="0" w:header="0"/>
          <w:type w:val="continuous"/>
        </w:sectPr>
      </w:pPr>
    </w:p>
    <w:bookmarkStart w:id="151" w:name="page152"/>
    <w:bookmarkEnd w:id="151"/>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“independent directors”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in Risk Oversight Process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our board of directors at regular board meetings as part of management presentations that focus on particular business functions, operations or strategies, and presents the steps taken by management to mitigate or eliminate such risks.</w:t>
      </w:r>
    </w:p>
    <w:p>
      <w:pPr>
        <w:spacing w:after="0" w:line="128"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and cybersecurity exposures and the steps our management has taken to monitor and control these exposures. The audit committee also approves or disapproves any related person transactions. Our nominating and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will adopt, effective prior to the completion of this offering, corporate governance guidelines that provide that one</w:t>
      </w:r>
    </w:p>
    <w:p>
      <w:pPr>
        <w:spacing w:after="0" w:line="27" w:lineRule="exact"/>
        <w:rPr>
          <w:sz w:val="20"/>
          <w:szCs w:val="20"/>
          <w:color w:val="auto"/>
        </w:rPr>
      </w:pPr>
    </w:p>
    <w:p>
      <w:pPr>
        <w:jc w:val="both"/>
        <w:ind w:right="140"/>
        <w:spacing w:after="0" w:line="250" w:lineRule="auto"/>
        <w:rPr>
          <w:sz w:val="20"/>
          <w:szCs w:val="20"/>
          <w:color w:val="auto"/>
        </w:rPr>
      </w:pPr>
      <w:r>
        <w:rPr>
          <w:rFonts w:ascii="Arial" w:cs="Arial" w:eastAsia="Arial" w:hAnsi="Arial"/>
          <w:sz w:val="18"/>
          <w:szCs w:val="18"/>
          <w:color w:val="auto"/>
        </w:rPr>
        <w:t>of our independent directors will serve as our lead independent director. Our board of directors has appointed to serve as our lead independent director. As lead independent director, will provide leadership to our board of directors if circumstances arise in which the</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role of our Chief Executive Officer and chairperson of our board of directors may be, or may be perceived to be, in conflict, and perform such additional duties as our board of directors may otherwise determine and delegate.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Our audit committee is composed of , , and . is the chair of our audit committee. The members of our audit committee meet the independence requirements under and SEC rules. Each member of our audit committee is financially literate. In addition, our board of directors has determined that is an “audit committee financial expert” as that term is defined in Item</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407(d)(5)(ii) of Regulation S-K promulgated under the Securities Act. This designation does not, however, impose on them any supplemental duties, obligations or liabilities beyond those that are generally applicable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24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other members of our audit committee and board of directors. Our audit committee’s principal functions are to assist our board of directors in its oversight of:</w:t>
      </w:r>
    </w:p>
    <w:p>
      <w:pPr>
        <w:spacing w:after="0" w:line="99"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selecting a firm to serve as our independent registered public accounting firm to audit our consolidated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71" w:lineRule="exact"/>
        <w:rPr>
          <w:rFonts w:ascii="Arial" w:cs="Arial" w:eastAsia="Arial" w:hAnsi="Arial"/>
          <w:sz w:val="18"/>
          <w:szCs w:val="18"/>
          <w:color w:val="auto"/>
        </w:rPr>
      </w:pPr>
    </w:p>
    <w:p>
      <w:pPr>
        <w:ind w:left="660" w:right="102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results of operations;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related party transactions that are material or otherwise implicate disclosure requirements;</w:t>
      </w:r>
    </w:p>
    <w:p>
      <w:pPr>
        <w:spacing w:after="0" w:line="171"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legal and regulatory compliance matters, including risks related to data privacy, information security, and cybersecurity.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9" w:lineRule="exact"/>
        <w:rPr>
          <w:sz w:val="20"/>
          <w:szCs w:val="20"/>
          <w:color w:val="auto"/>
        </w:rPr>
      </w:pPr>
    </w:p>
    <w:p>
      <w:pPr>
        <w:ind w:right="280" w:firstLine="324"/>
        <w:spacing w:after="0" w:line="260" w:lineRule="auto"/>
        <w:rPr>
          <w:sz w:val="20"/>
          <w:szCs w:val="20"/>
          <w:color w:val="auto"/>
        </w:rPr>
      </w:pPr>
      <w:r>
        <w:rPr>
          <w:rFonts w:ascii="Arial" w:cs="Arial" w:eastAsia="Arial" w:hAnsi="Arial"/>
          <w:sz w:val="18"/>
          <w:szCs w:val="18"/>
          <w:color w:val="auto"/>
        </w:rPr>
        <w:t>Our compensation committee is composed of , , and . is the chair of our compensation committee. The members of our compensation committee meet the independence requirements under and SEC rules. Each member of this</w:t>
      </w:r>
    </w:p>
    <w:p>
      <w:pPr>
        <w:spacing w:after="0" w:line="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committee is also a “non-employee director” within the meaning of Rule 16b-3 under the Exchange Act. Our compensation committee is responsible for, among other things:</w:t>
      </w:r>
    </w:p>
    <w:p>
      <w:pPr>
        <w:spacing w:after="0" w:line="117"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non-employee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71"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incentive compensation and equity plans;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establishing our overall compensation philosophy.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nominating and governance committee is composed of , , and . is the chair of our nominating and governance committee. The members of our nominating and governance committee meet the independence requirements under and SEC rules. Our nominating and governance committee’s principal functions include:</w:t>
      </w:r>
    </w:p>
    <w:p>
      <w:pPr>
        <w:spacing w:after="0" w:line="117"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143</w:t>
      </w:r>
    </w:p>
    <w:p>
      <w:pPr>
        <w:sectPr>
          <w:pgSz w:w="11900" w:h="16838" w:orient="portrait"/>
          <w:cols w:equalWidth="0" w:num="1">
            <w:col w:w="11200"/>
          </w:cols>
          <w:pgMar w:left="320" w:top="1440" w:right="379" w:bottom="1440" w:gutter="0" w:footer="0" w:header="0"/>
        </w:sectPr>
      </w:pPr>
    </w:p>
    <w:bookmarkStart w:id="153" w:name="page154"/>
    <w:bookmarkEnd w:id="153"/>
    <w:p>
      <w:pPr>
        <w:spacing w:after="0" w:line="247"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changes to our corporate governance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overseeing any program relating to corporate responsibility and sustainability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advising our board of directors on governance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compensation committee during fiscal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Compensation Prior to this Offering</w:t>
      </w:r>
    </w:p>
    <w:p>
      <w:pPr>
        <w:spacing w:after="0" w:line="16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Before this offering, we did not have a formal policy to provide any cash or equity compensation to our non-employee directors for their service on our board of directors or committees of our board of directors.</w:t>
      </w:r>
    </w:p>
    <w:p>
      <w:pPr>
        <w:spacing w:after="0" w:line="9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October 2024, we granted Michael Kourey an RSU award with respect to 729,884 shares of our Class A common stock in connection with his appointment to our board of directors. These RSUs are subject to the same time- and service-based and performance-based conditions as those granted to our named executive officers in fiscal 2025. See the section titled “Executive Compensation—Equity-Based Incentive Awards—RSUs Granted in Fiscal 2025.”</w:t>
      </w:r>
    </w:p>
    <w:p>
      <w:pPr>
        <w:spacing w:after="0" w:line="12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in October 2022, we granted Clara Liang an option to purchase 200,000 shares of Class A common stock in connection with her appointment to our board of directors, which option vests as to 25% of the underlying shares on the one-year anniversary of the September 27, 2022 vesting commencement date, and as to the remaining 75% of the underlying shares in equal monthly installments over the following three years, subject to continued service as a director. In connection with the repricing described below under “Executive Compensation—Equity-Based Incentive Awards—Option Repricing,” in August 2024, the exercise price of this option was reduced to $5.42. The number of shares of our Class A common stock underlying the option, the vesting schedule and the expiration date were unchanged. The incremental compensation expense associated with the repricing of this option is set forth in the “Option Awards” column of the Director Compensation for Fiscal 2025 table below.</w:t>
      </w:r>
    </w:p>
    <w:p>
      <w:pPr>
        <w:spacing w:after="0" w:line="131"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Previously, in June 2021, we granted Ms. Liang an option to purchase 20,000 shares of Class A common stock as compensation for certain consulting services provided to us, which option was fully vested as of January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2025</w:t>
      </w:r>
    </w:p>
    <w:p>
      <w:pPr>
        <w:spacing w:after="0" w:line="171"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Our employee directors, Messrs. Cohen and Twig, and Ms. Butte, who served on our board of directors during a portion of fiscal 2025 and now serves as our Chief Financial Officer, did not receive any compensation for their service as directors for fiscal 2025. All compensation paid to Messrs. Cohen and Twig is set forth above in the section titled “Executive Compensation—Summary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1440" w:right="379" w:bottom="1440" w:gutter="0" w:footer="0" w:header="0"/>
        </w:sectPr>
      </w:pPr>
    </w:p>
    <w:bookmarkStart w:id="154" w:name="page155"/>
    <w:bookmarkEnd w:id="154"/>
    <w:p>
      <w:pPr>
        <w:spacing w:after="0" w:line="247"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Other than as disclosed in the table below, we did not pay any fees to, make any equity awards or non-equity incentive awards to, or pay any other compensation to the non-employee directors of our board of directors in fiscal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(1)</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56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 ($)</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 Horowitz</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Arif Janmohamed</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Clara Liang</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59,661</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Michael Kourey</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Sandesh Patnam</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Oren Zeev</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6"/>
        </w:trPr>
        <w:tc>
          <w:tcPr>
            <w:tcW w:w="6260" w:type="dxa"/>
            <w:vAlign w:val="bottom"/>
          </w:tcPr>
          <w:p>
            <w:pPr>
              <w:spacing w:after="0"/>
              <w:rPr>
                <w:sz w:val="20"/>
                <w:szCs w:val="20"/>
                <w:color w:val="auto"/>
              </w:rPr>
            </w:pPr>
            <w:r>
              <w:rPr>
                <w:rFonts w:ascii="Arial" w:cs="Arial" w:eastAsia="Arial" w:hAnsi="Arial"/>
                <w:sz w:val="16"/>
                <w:szCs w:val="16"/>
                <w:color w:val="auto"/>
              </w:rPr>
              <w:t>______________</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ind w:left="340" w:right="60" w:hanging="332"/>
        <w:spacing w:after="0" w:line="253" w:lineRule="auto"/>
        <w:tabs>
          <w:tab w:leader="none" w:pos="3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On October 16, 2024, Mr. Kourey was granted a RSU award under our 2015 Plan subject to a performance-based vesting condition and time- and service-based vesting conditions. As of the applicable grant date and January 31, 2025, we had not recognized stock-based compensation expense for this award because achievement of the performance-based vesting condition was not deemed probable as of any such date. As a result, no value is included in the table for this award. Assuming achievement of the performance-based vesting condition, the aggregate grant date fair value of the RSU award granted to Mr. Kourey was $4,897,522, computed in accordance with Financial Accounting Standards Board Accounting Standards Codification Topic 718, Compensation—Stock Compensation, or ASC 718. This amount does not necessarily correspond to the actual value that may be realized by Mr. Kourey. The assumptions used in calculating the grant date fair value of this RSU award are set forth in Note 10, “Equity Incentive Plan” to our consolidated financial statements included elsewhere in this prospectus. As of January 31, 2025, all 729,884 RSUs granted to Mr. Kourey remained outstanding and unvested.</w:t>
      </w:r>
    </w:p>
    <w:p>
      <w:pPr>
        <w:spacing w:after="0" w:line="5" w:lineRule="exact"/>
        <w:rPr>
          <w:rFonts w:ascii="Arial" w:cs="Arial" w:eastAsia="Arial" w:hAnsi="Arial"/>
          <w:sz w:val="16"/>
          <w:szCs w:val="16"/>
          <w:color w:val="auto"/>
        </w:rPr>
      </w:pPr>
    </w:p>
    <w:p>
      <w:pPr>
        <w:ind w:left="340" w:right="80" w:hanging="332"/>
        <w:spacing w:after="0" w:line="256" w:lineRule="auto"/>
        <w:tabs>
          <w:tab w:leader="none" w:pos="3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amount reported with respect to Ms. Liang represents the incremental fair value in connection with the repricing on August 12, 2024 of Ms. Liang’s option to purchase 200,000 shares of our Class A common stock, computed in accordance with ASC 718, as described above under “Director Compensation.” See the section titled “Executive Compensation—Equity-Based Incentive Awards—Stock Option Repricing” for more information. The assumptions used in the calculation of this amount are included in Note 10, “Equity Incentive Plan” to our consolidated financial statements included elsewhere in this prospectus. As of January 31, 2025, this option was vested and exercisable with respect to 116,666 shares and unvested with respect to 83,334 shares. Previously, in June 2021, we granted Ms. Liang an option to purchase 20,000 shares of Class A common stock as compensation for certain consulting services provided to us, which option was fully vested as of January 31, 2025.</w:t>
      </w:r>
    </w:p>
    <w:p>
      <w:pPr>
        <w:spacing w:after="0" w:line="6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Director Compensation Policy</w:t>
      </w:r>
    </w:p>
    <w:p>
      <w:pPr>
        <w:spacing w:after="0" w:line="169"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In connection with this offering, we intend to adopt a non-employee director compensation policy pursuant to which our non-employee directors will be eligible to receive compensation for service on our board of directors and the committees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In fiscal 2025, our named executive officers, consisting of our principal executive officer and the next two most highly compensated executive officers as of January 31, 2025, were:</w:t>
      </w:r>
    </w:p>
    <w:p>
      <w:pPr>
        <w:spacing w:after="0" w:line="117"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Ariel Cohen, our co-founder, chairperson of our board of directors,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Ilan Twig, our co-founder, a member of our board of directors and our Chief Technology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Michael Sindicich, our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1"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earned by, or paid to our named executive officers for fiscal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Year</w:t>
            </w: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Compensation ($)</w:t>
            </w:r>
          </w:p>
        </w:tc>
        <w:tc>
          <w:tcPr>
            <w:tcW w:w="13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92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20" w:type="dxa"/>
            <w:vAlign w:val="bottom"/>
          </w:tcPr>
          <w:p>
            <w:pPr>
              <w:jc w:val="right"/>
              <w:ind w:right="522"/>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8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Ariel Cohen,</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8"/>
                <w:szCs w:val="18"/>
                <w:i w:val="1"/>
                <w:iCs w:val="1"/>
                <w:color w:val="auto"/>
              </w:rPr>
              <w:t>Co-founder, Chairperson of our</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2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i w:val="1"/>
                <w:iCs w:val="1"/>
                <w:color w:val="auto"/>
              </w:rPr>
              <w:t>board of directors, and Chief</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816,667</w:t>
            </w:r>
          </w:p>
        </w:tc>
        <w:tc>
          <w:tcPr>
            <w:tcW w:w="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812,921</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1,629,840</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Officer</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Ilan Twig,</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20" w:type="dxa"/>
            <w:vAlign w:val="bottom"/>
            <w:gridSpan w:val="2"/>
          </w:tcPr>
          <w:p>
            <w:pPr>
              <w:ind w:left="20"/>
              <w:spacing w:after="0" w:line="186" w:lineRule="exact"/>
              <w:rPr>
                <w:sz w:val="20"/>
                <w:szCs w:val="20"/>
                <w:color w:val="auto"/>
              </w:rPr>
            </w:pPr>
            <w:r>
              <w:rPr>
                <w:rFonts w:ascii="Arial" w:cs="Arial" w:eastAsia="Arial" w:hAnsi="Arial"/>
                <w:sz w:val="18"/>
                <w:szCs w:val="18"/>
                <w:i w:val="1"/>
                <w:iCs w:val="1"/>
                <w:color w:val="auto"/>
              </w:rPr>
              <w:t>Co-founder, a member of our</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20" w:type="dxa"/>
            <w:vAlign w:val="bottom"/>
            <w:gridSpan w:val="2"/>
          </w:tcPr>
          <w:p>
            <w:pPr>
              <w:ind w:left="180"/>
              <w:spacing w:after="0" w:line="179" w:lineRule="exact"/>
              <w:rPr>
                <w:sz w:val="20"/>
                <w:szCs w:val="20"/>
                <w:color w:val="auto"/>
              </w:rPr>
            </w:pPr>
            <w:r>
              <w:rPr>
                <w:rFonts w:ascii="Arial" w:cs="Arial" w:eastAsia="Arial" w:hAnsi="Arial"/>
                <w:sz w:val="18"/>
                <w:szCs w:val="18"/>
                <w:i w:val="1"/>
                <w:iCs w:val="1"/>
                <w:color w:val="auto"/>
              </w:rPr>
              <w:t>board of directors, and Chief</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2025</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575,357</w:t>
            </w:r>
          </w:p>
        </w:tc>
        <w:tc>
          <w:tcPr>
            <w:tcW w:w="80" w:type="dxa"/>
            <w:vAlign w:val="bottom"/>
          </w:tcPr>
          <w:p>
            <w:pPr>
              <w:spacing w:after="0"/>
              <w:rPr>
                <w:sz w:val="15"/>
                <w:szCs w:val="15"/>
                <w:color w:val="auto"/>
              </w:rPr>
            </w:pPr>
          </w:p>
        </w:tc>
        <w:tc>
          <w:tcPr>
            <w:tcW w:w="140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2"/>
              <w:spacing w:after="0"/>
              <w:rPr>
                <w:sz w:val="20"/>
                <w:szCs w:val="20"/>
                <w:color w:val="auto"/>
              </w:rPr>
            </w:pPr>
            <w:r>
              <w:rPr>
                <w:rFonts w:ascii="Arial" w:cs="Arial" w:eastAsia="Arial" w:hAnsi="Arial"/>
                <w:sz w:val="18"/>
                <w:szCs w:val="18"/>
                <w:color w:val="auto"/>
              </w:rPr>
              <w:t>900,087</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1,475,474</w:t>
            </w:r>
          </w:p>
        </w:tc>
        <w:tc>
          <w:tcPr>
            <w:tcW w:w="0" w:type="dxa"/>
            <w:vAlign w:val="bottom"/>
          </w:tcPr>
          <w:p>
            <w:pPr>
              <w:spacing w:after="0"/>
              <w:rPr>
                <w:sz w:val="1"/>
                <w:szCs w:val="1"/>
                <w:color w:val="auto"/>
              </w:rPr>
            </w:pPr>
          </w:p>
        </w:tc>
      </w:tr>
      <w:tr>
        <w:trPr>
          <w:trHeight w:val="229"/>
        </w:trPr>
        <w:tc>
          <w:tcPr>
            <w:tcW w:w="2920" w:type="dxa"/>
            <w:vAlign w:val="bottom"/>
            <w:gridSpan w:val="2"/>
          </w:tcPr>
          <w:p>
            <w:pPr>
              <w:ind w:left="180"/>
              <w:spacing w:after="0" w:line="230" w:lineRule="exact"/>
              <w:rPr>
                <w:sz w:val="20"/>
                <w:szCs w:val="20"/>
                <w:color w:val="auto"/>
              </w:rPr>
            </w:pPr>
            <w:r>
              <w:rPr>
                <w:rFonts w:ascii="Arial" w:cs="Arial" w:eastAsia="Arial" w:hAnsi="Arial"/>
                <w:sz w:val="18"/>
                <w:szCs w:val="18"/>
                <w:i w:val="1"/>
                <w:iCs w:val="1"/>
                <w:color w:val="auto"/>
              </w:rPr>
              <w:t>Technology Officer</w:t>
            </w:r>
            <w:r>
              <w:rPr>
                <w:rFonts w:ascii="Arial" w:cs="Arial" w:eastAsia="Arial" w:hAnsi="Arial"/>
                <w:sz w:val="23"/>
                <w:szCs w:val="23"/>
                <w:i w:val="1"/>
                <w:iCs w:val="1"/>
                <w:color w:val="auto"/>
                <w:vertAlign w:val="superscript"/>
              </w:rPr>
              <w:t>(4)</w:t>
            </w: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Michael Sindicich,</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1,363,642</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2,113,894</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President</w:t>
            </w: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60" w:hanging="332"/>
        <w:spacing w:after="0" w:line="253"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During fiscal 2025, Mr. Sindicich was granted an RSU award under our 2015 Plan, subject to a performance-based vesting condition and time- and service-based vesting conditions. As of the applicable grant date and January 31, 2025, we had not recognized stock-based compensation expense for this award because achievement of the performance-based vesting condition was not deemed probable as of any such date. As a result, no value is included in the table for this award. Assuming achievement of the performance-based vesting condition, the aggregate grant date fair value of the RSU award for Mr. Sindicich was $2,092,150, computed in accordance with ASC 718. The assumptions used in calculating the grant date fair value of the RSU award are set forth in Note 10, “Equity Incentive Plan” to our consolidated financial statements included elsewhere in this prospectus. This amount does not necessarily correspond to the actual value that may be realized by Mr. Sindicich. See the section titled “—Equity-Based Incentive Awards” below for additional information.</w:t>
      </w:r>
    </w:p>
    <w:p>
      <w:pPr>
        <w:ind w:left="340" w:right="40" w:hanging="332"/>
        <w:spacing w:after="0" w:line="254"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amount reported with respect to Mr. Sindicich includes the grant date fair value of an option award granted to him during fiscal 2025 under our 2015 Plan, computed in accordance with ASC 718. The assumptions used in the calculation of this amount is included in Note 10, “Equity Incentive Plan” to our consolidated financial statements included elsewhere in this prospectus. This amount does not necessarily correspond to the actual value that may be realized by Mr. Sindicich. See the section titled “—Equity-Based Incentive Awards” below for additional information.</w:t>
      </w:r>
    </w:p>
    <w:p>
      <w:pPr>
        <w:ind w:left="340" w:right="360"/>
        <w:spacing w:after="0" w:line="260" w:lineRule="auto"/>
        <w:rPr>
          <w:rFonts w:ascii="Arial" w:cs="Arial" w:eastAsia="Arial" w:hAnsi="Arial"/>
          <w:sz w:val="16"/>
          <w:szCs w:val="16"/>
          <w:color w:val="auto"/>
        </w:rPr>
      </w:pPr>
      <w:r>
        <w:rPr>
          <w:rFonts w:ascii="Arial" w:cs="Arial" w:eastAsia="Arial" w:hAnsi="Arial"/>
          <w:sz w:val="16"/>
          <w:szCs w:val="16"/>
          <w:color w:val="auto"/>
        </w:rPr>
        <w:t>The amounts reported with respect to Messrs. Cohen, Twig, and Sindicich include $812,921, $900,087 and $195,101, respectively, of aggregate incremental fair value in connection with the repricing of certain option awards on August 12, 2024, computed in accordance with ASC 718, as described below under “—Equity-Based Incentive Awards—Stock Option Repricing.” The assumptions used in the calculation of these amounts are included in Note 10, “Equity Incentive Plan” to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52"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each of the named executive officers, “All Other Compensation” reflects term life insurance premium payments by us.</w:t>
      </w:r>
    </w:p>
    <w:p>
      <w:pPr>
        <w:spacing w:after="0" w:line="21" w:lineRule="exact"/>
        <w:rPr>
          <w:rFonts w:ascii="Arial" w:cs="Arial" w:eastAsia="Arial" w:hAnsi="Arial"/>
          <w:sz w:val="16"/>
          <w:szCs w:val="16"/>
          <w:color w:val="auto"/>
        </w:rPr>
      </w:pPr>
    </w:p>
    <w:p>
      <w:pPr>
        <w:jc w:val="both"/>
        <w:ind w:left="340" w:right="60" w:hanging="332"/>
        <w:spacing w:after="0" w:line="264"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Mr. Twig was located in the United States for a portion of fiscal 2025, during which he was compensated in U.S. dollars, and in Israel for a portion of the year, during which he was compensated in ILS. The 1,571,250 ILS paid to Mr. Twig for the portion of the year he was located in Israel was converted to U.S. dollars at the average ILS to U.S. dollar conversion rate for the period from February 1, 2024 to January 1, 2025, which was .2711.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1"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Prior to the completion of this offering, we intend to enter into offer letters setting forth the terms and conditions of employment for each of our named executive officers as described below.</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Ariel Cohen</w:t>
      </w:r>
    </w:p>
    <w:p>
      <w:pPr>
        <w:spacing w:after="0" w:line="169"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Prior to the completion of this offering, we intend to enter into a confirmatory offer letter with Mr. Cohen. The letter agreement is not expected to have a specific term and will provide that Mr. Cohen is an at-will employee. Mr. Cohen’s current annual base salary is $1,000,000, and his target bonus for fiscal 2026 is $400,000.</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Ilan Twig</w:t>
      </w:r>
    </w:p>
    <w:p>
      <w:pPr>
        <w:spacing w:after="0" w:line="16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Prior to the completion of this offering, we intend to enter into a confirmatory offer letter with Mr. Twig. The letter agreement is not expected to have a specific term and will provide that Mr. Twig is an at-will employee. Mr. Twig’s current annual base salary is $700,000, and his target bonus for fiscal 2026 is $300,000.</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Michael Sindicich</w:t>
      </w:r>
    </w:p>
    <w:p>
      <w:pPr>
        <w:spacing w:after="0" w:line="169"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Prior to the completion of this offering, we intend to enter into a confirmatory offer letter with Mr. Sindicich. The letter agreement is not expected to have a specific term and will provide that Mr. Sindicich is an at-will employee. Mr. Sindicich’s current annual base salary is $750,000.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Incentive Awards</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have historically granted equity incentive compensation to our executive officers primarily in the form of time-vesting stock options. In fiscal 2025, however, we granted RSUs that are subject to both a time- and service-based condition and a performance condition to Mr. Sindicich, in addition to stock options. All outstanding equity awards held by our named executive officers were granted under our 2015 Plan.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 Granted in Fiscal 2025</w:t>
      </w:r>
    </w:p>
    <w:p>
      <w:pPr>
        <w:spacing w:after="0" w:line="169"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In January 2025, we granted Mr. Sindicich an option to purchase 262,697 shares of our Class A common stock. This option has an exercise price of $6.77 per share and vests and becomes exercisable with respect to 25% of the total number of shares subject to such option on the one-year anniversary of vesting commencement date, and 1/48 of the total number of shares subject to such option monthly thereafter, subject to Mr. Sindicich’s continued service on each vesting date.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 Granted in Fiscal 2025</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January 2025, we also granted Mr. Sindicich RSUs settleable for 280,449 shares of our Class A common stock. These RSUs become vested on the date that both the applicable time- and service-based condition and the applicable performance condition have been satisfied. The time and service condition will be satisfied with respect to (i) 25% of the total number of such RSUs on the first anniversary of the vesting commencement date, provided that the Initial Vesting Event (as defined below) has not occurred before such date, or 1/16th of the total number of such RSUs for each Quarterly Vesting Date (as defined below) that occurred between the vesting commencement date and Initial Vesting Event and (ii) an additional 1/16th of the total number of such RSUs thereafter on each subsequent March 20, June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24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September 20 and December 20, or each, a Quarterly Vesting Date, subject in each case to Mr. Sindicich’s continued service through each such vesting date.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performance condition will be deemed satisfied as of the effective date of this offering.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Repricing</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July 2024, our board of directors approved the repricing of certain outstanding stock options granted under the 2015 Plan pursuant to which the exercise price of certain options was reduced to $ 5.42 per share (the fair market value of our Class A common stock on the repricing date as determined by our board of directors). The number of shares of our Class A common stock underlying the options, the vesting schedules and the expiration dates, were unchanged. The incremental compensation expense associated with the repricing of the stock options held by our named executive officers is set forth in the “Option Awards” column of the Summary Compensation Table.</w:t>
      </w:r>
    </w:p>
    <w:p>
      <w:pPr>
        <w:spacing w:after="0" w:line="125"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Our board of directors determined that the repricing was in the best interests of our company and stockholders and provided the most effective means of retaining and incentivizing our employees and the non-employee director who participated in the repricing.</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repricing affected the following stock options held by our named executive officers: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underlying repriced</w:t>
            </w:r>
          </w:p>
        </w:tc>
        <w:tc>
          <w:tcPr>
            <w:tcW w:w="2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Exercise prices prior to repricing</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Exercise price of repriced options</w:t>
            </w:r>
          </w:p>
        </w:tc>
        <w:tc>
          <w:tcPr>
            <w:tcW w:w="0" w:type="dxa"/>
            <w:vAlign w:val="bottom"/>
          </w:tcPr>
          <w:p>
            <w:pPr>
              <w:spacing w:after="0"/>
              <w:rPr>
                <w:sz w:val="1"/>
                <w:szCs w:val="1"/>
                <w:color w:val="auto"/>
              </w:rPr>
            </w:pPr>
          </w:p>
        </w:tc>
      </w:tr>
      <w:tr>
        <w:trPr>
          <w:trHeight w:val="185"/>
        </w:trPr>
        <w:tc>
          <w:tcPr>
            <w:tcW w:w="3880" w:type="dxa"/>
            <w:vAlign w:val="bottom"/>
            <w:gridSpan w:val="2"/>
            <w:vMerge w:val="continue"/>
          </w:tcPr>
          <w:p>
            <w:pPr>
              <w:spacing w:after="0"/>
              <w:rPr>
                <w:sz w:val="16"/>
                <w:szCs w:val="16"/>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options</w:t>
            </w:r>
          </w:p>
        </w:tc>
        <w:tc>
          <w:tcPr>
            <w:tcW w:w="2500" w:type="dxa"/>
            <w:vAlign w:val="bottom"/>
            <w:gridSpan w:val="2"/>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Ariel Cohen</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2,083,330</w:t>
            </w:r>
          </w:p>
        </w:tc>
        <w:tc>
          <w:tcPr>
            <w:tcW w:w="8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$6.91</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Ilan Twig</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2,602,560</w:t>
            </w:r>
          </w:p>
        </w:tc>
        <w:tc>
          <w:tcPr>
            <w:tcW w:w="8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$6.66 - $6.91</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Sindicich</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500,000</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$6.91</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2025 Year-End</w:t>
      </w:r>
    </w:p>
    <w:p>
      <w:pPr>
        <w:spacing w:after="0" w:line="171"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8"/>
          <w:szCs w:val="18"/>
          <w:color w:val="auto"/>
        </w:rPr>
        <w:t>The following table presents, for each of our named executive officers, information regarding outstanding stock options and stock awards held as of January 31, 2025.</w:t>
      </w:r>
    </w:p>
    <w:p>
      <w:pPr>
        <w:sectPr>
          <w:pgSz w:w="11900" w:h="16838" w:orient="portrait"/>
          <w:cols w:equalWidth="0" w:num="1">
            <w:col w:w="11240"/>
          </w:cols>
          <w:pgMar w:left="320" w:top="1440" w:right="339" w:bottom="1440" w:gutter="0" w:footer="0" w:header="0"/>
        </w:sectPr>
      </w:pP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62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6"/>
                <w:szCs w:val="16"/>
                <w:b w:val="1"/>
                <w:bCs w:val="1"/>
                <w:color w:val="auto"/>
                <w:vertAlign w:val="superscript"/>
              </w:rPr>
              <w:t>(1)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Securities</w:t>
            </w: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Securities</w:t>
            </w: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Underlying</w:t>
            </w:r>
          </w:p>
        </w:tc>
        <w:tc>
          <w:tcPr>
            <w:tcW w:w="13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Underlying</w:t>
            </w:r>
          </w:p>
        </w:tc>
        <w:tc>
          <w:tcPr>
            <w:tcW w:w="98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95"/>
              </w:rPr>
              <w:t>Option</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rPr>
                <w:sz w:val="10"/>
                <w:szCs w:val="10"/>
                <w:color w:val="auto"/>
              </w:rPr>
            </w:pPr>
          </w:p>
        </w:tc>
        <w:tc>
          <w:tcPr>
            <w:tcW w:w="1980" w:type="dxa"/>
            <w:vAlign w:val="bottom"/>
            <w:vMerge w:val="restart"/>
          </w:tcPr>
          <w:p>
            <w:pPr>
              <w:jc w:val="center"/>
              <w:ind w:left="257"/>
              <w:spacing w:after="0"/>
              <w:rPr>
                <w:sz w:val="20"/>
                <w:szCs w:val="20"/>
                <w:color w:val="auto"/>
              </w:rPr>
            </w:pPr>
            <w:r>
              <w:rPr>
                <w:rFonts w:ascii="Arial" w:cs="Arial" w:eastAsia="Arial" w:hAnsi="Arial"/>
                <w:sz w:val="13"/>
                <w:szCs w:val="13"/>
                <w:b w:val="1"/>
                <w:bCs w:val="1"/>
                <w:color w:val="auto"/>
                <w:w w:val="97"/>
              </w:rPr>
              <w:t>Vesting</w:t>
            </w:r>
          </w:p>
        </w:tc>
        <w:tc>
          <w:tcPr>
            <w:tcW w:w="1140" w:type="dxa"/>
            <w:vAlign w:val="bottom"/>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Unexercised</w:t>
            </w:r>
          </w:p>
        </w:tc>
        <w:tc>
          <w:tcPr>
            <w:tcW w:w="13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Unexercised</w:t>
            </w:r>
          </w:p>
        </w:tc>
        <w:tc>
          <w:tcPr>
            <w:tcW w:w="980" w:type="dxa"/>
            <w:vAlign w:val="bottom"/>
            <w:vMerge w:val="continue"/>
          </w:tcPr>
          <w:p>
            <w:pPr>
              <w:spacing w:after="0"/>
              <w:rPr>
                <w:sz w:val="10"/>
                <w:szCs w:val="10"/>
                <w:color w:val="auto"/>
              </w:rPr>
            </w:pPr>
          </w:p>
        </w:tc>
        <w:tc>
          <w:tcPr>
            <w:tcW w:w="114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22"/>
        </w:trPr>
        <w:tc>
          <w:tcPr>
            <w:tcW w:w="8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980" w:type="dxa"/>
            <w:vAlign w:val="bottom"/>
            <w:vMerge w:val="continue"/>
          </w:tcPr>
          <w:p>
            <w:pPr>
              <w:spacing w:after="0"/>
              <w:rPr>
                <w:sz w:val="10"/>
                <w:szCs w:val="10"/>
                <w:color w:val="auto"/>
              </w:rPr>
            </w:pPr>
          </w:p>
        </w:tc>
        <w:tc>
          <w:tcPr>
            <w:tcW w:w="114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Grant Date</w:t>
            </w: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Options (#)</w:t>
            </w: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Options (#)</w:t>
            </w:r>
          </w:p>
        </w:tc>
        <w:tc>
          <w:tcPr>
            <w:tcW w:w="980" w:type="dxa"/>
            <w:vAlign w:val="bottom"/>
          </w:tcPr>
          <w:p>
            <w:pPr>
              <w:jc w:val="center"/>
              <w:ind w:left="37"/>
              <w:spacing w:after="0" w:line="122" w:lineRule="exact"/>
              <w:rPr>
                <w:sz w:val="20"/>
                <w:szCs w:val="20"/>
                <w:color w:val="auto"/>
              </w:rPr>
            </w:pPr>
            <w:r>
              <w:rPr>
                <w:rFonts w:ascii="Arial" w:cs="Arial" w:eastAsia="Arial" w:hAnsi="Arial"/>
                <w:sz w:val="13"/>
                <w:szCs w:val="13"/>
                <w:b w:val="1"/>
                <w:bCs w:val="1"/>
                <w:color w:val="auto"/>
                <w:w w:val="97"/>
              </w:rPr>
              <w:t>Exercise</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40" w:type="dxa"/>
            <w:vAlign w:val="bottom"/>
            <w:vMerge w:val="continue"/>
          </w:tcPr>
          <w:p>
            <w:pPr>
              <w:spacing w:after="0"/>
              <w:rPr>
                <w:sz w:val="16"/>
                <w:szCs w:val="16"/>
                <w:color w:val="auto"/>
              </w:rPr>
            </w:pPr>
          </w:p>
        </w:tc>
        <w:tc>
          <w:tcPr>
            <w:tcW w:w="1980" w:type="dxa"/>
            <w:vAlign w:val="bottom"/>
          </w:tcPr>
          <w:p>
            <w:pPr>
              <w:jc w:val="center"/>
              <w:ind w:left="237"/>
              <w:spacing w:after="0"/>
              <w:rPr>
                <w:sz w:val="20"/>
                <w:szCs w:val="20"/>
                <w:color w:val="auto"/>
              </w:rPr>
            </w:pPr>
            <w:r>
              <w:rPr>
                <w:rFonts w:ascii="Arial" w:cs="Arial" w:eastAsia="Arial" w:hAnsi="Arial"/>
                <w:sz w:val="13"/>
                <w:szCs w:val="13"/>
                <w:b w:val="1"/>
                <w:bCs w:val="1"/>
                <w:color w:val="auto"/>
                <w:w w:val="96"/>
              </w:rPr>
              <w:t>Commencement Date</w:t>
            </w:r>
          </w:p>
        </w:tc>
        <w:tc>
          <w:tcPr>
            <w:tcW w:w="11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980" w:type="dxa"/>
            <w:vAlign w:val="bottom"/>
          </w:tcPr>
          <w:p>
            <w:pPr>
              <w:jc w:val="center"/>
              <w:ind w:left="37"/>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6"/>
                <w:szCs w:val="16"/>
                <w:b w:val="1"/>
                <w:bCs w:val="1"/>
                <w:color w:val="auto"/>
                <w:w w:val="92"/>
                <w:vertAlign w:val="superscript"/>
              </w:rPr>
              <w:t>(2)</w:t>
            </w:r>
          </w:p>
        </w:tc>
        <w:tc>
          <w:tcPr>
            <w:tcW w:w="1140" w:type="dxa"/>
            <w:vAlign w:val="bottom"/>
          </w:tcPr>
          <w:p>
            <w:pPr>
              <w:jc w:val="center"/>
              <w:ind w:left="57"/>
              <w:spacing w:after="0"/>
              <w:rPr>
                <w:sz w:val="20"/>
                <w:szCs w:val="20"/>
                <w:color w:val="auto"/>
              </w:rPr>
            </w:pPr>
            <w:r>
              <w:rPr>
                <w:rFonts w:ascii="Arial" w:cs="Arial" w:eastAsia="Arial" w:hAnsi="Arial"/>
                <w:sz w:val="13"/>
                <w:szCs w:val="13"/>
                <w:b w:val="1"/>
                <w:bCs w:val="1"/>
                <w:color w:val="auto"/>
                <w:w w:val="98"/>
              </w:rPr>
              <w:t>Expiration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6"/>
          <w:szCs w:val="16"/>
          <w:b w:val="1"/>
          <w:bCs w:val="1"/>
          <w:color w:val="auto"/>
          <w:vertAlign w:val="superscript"/>
        </w:rPr>
        <w:t>(1)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Equity Incentive</w:t>
            </w:r>
          </w:p>
        </w:tc>
        <w:tc>
          <w:tcPr>
            <w:tcW w:w="12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Equity Incentive</w:t>
            </w:r>
          </w:p>
        </w:tc>
        <w:tc>
          <w:tcPr>
            <w:tcW w:w="0" w:type="dxa"/>
            <w:vAlign w:val="bottom"/>
          </w:tcPr>
          <w:p>
            <w:pPr>
              <w:spacing w:after="0"/>
              <w:rPr>
                <w:sz w:val="1"/>
                <w:szCs w:val="1"/>
                <w:color w:val="auto"/>
              </w:rPr>
            </w:pPr>
          </w:p>
        </w:tc>
      </w:tr>
      <w:tr>
        <w:trPr>
          <w:trHeight w:val="135"/>
        </w:trPr>
        <w:tc>
          <w:tcPr>
            <w:tcW w:w="1240" w:type="dxa"/>
            <w:vAlign w:val="bottom"/>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Plan Awards:</w:t>
            </w:r>
          </w:p>
        </w:tc>
        <w:tc>
          <w:tcPr>
            <w:tcW w:w="0" w:type="dxa"/>
            <w:vAlign w:val="bottom"/>
          </w:tcPr>
          <w:p>
            <w:pPr>
              <w:spacing w:after="0"/>
              <w:rPr>
                <w:sz w:val="1"/>
                <w:szCs w:val="1"/>
                <w:color w:val="auto"/>
              </w:rPr>
            </w:pPr>
          </w:p>
        </w:tc>
      </w:tr>
      <w:tr>
        <w:trPr>
          <w:trHeight w:val="121"/>
        </w:trPr>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Plan Awards:</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Market or Payout</w:t>
            </w:r>
          </w:p>
        </w:tc>
        <w:tc>
          <w:tcPr>
            <w:tcW w:w="0" w:type="dxa"/>
            <w:vAlign w:val="bottom"/>
          </w:tcPr>
          <w:p>
            <w:pPr>
              <w:spacing w:after="0"/>
              <w:rPr>
                <w:sz w:val="1"/>
                <w:szCs w:val="1"/>
                <w:color w:val="auto"/>
              </w:rPr>
            </w:pPr>
          </w:p>
        </w:tc>
      </w:tr>
      <w:tr>
        <w:trPr>
          <w:trHeight w:val="122"/>
        </w:trPr>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Number of</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Value of Unearned</w:t>
            </w:r>
          </w:p>
        </w:tc>
        <w:tc>
          <w:tcPr>
            <w:tcW w:w="0" w:type="dxa"/>
            <w:vAlign w:val="bottom"/>
          </w:tcPr>
          <w:p>
            <w:pPr>
              <w:spacing w:after="0"/>
              <w:rPr>
                <w:sz w:val="1"/>
                <w:szCs w:val="1"/>
                <w:color w:val="auto"/>
              </w:rPr>
            </w:pPr>
          </w:p>
        </w:tc>
      </w:tr>
      <w:tr>
        <w:trPr>
          <w:trHeight w:val="135"/>
        </w:trPr>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Unearned Shares,</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Units or</w:t>
            </w:r>
          </w:p>
        </w:tc>
        <w:tc>
          <w:tcPr>
            <w:tcW w:w="0" w:type="dxa"/>
            <w:vAlign w:val="bottom"/>
          </w:tcPr>
          <w:p>
            <w:pPr>
              <w:spacing w:after="0"/>
              <w:rPr>
                <w:sz w:val="1"/>
                <w:szCs w:val="1"/>
                <w:color w:val="auto"/>
              </w:rPr>
            </w:pPr>
          </w:p>
        </w:tc>
      </w:tr>
      <w:tr>
        <w:trPr>
          <w:trHeight w:val="121"/>
        </w:trPr>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Units or Other</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Other Rights That</w:t>
            </w:r>
          </w:p>
        </w:tc>
        <w:tc>
          <w:tcPr>
            <w:tcW w:w="0" w:type="dxa"/>
            <w:vAlign w:val="bottom"/>
          </w:tcPr>
          <w:p>
            <w:pPr>
              <w:spacing w:after="0"/>
              <w:rPr>
                <w:sz w:val="1"/>
                <w:szCs w:val="1"/>
                <w:color w:val="auto"/>
              </w:rPr>
            </w:pPr>
          </w:p>
        </w:tc>
      </w:tr>
      <w:tr>
        <w:trPr>
          <w:trHeight w:val="122"/>
        </w:trPr>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Rights That Have</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Have Not Vested</w:t>
            </w:r>
          </w:p>
        </w:tc>
        <w:tc>
          <w:tcPr>
            <w:tcW w:w="0" w:type="dxa"/>
            <w:vAlign w:val="bottom"/>
          </w:tcPr>
          <w:p>
            <w:pPr>
              <w:spacing w:after="0"/>
              <w:rPr>
                <w:sz w:val="1"/>
                <w:szCs w:val="1"/>
                <w:color w:val="auto"/>
              </w:rPr>
            </w:pPr>
          </w:p>
        </w:tc>
      </w:tr>
      <w:tr>
        <w:trPr>
          <w:trHeight w:val="189"/>
        </w:trPr>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Not Vested (#)</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680" w:space="80"/>
            <w:col w:w="24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Ariel Cohen</w:t>
            </w: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3"/>
                <w:szCs w:val="13"/>
                <w:color w:val="auto"/>
              </w:rPr>
              <w:t>02/01/2021</w:t>
            </w:r>
            <w:r>
              <w:rPr>
                <w:rFonts w:ascii="Arial" w:cs="Arial" w:eastAsia="Arial" w:hAnsi="Arial"/>
                <w:sz w:val="16"/>
                <w:szCs w:val="16"/>
                <w:color w:val="auto"/>
                <w:vertAlign w:val="superscript"/>
              </w:rPr>
              <w:t>(4)(5)</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03/18/2021</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4,784,258</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03/17/2031</w:t>
            </w:r>
          </w:p>
        </w:tc>
        <w:tc>
          <w:tcPr>
            <w:tcW w:w="20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(4)(6)</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4/14/2022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1,997,368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2,993,620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04/13/2032</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(4)(6)(7)</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04/13/2023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632,882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948,553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04/12/2033</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180" w:type="dxa"/>
            <w:vAlign w:val="bottom"/>
          </w:tcPr>
          <w:p>
            <w:pPr>
              <w:ind w:left="20"/>
              <w:spacing w:after="0"/>
              <w:rPr>
                <w:sz w:val="20"/>
                <w:szCs w:val="20"/>
                <w:color w:val="auto"/>
              </w:rPr>
            </w:pPr>
            <w:r>
              <w:rPr>
                <w:rFonts w:ascii="Arial" w:cs="Arial" w:eastAsia="Arial" w:hAnsi="Arial"/>
                <w:sz w:val="13"/>
                <w:szCs w:val="13"/>
                <w:color w:val="auto"/>
              </w:rPr>
              <w:t>Ilan Twig</w:t>
            </w:r>
          </w:p>
        </w:tc>
        <w:tc>
          <w:tcPr>
            <w:tcW w:w="100" w:type="dxa"/>
            <w:vAlign w:val="bottom"/>
          </w:tcPr>
          <w:p>
            <w:pPr>
              <w:spacing w:after="0"/>
              <w:rPr>
                <w:sz w:val="13"/>
                <w:szCs w:val="13"/>
                <w:color w:val="auto"/>
              </w:rPr>
            </w:pPr>
          </w:p>
        </w:tc>
        <w:tc>
          <w:tcPr>
            <w:tcW w:w="1460" w:type="dxa"/>
            <w:vAlign w:val="bottom"/>
          </w:tcPr>
          <w:p>
            <w:pPr>
              <w:ind w:left="20"/>
              <w:spacing w:after="0" w:line="161" w:lineRule="exact"/>
              <w:rPr>
                <w:sz w:val="20"/>
                <w:szCs w:val="20"/>
                <w:color w:val="auto"/>
              </w:rPr>
            </w:pPr>
            <w:r>
              <w:rPr>
                <w:rFonts w:ascii="Arial" w:cs="Arial" w:eastAsia="Arial" w:hAnsi="Arial"/>
                <w:sz w:val="13"/>
                <w:szCs w:val="13"/>
                <w:color w:val="auto"/>
              </w:rPr>
              <w:t>02/01/2021</w:t>
            </w:r>
            <w:r>
              <w:rPr>
                <w:rFonts w:ascii="Arial" w:cs="Arial" w:eastAsia="Arial" w:hAnsi="Arial"/>
                <w:sz w:val="16"/>
                <w:szCs w:val="16"/>
                <w:color w:val="auto"/>
                <w:vertAlign w:val="superscript"/>
              </w:rPr>
              <w:t>(5)</w:t>
            </w: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03/18/2021</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6,217,021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03/17/2031</w:t>
            </w:r>
          </w:p>
        </w:tc>
        <w:tc>
          <w:tcPr>
            <w:tcW w:w="200" w:type="dxa"/>
            <w:vAlign w:val="bottom"/>
          </w:tcPr>
          <w:p>
            <w:pPr>
              <w:spacing w:after="0"/>
              <w:rPr>
                <w:sz w:val="13"/>
                <w:szCs w:val="13"/>
                <w:color w:val="auto"/>
              </w:rPr>
            </w:pPr>
          </w:p>
        </w:tc>
        <w:tc>
          <w:tcPr>
            <w:tcW w:w="15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tcPr>
          <w:p>
            <w:pPr>
              <w:spacing w:after="0"/>
              <w:rPr>
                <w:sz w:val="15"/>
                <w:szCs w:val="15"/>
                <w:color w:val="auto"/>
              </w:rPr>
            </w:pPr>
          </w:p>
        </w:tc>
        <w:tc>
          <w:tcPr>
            <w:tcW w:w="1560" w:type="dxa"/>
            <w:vAlign w:val="bottom"/>
            <w:gridSpan w:val="2"/>
          </w:tcPr>
          <w:p>
            <w:pPr>
              <w:ind w:left="120"/>
              <w:spacing w:after="0" w:line="175" w:lineRule="exact"/>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(6)(7)</w:t>
            </w: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01/17/2023</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958,333</w:t>
            </w: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rPr>
              <w:t>1,041,667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01/16/2033</w:t>
            </w:r>
          </w:p>
        </w:tc>
        <w:tc>
          <w:tcPr>
            <w:tcW w:w="200" w:type="dxa"/>
            <w:vAlign w:val="bottom"/>
          </w:tcPr>
          <w:p>
            <w:pPr>
              <w:spacing w:after="0"/>
              <w:rPr>
                <w:sz w:val="15"/>
                <w:szCs w:val="15"/>
                <w:color w:val="auto"/>
              </w:rPr>
            </w:pPr>
          </w:p>
        </w:tc>
        <w:tc>
          <w:tcPr>
            <w:tcW w:w="15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118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(6)(7)</w:t>
            </w: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04/13/2023</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288,726</w:t>
            </w: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rPr>
              <w:t>313,834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04/12/2033</w:t>
            </w:r>
          </w:p>
        </w:tc>
        <w:tc>
          <w:tcPr>
            <w:tcW w:w="200" w:type="dxa"/>
            <w:vAlign w:val="bottom"/>
          </w:tcPr>
          <w:p>
            <w:pPr>
              <w:spacing w:after="0"/>
              <w:rPr>
                <w:sz w:val="16"/>
                <w:szCs w:val="16"/>
                <w:color w:val="auto"/>
              </w:rPr>
            </w:pPr>
          </w:p>
        </w:tc>
        <w:tc>
          <w:tcPr>
            <w:tcW w:w="15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Michael Sindicich</w:t>
            </w:r>
          </w:p>
        </w:tc>
        <w:tc>
          <w:tcPr>
            <w:tcW w:w="156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3"/>
                <w:szCs w:val="13"/>
                <w:color w:val="auto"/>
              </w:rPr>
              <w:t>09/14/2018</w:t>
            </w:r>
            <w:r>
              <w:rPr>
                <w:rFonts w:ascii="Arial" w:cs="Arial" w:eastAsia="Arial" w:hAnsi="Arial"/>
                <w:sz w:val="16"/>
                <w:szCs w:val="16"/>
                <w:color w:val="auto"/>
                <w:vertAlign w:val="superscript"/>
              </w:rPr>
              <w:t>(8)</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09/16/2018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149,276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0.2275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09/15/2028</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04/01/2020</w:t>
            </w:r>
            <w:r>
              <w:rPr>
                <w:rFonts w:ascii="Arial" w:cs="Arial" w:eastAsia="Arial" w:hAnsi="Arial"/>
                <w:sz w:val="16"/>
                <w:szCs w:val="16"/>
                <w:color w:val="auto"/>
                <w:vertAlign w:val="superscript"/>
              </w:rPr>
              <w:t>(9)</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05/30/2020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05/29/2030</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02/06/2021</w:t>
            </w:r>
            <w:r>
              <w:rPr>
                <w:rFonts w:ascii="Arial" w:cs="Arial" w:eastAsia="Arial" w:hAnsi="Arial"/>
                <w:sz w:val="16"/>
                <w:szCs w:val="16"/>
                <w:color w:val="auto"/>
                <w:vertAlign w:val="superscript"/>
              </w:rPr>
              <w:t>(10)</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03/18/2021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744,166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15,834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03/17/2031</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02/01/2022</w:t>
            </w:r>
            <w:r>
              <w:rPr>
                <w:rFonts w:ascii="Arial" w:cs="Arial" w:eastAsia="Arial" w:hAnsi="Arial"/>
                <w:sz w:val="16"/>
                <w:szCs w:val="16"/>
                <w:color w:val="auto"/>
                <w:vertAlign w:val="superscript"/>
              </w:rPr>
              <w:t>(11)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04/14/2022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730,552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271,348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04/13/2032</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02/01/2023</w:t>
            </w:r>
            <w:r>
              <w:rPr>
                <w:rFonts w:ascii="Arial" w:cs="Arial" w:eastAsia="Arial" w:hAnsi="Arial"/>
                <w:sz w:val="16"/>
                <w:szCs w:val="16"/>
                <w:color w:val="auto"/>
                <w:vertAlign w:val="superscript"/>
              </w:rPr>
              <w:t>(7)(11)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04/13/2023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239,583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260,417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04/12/2033</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12/01/2023</w:t>
            </w:r>
            <w:r>
              <w:rPr>
                <w:rFonts w:ascii="Arial" w:cs="Arial" w:eastAsia="Arial" w:hAnsi="Arial"/>
                <w:sz w:val="16"/>
                <w:szCs w:val="16"/>
                <w:color w:val="auto"/>
                <w:vertAlign w:val="superscript"/>
              </w:rPr>
              <w:t>(12)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01/25/2024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352,083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947,917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01/24/2034</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12/20/2024</w:t>
            </w:r>
            <w:r>
              <w:rPr>
                <w:rFonts w:ascii="Arial" w:cs="Arial" w:eastAsia="Arial" w:hAnsi="Arial"/>
                <w:sz w:val="16"/>
                <w:szCs w:val="16"/>
                <w:color w:val="auto"/>
                <w:vertAlign w:val="superscript"/>
              </w:rPr>
              <w:t>(13)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01/22/2025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280,449</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2,114,585</w:t>
            </w:r>
          </w:p>
        </w:tc>
      </w:tr>
      <w:tr>
        <w:trPr>
          <w:trHeight w:val="190"/>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12/01/2024</w:t>
            </w:r>
            <w:r>
              <w:rPr>
                <w:rFonts w:ascii="Arial" w:cs="Arial" w:eastAsia="Arial" w:hAnsi="Arial"/>
                <w:sz w:val="16"/>
                <w:szCs w:val="16"/>
                <w:color w:val="auto"/>
                <w:vertAlign w:val="superscript"/>
              </w:rPr>
              <w:t>(12)</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01/22/2025</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262,697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01/21/2035</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1"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of the outstanding stock options and stock awards were granted under our 2015 Plan.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6"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type w:val="continuous"/>
        </w:sectPr>
      </w:pPr>
    </w:p>
    <w:bookmarkStart w:id="158" w:name="page159"/>
    <w:bookmarkEnd w:id="158"/>
    <w:p>
      <w:pPr>
        <w:spacing w:after="0" w:line="252"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column represents the fair value of a share of our Class A common stock on the grant date, as determined by our board of directors.</w:t>
      </w:r>
    </w:p>
    <w:p>
      <w:pPr>
        <w:spacing w:after="0" w:line="21" w:lineRule="exact"/>
        <w:rPr>
          <w:rFonts w:ascii="Arial" w:cs="Arial" w:eastAsia="Arial" w:hAnsi="Arial"/>
          <w:sz w:val="16"/>
          <w:szCs w:val="16"/>
          <w:color w:val="auto"/>
        </w:rPr>
      </w:pPr>
    </w:p>
    <w:p>
      <w:pPr>
        <w:ind w:left="340" w:right="240" w:hanging="332"/>
        <w:spacing w:after="0" w:line="255"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Amounts reported represent the fair value of our Class A common stock of $7.54 per share as of January 31, 2025 as determined by an independent valuation, multiplied by the number of shares reported.</w:t>
      </w:r>
    </w:p>
    <w:p>
      <w:pPr>
        <w:ind w:left="340" w:right="360" w:hanging="332"/>
        <w:spacing w:after="0" w:line="255"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number of securities reported reflects the transfer of a portion of the awards to a constructive trust for the benefit of Mr. Cohen’s former spouse pursuant to a qualified domestic relations order.</w:t>
      </w:r>
    </w:p>
    <w:p>
      <w:pPr>
        <w:ind w:left="340" w:right="40" w:hanging="332"/>
        <w:spacing w:after="0" w:line="252"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stock option vested in equal monthly installments over 24 months beginning on the one-month anniversary of the vesting commencement date and is fully vested.</w:t>
      </w:r>
    </w:p>
    <w:p>
      <w:pPr>
        <w:spacing w:after="0" w:line="1" w:lineRule="exact"/>
        <w:rPr>
          <w:rFonts w:ascii="Arial" w:cs="Arial" w:eastAsia="Arial" w:hAnsi="Arial"/>
          <w:sz w:val="16"/>
          <w:szCs w:val="16"/>
          <w:color w:val="auto"/>
        </w:rPr>
      </w:pPr>
    </w:p>
    <w:p>
      <w:pPr>
        <w:ind w:left="340" w:right="180" w:hanging="332"/>
        <w:spacing w:after="0" w:line="252"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stock option vests monthly in equal installments over 48 months beginning on the one-month anniversary of the vesting commencement date, subject to continued service through each applicable vesting date. All shares of Class A common stock underlying this option will be exchangeable for shares of Class B common stock upon the election of Mr. Cohen or Mr. Twig, as applicable, following exercise. This stock option is subject to early exercise and, to the extent shares are issued and unvested as of a given date, such shares will remain subject to a right of repurchase held by us.</w:t>
      </w:r>
    </w:p>
    <w:p>
      <w:pPr>
        <w:ind w:left="340" w:hanging="332"/>
        <w:spacing w:after="0" w:line="255"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Exercise price reflects the repricing on August 12, 2024 of these stock options as described under the section titled “—Equity-Based Incentive Awards— Option Repricing.”</w:t>
      </w:r>
    </w:p>
    <w:p>
      <w:pPr>
        <w:ind w:left="340" w:right="160" w:hanging="332"/>
        <w:spacing w:after="0" w:line="252"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stock option vested with respect to 25% of the shares subject to the stock option on the one-year anniversary of the vesting commencement date and the remaining 75% of the shares subject to the stock option in equal monthly installments over the following three years and is fully vested.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stock option vested in equal annual installments on the one-year and two-year anniversaries of the vesting commencement date and is fully vested.</w:t>
      </w:r>
    </w:p>
    <w:p>
      <w:pPr>
        <w:spacing w:after="0" w:line="8" w:lineRule="exact"/>
        <w:rPr>
          <w:rFonts w:ascii="Arial" w:cs="Arial" w:eastAsia="Arial" w:hAnsi="Arial"/>
          <w:sz w:val="16"/>
          <w:szCs w:val="16"/>
          <w:color w:val="auto"/>
        </w:rPr>
      </w:pPr>
    </w:p>
    <w:p>
      <w:pPr>
        <w:ind w:left="340" w:right="160" w:hanging="332"/>
        <w:spacing w:after="0" w:line="254" w:lineRule="auto"/>
        <w:tabs>
          <w:tab w:leader="none" w:pos="33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stock option vests with respect to 25% of the shares subject to the stock option on the one-year anniversary of the vesting commencement date and the remaining 75% of the shares subject to the stock option vest in equal monthly installments over the following three years, subject to continued service through each applicable vesting date. This stock option is subject to early exercise and, to the extent shares are issued and unvested as of a given date, such shares will remain subject to a right of repurchase held by us.</w:t>
      </w:r>
    </w:p>
    <w:p>
      <w:pPr>
        <w:ind w:left="340" w:right="20" w:hanging="332"/>
        <w:spacing w:after="0" w:line="254" w:lineRule="auto"/>
        <w:tabs>
          <w:tab w:leader="none" w:pos="31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stock option vests monthly in equal installments over 48 months beginning on the one-month anniversary of the vesting commencement date, subject to continued service through each applicable vesting date. This stock option is subject to early exercise and, to the extent shares are issued and unvested as of a given date, such shares will remain subject to a right of repurchase held by us.</w:t>
      </w:r>
    </w:p>
    <w:p>
      <w:pPr>
        <w:ind w:left="340" w:right="160" w:hanging="332"/>
        <w:spacing w:after="0" w:line="252" w:lineRule="auto"/>
        <w:tabs>
          <w:tab w:leader="none" w:pos="33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stock option vests with respect to 25% of the shares subject to the stock option on the one-year anniversary of the vesting commencement date and the remaining 75% of the shares subject to the stock option vest in equal monthly installments over the following three years, subject to continued service through each applicable vesting date.</w:t>
      </w:r>
    </w:p>
    <w:p>
      <w:pPr>
        <w:ind w:left="340" w:right="180" w:hanging="332"/>
        <w:spacing w:after="0" w:line="283" w:lineRule="auto"/>
        <w:tabs>
          <w:tab w:leader="none" w:pos="33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RSUs vest on the first date upon which both a service-based condition and a performance-based condition are satisfied. See the section titled “— Equity-Based Incentive Awards—RSUs Granted in Fiscal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71"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Before the completion of this offering, we intend to enter into change in control and severance agreements with each of our named executive officers.</w:t>
      </w:r>
    </w:p>
    <w:p>
      <w:pPr>
        <w:spacing w:after="0" w:line="9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Under each named executive officer’s change in control and severance agreement, if, outside of the applicable Change in Control Period (as defined below), a named executive officer’s employment is terminated by us without cause (excluding by reason of the named executive officer’s death or disability) or by the named executive officer for good reason, the named executive officer would be entitled to receive the following severance benefits:</w:t>
      </w:r>
    </w:p>
    <w:p>
      <w:pPr>
        <w:spacing w:after="0" w:line="122" w:lineRule="exact"/>
        <w:rPr>
          <w:sz w:val="20"/>
          <w:szCs w:val="20"/>
          <w:color w:val="auto"/>
        </w:rPr>
      </w:pPr>
    </w:p>
    <w:p>
      <w:pPr>
        <w:ind w:left="660" w:hanging="328"/>
        <w:spacing w:after="0" w:line="25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lump sum cash severance payment equal to (i) six months (or in Mr. Cohen’s case, 12 months) of the named executive officer’s annual base salary, (ii) a prorated portion of the annual bonus that the named executive officer otherwise would have received for the year in which such termination occurs had the named executive officer remained employed through the date required to earn such bonus, and (iii) the amount of any cash performance incentive or bonus that the named executive officer otherwise would have received for any performance period that had ended before such termination had the named executive officer remained employed through the date required to earn such incentive or bonus;</w:t>
      </w:r>
    </w:p>
    <w:p>
      <w:pPr>
        <w:spacing w:after="0" w:line="12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 of premiums for coverage under the Consolidated Omnibus Budget Reconciliation Act of 1985, as amended, or COBRA, for the named executive officer and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247" w:lineRule="exact"/>
        <w:rPr>
          <w:sz w:val="20"/>
          <w:szCs w:val="20"/>
          <w:color w:val="auto"/>
        </w:rPr>
      </w:pPr>
    </w:p>
    <w:p>
      <w:pPr>
        <w:ind w:left="660" w:right="80"/>
        <w:spacing w:after="0" w:line="268" w:lineRule="auto"/>
        <w:rPr>
          <w:sz w:val="20"/>
          <w:szCs w:val="20"/>
          <w:color w:val="auto"/>
        </w:rPr>
      </w:pPr>
      <w:r>
        <w:rPr>
          <w:rFonts w:ascii="Arial" w:cs="Arial" w:eastAsia="Arial" w:hAnsi="Arial"/>
          <w:sz w:val="18"/>
          <w:szCs w:val="18"/>
          <w:color w:val="auto"/>
        </w:rPr>
        <w:t>eligible dependents, if any, for up to 12 months (or in Mr. Cohen’s case, 18 months) following the date of such termination or taxable monthly payments for the equivalent period in the event payment of the COBRA premiums would violate or be subject to an excise tax under applicable law;</w:t>
      </w:r>
    </w:p>
    <w:p>
      <w:pPr>
        <w:spacing w:after="0" w:line="117" w:lineRule="exact"/>
        <w:rPr>
          <w:sz w:val="20"/>
          <w:szCs w:val="20"/>
          <w:color w:val="auto"/>
        </w:rPr>
      </w:pPr>
    </w:p>
    <w:p>
      <w:pPr>
        <w:ind w:left="660" w:right="920" w:hanging="328"/>
        <w:spacing w:after="0" w:line="28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accelerated vesting of any unvested time-based equity awards that would have vested during the 12 months following the termination date; and</w:t>
      </w:r>
    </w:p>
    <w:p>
      <w:pPr>
        <w:spacing w:after="0" w:line="98"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extension of the period that each of the named executive officer’s vested options will remain exercisable until the earlier of (i) 24 months following the date of the named executive officer’s termination of employment (or if the termination occurs when Company’s common stock is not listed on any established stock exchange or national market system, seven years following the date of the termination) or (ii) the expiration of the option’s term.</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each named executive officer’s change in control and severance agreement, if, during the period beginning three months before a change in control and ending 12 months (or in Mr. Cohen’s case, 18 months) after a change in control, or the Change in Control Period, a named executive officer’s employment is terminated by us without cause (excluding by reason of the named executive officer’s death or disability) or by the named executive officer for good reason, the named executive officer would be entitled to receive the following severance benefits:</w:t>
      </w:r>
    </w:p>
    <w:p>
      <w:pPr>
        <w:spacing w:after="0" w:line="125" w:lineRule="exact"/>
        <w:rPr>
          <w:sz w:val="20"/>
          <w:szCs w:val="20"/>
          <w:color w:val="auto"/>
        </w:rPr>
      </w:pPr>
    </w:p>
    <w:p>
      <w:pPr>
        <w:ind w:left="660" w:hanging="328"/>
        <w:spacing w:after="0" w:line="259"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lump sum cash severance payment equal to (i) 12 months (or in Mr. Cohen’s case, 18 months) of the named executive officer’s annual base salary, (ii) 100% (or in Mr. Cohen’s case, 150%) of the named executive officer’s target annual bonus as in effect for the fiscal year in which the termination occurs, and (iii) the amount of any cash performance incentive or bonus that the named executive officer otherwise would have received for any performance period that had ended before such termination had the named executive officer remained employed through the date required to earn such incentive or bonus;</w:t>
      </w:r>
    </w:p>
    <w:p>
      <w:pPr>
        <w:spacing w:after="0" w:line="125"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in Mr. Cohen’s case, 18 months) following the date of such termination or taxable monthly payments for the equivalent period in the event payment of the COBRA premiums would violate or be subject to an excise tax under applicable law;</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accelerated vesting of all outstanding, unvested time-based equity awards; and</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extension of the period that each of the named executive officer’s vested options will remain exercisable until the earlier of (i) 24 months following the date of the named executive officer’s termination of employment (or if the termination occurs when Company’s common stock is not listed on any established stock exchange or national market system, seven years following the date of the termination) or (ii) the expiration of the option’s term.</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Severance will be conditioned upon (i) the execution and non-revocation of a release of claims, (ii) return of all Company documents and other property, and (iii) continued compliance with any confidential information agreement between us and him. The change in control and severance agreements do not provide for any excise tax gross-ups. If the merger-related payments or benefits of the named executive officer are subject to the 20% excise tax under Section 4999 of the Internal Revenue Code of 1986, as amended, or the Code, then the named executive officer will either receive all such payments and benefits subject to the excise tax or such payments and benefits will be reduced so that the excise tax does not apply, whichever approach yields the best after-tax outcome for the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Incentive Bonus Plan</w:t>
      </w:r>
    </w:p>
    <w:p>
      <w:pPr>
        <w:spacing w:after="0" w:line="171"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Before the completion of this offering, our board of directors intends to adopt our Cash Incentive Bonus Plan, or the Bonus Plan. Our Bonus Plan allows us to grant incentive awards (generally payable in cash) to employees selected by the administrator of the Bonus Plan, including our named executive officers.</w:t>
      </w:r>
    </w:p>
    <w:p>
      <w:pPr>
        <w:spacing w:after="0" w:line="11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board of directors or a committee appointed by our board of directors (which, until our board of directors determines otherwise, will be our compensation committee) will administer our Bonus Plan. In this summary of the 2025 Plan, we sometimes refer to our board of directors or the applicable committee with the power to administer the Bonus Plan as the administrator.</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administrator will determine the performance goals that apply to any award under our Bonus Plan. The performance goals may be based on GAAP or non-GAAP results, and when determining whether the performance goals have been met, any actual results may be adjusted by the administrator for one-time items or unbudgeted or unexpected items and/or payments of actual awards under the Bonus Plan. The performance goals may be based on any factors that the administrator determines relevant, such as on an individual, divisional, portfolio, project, business unit, or company-wide basis. Any criteria used may be measured on such basis as the administrator determines. The performance goals may differ from participant to participant and from award to award. The administrator also may determine that a target award (or a portion of a target award) will not have a performance goal associated with it but instead will be granted in the administrator’s discretion.</w:t>
      </w:r>
    </w:p>
    <w:p>
      <w:pPr>
        <w:spacing w:after="0" w:line="131"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The administrator has the discretion at any time before payment of a participant’s award to increase, reduce or eliminate the award and/or the bonus pool for a particular performance period. The administrator may determine the amount of any increase, reduction, or elimination on the basis of any factors that it deems relevant, and the administrator is not required to establish any allocation or weighting with respect to the factors it considers. The actual award may be below, at, or above the target award.</w:t>
      </w:r>
    </w:p>
    <w:p>
      <w:pPr>
        <w:spacing w:after="0" w:line="12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Actual awards generally will be paid in cash (or its equivalent) only after they are earned and approved. Unless the administrator determines otherwise, to earn an actual award, a participant must be employed by us through the date the actual award is paid. The administrator will have the right to settle an actual award with a grant of an equity award under our then-current equity compensation plan, which will have such terms and conditions that the administrator determines. Payment of an award occurs as soon as practicable after the award is approved by the administrator following the end of the related performance period but not later than the date specified in the Bonus Plan.</w:t>
      </w:r>
    </w:p>
    <w:p>
      <w:pPr>
        <w:spacing w:after="0" w:line="12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Each award under the Bonus Plan will be subject to reduction, cancellation, forfeiture, or recoupment in accordance with any clawback policy of ours (or any of our parents or subsidiaries) in effect as of the date the award is granted or any other clawback policy that we (or any parent or subsidiary of ours) are required to adopt by the listing standards of any national securities exchange or association on which our securities are listed or by applicable laws. In addition, the administrator may impose any other reduction, cancellation, forfeiture, clawback, recovery, or recoupment provisions with respect to an award that it determines necessary or appropriate. In the event of an accounting restatement, the recipient of an award will be required to repay a portion of the proceeds received with respect to an award earned or accrued under certain circumstances.</w:t>
      </w:r>
    </w:p>
    <w:p>
      <w:pPr>
        <w:spacing w:after="0" w:line="12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The administrator will have the authority to amend, suspend, or terminate the Bonus Plan, but such actions will not alter or impair any participant’s rights or obligations with respect to an earned award without the participant’s consent.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Welfare and Other Benefits</w:t>
      </w:r>
    </w:p>
    <w:p>
      <w:pPr>
        <w:spacing w:after="0" w:line="171" w:lineRule="exact"/>
        <w:rPr>
          <w:sz w:val="20"/>
          <w:szCs w:val="20"/>
          <w:color w:val="auto"/>
        </w:rPr>
      </w:pPr>
    </w:p>
    <w:p>
      <w:pPr>
        <w:ind w:right="840" w:firstLine="324"/>
        <w:spacing w:after="0" w:line="287" w:lineRule="auto"/>
        <w:rPr>
          <w:sz w:val="20"/>
          <w:szCs w:val="20"/>
          <w:color w:val="auto"/>
        </w:rPr>
      </w:pPr>
      <w:r>
        <w:rPr>
          <w:rFonts w:ascii="Arial" w:cs="Arial" w:eastAsia="Arial" w:hAnsi="Arial"/>
          <w:sz w:val="18"/>
          <w:szCs w:val="18"/>
          <w:color w:val="auto"/>
        </w:rPr>
        <w:t>We provide health, dental, vision, life, and disability insurance benefits to our named executive officers, on the same terms and conditions as provided to all other eligible U.S.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also maintain a 401(k) plan that provides eligible U.S. employees with an opportunity to save for retirement on a tax advantaged basis. Eligible employees are able to make pre-tax and after-tax contributions of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Policy</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Before the completion of this offering, we intend to adopt a Compensation Recovery Policy, or the Compensation Recovery Policy. The Compensation Recovery Policy will be in accordance with the final rules regarding recovery of erroneously awarded executive officer compensation in connection with an accounting restatement, as adopted by the SEC in October 2022, and consistent with the corresponding listing standards, or together, the Clawback Rules. Pursuant to the Compensation Recovery Policy, and subject to certain limited exceptions in the Clawback Rules, in the event we are required to restate our financial statements, we will be required to recoup erroneously awarded incentive-based compensation (as described in the Clawback Rules, including both cash and equity compensation) paid to any current or former executive officer (as described in the Clawback Rules) during the three completed fiscal years immediately prior to the date the accounting restatement was required. The amount recoverable will be the amount of any incentive-based compensation received by the executive officer based on the financial statements prior to the restatement that exceeds the amount that such executive officer would have received had the incentive-based compensation been determined based on the financial restatement.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7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69" w:lineRule="exact"/>
        <w:rPr>
          <w:sz w:val="20"/>
          <w:szCs w:val="20"/>
          <w:color w:val="auto"/>
        </w:rPr>
      </w:pPr>
    </w:p>
    <w:p>
      <w:pPr>
        <w:ind w:right="540" w:firstLine="324"/>
        <w:spacing w:after="0" w:line="318" w:lineRule="auto"/>
        <w:rPr>
          <w:sz w:val="20"/>
          <w:szCs w:val="20"/>
          <w:color w:val="auto"/>
        </w:rPr>
      </w:pPr>
      <w:r>
        <w:rPr>
          <w:rFonts w:ascii="Arial" w:cs="Arial" w:eastAsia="Arial" w:hAnsi="Arial"/>
          <w:sz w:val="17"/>
          <w:szCs w:val="17"/>
          <w:color w:val="auto"/>
        </w:rPr>
        <w:t>In February 2015, we adopted the 2015 Plan, as most recently amended in April 2025. The purpose of the 2015 Plan is to provide incentives to attract, retain, and motivate eligible persons whose present and potential contributions are important to our success.</w:t>
      </w:r>
    </w:p>
    <w:p>
      <w:pPr>
        <w:spacing w:after="0" w:line="76" w:lineRule="exact"/>
        <w:rPr>
          <w:sz w:val="20"/>
          <w:szCs w:val="20"/>
          <w:color w:val="auto"/>
        </w:rPr>
      </w:pPr>
    </w:p>
    <w:p>
      <w:pPr>
        <w:ind w:left="340"/>
        <w:spacing w:after="0"/>
        <w:tabs>
          <w:tab w:leader="none" w:pos="2580" w:val="left"/>
          <w:tab w:leader="none" w:pos="4500" w:val="left"/>
        </w:tabs>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2025, we had</w:t>
      </w:r>
      <w:r>
        <w:rPr>
          <w:sz w:val="20"/>
          <w:szCs w:val="20"/>
          <w:color w:val="auto"/>
        </w:rPr>
        <w:tab/>
      </w:r>
      <w:r>
        <w:rPr>
          <w:rFonts w:ascii="Arial" w:cs="Arial" w:eastAsia="Arial" w:hAnsi="Arial"/>
          <w:sz w:val="17"/>
          <w:szCs w:val="17"/>
          <w:color w:val="auto"/>
        </w:rPr>
        <w:t>shares of our Class A common stock reserved for issuance through grants under</w:t>
      </w:r>
    </w:p>
    <w:p>
      <w:pPr>
        <w:spacing w:after="0" w:line="27" w:lineRule="exact"/>
        <w:rPr>
          <w:sz w:val="20"/>
          <w:szCs w:val="20"/>
          <w:color w:val="auto"/>
        </w:rPr>
      </w:pPr>
    </w:p>
    <w:p>
      <w:pPr>
        <w:spacing w:after="0"/>
        <w:tabs>
          <w:tab w:leader="none" w:pos="2620" w:val="left"/>
          <w:tab w:leader="none" w:pos="6740" w:val="left"/>
          <w:tab w:leader="none" w:pos="9660" w:val="left"/>
        </w:tabs>
        <w:rPr>
          <w:sz w:val="20"/>
          <w:szCs w:val="20"/>
          <w:color w:val="auto"/>
        </w:rPr>
      </w:pPr>
      <w:r>
        <w:rPr>
          <w:rFonts w:ascii="Arial" w:cs="Arial" w:eastAsia="Arial" w:hAnsi="Arial"/>
          <w:sz w:val="18"/>
          <w:szCs w:val="18"/>
          <w:color w:val="auto"/>
        </w:rPr>
        <w:t>our 2015 Plan, of which</w:t>
      </w:r>
      <w:r>
        <w:rPr>
          <w:sz w:val="20"/>
          <w:szCs w:val="20"/>
          <w:color w:val="auto"/>
        </w:rPr>
        <w:tab/>
      </w:r>
      <w:r>
        <w:rPr>
          <w:rFonts w:ascii="Arial" w:cs="Arial" w:eastAsia="Arial" w:hAnsi="Arial"/>
          <w:sz w:val="18"/>
          <w:szCs w:val="18"/>
          <w:color w:val="auto"/>
        </w:rPr>
        <w:t>shares remained available for grant. As of</w:t>
      </w:r>
      <w:r>
        <w:rPr>
          <w:sz w:val="20"/>
          <w:szCs w:val="20"/>
          <w:color w:val="auto"/>
        </w:rPr>
        <w:tab/>
      </w:r>
      <w:r>
        <w:rPr>
          <w:rFonts w:ascii="Arial" w:cs="Arial" w:eastAsia="Arial" w:hAnsi="Arial"/>
          <w:sz w:val="18"/>
          <w:szCs w:val="18"/>
          <w:color w:val="auto"/>
        </w:rPr>
        <w:t>, 2025, options to purchase</w:t>
      </w:r>
      <w:r>
        <w:rPr>
          <w:sz w:val="20"/>
          <w:szCs w:val="20"/>
          <w:color w:val="auto"/>
        </w:rPr>
        <w:tab/>
      </w:r>
      <w:r>
        <w:rPr>
          <w:rFonts w:ascii="Arial" w:cs="Arial" w:eastAsia="Arial" w:hAnsi="Arial"/>
          <w:sz w:val="17"/>
          <w:szCs w:val="17"/>
          <w:color w:val="auto"/>
        </w:rPr>
        <w:t>shares had been</w:t>
      </w:r>
    </w:p>
    <w:p>
      <w:pPr>
        <w:spacing w:after="0" w:line="9" w:lineRule="exact"/>
        <w:rPr>
          <w:sz w:val="20"/>
          <w:szCs w:val="20"/>
          <w:color w:val="auto"/>
        </w:rPr>
      </w:pPr>
    </w:p>
    <w:p>
      <w:pPr>
        <w:spacing w:after="0"/>
        <w:tabs>
          <w:tab w:leader="none" w:pos="3180" w:val="left"/>
          <w:tab w:leader="none" w:pos="9360" w:val="left"/>
        </w:tabs>
        <w:rPr>
          <w:sz w:val="20"/>
          <w:szCs w:val="20"/>
          <w:color w:val="auto"/>
        </w:rPr>
      </w:pPr>
      <w:r>
        <w:rPr>
          <w:rFonts w:ascii="Arial" w:cs="Arial" w:eastAsia="Arial" w:hAnsi="Arial"/>
          <w:sz w:val="18"/>
          <w:szCs w:val="18"/>
          <w:color w:val="auto"/>
        </w:rPr>
        <w:t>exercised; options to purchase</w:t>
      </w:r>
      <w:r>
        <w:rPr>
          <w:sz w:val="20"/>
          <w:szCs w:val="20"/>
          <w:color w:val="auto"/>
        </w:rPr>
        <w:tab/>
      </w:r>
      <w:r>
        <w:rPr>
          <w:rFonts w:ascii="Arial" w:cs="Arial" w:eastAsia="Arial" w:hAnsi="Arial"/>
          <w:sz w:val="18"/>
          <w:szCs w:val="18"/>
          <w:color w:val="auto"/>
        </w:rPr>
        <w:t>shares remained outstanding, with a weighted-average exercise price of $</w:t>
      </w:r>
      <w:r>
        <w:rPr>
          <w:sz w:val="20"/>
          <w:szCs w:val="20"/>
          <w:color w:val="auto"/>
        </w:rPr>
        <w:tab/>
      </w:r>
      <w:r>
        <w:rPr>
          <w:rFonts w:ascii="Arial" w:cs="Arial" w:eastAsia="Arial" w:hAnsi="Arial"/>
          <w:sz w:val="17"/>
          <w:szCs w:val="17"/>
          <w:color w:val="auto"/>
        </w:rPr>
        <w:t>per share;</w:t>
      </w:r>
    </w:p>
    <w:p>
      <w:pPr>
        <w:spacing w:after="0" w:line="9" w:lineRule="exact"/>
        <w:rPr>
          <w:sz w:val="20"/>
          <w:szCs w:val="20"/>
          <w:color w:val="auto"/>
        </w:rPr>
      </w:pPr>
    </w:p>
    <w:p>
      <w:pPr>
        <w:spacing w:after="0"/>
        <w:tabs>
          <w:tab w:leader="none" w:pos="780" w:val="left"/>
          <w:tab w:leader="none" w:pos="5200" w:val="left"/>
          <w:tab w:leader="none" w:pos="65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RSUs were issued and outstanding. As of</w:t>
      </w:r>
      <w:r>
        <w:rPr>
          <w:sz w:val="20"/>
          <w:szCs w:val="20"/>
          <w:color w:val="auto"/>
        </w:rPr>
        <w:tab/>
      </w:r>
      <w:r>
        <w:rPr>
          <w:rFonts w:ascii="Arial" w:cs="Arial" w:eastAsia="Arial" w:hAnsi="Arial"/>
          <w:sz w:val="18"/>
          <w:szCs w:val="18"/>
          <w:color w:val="auto"/>
        </w:rPr>
        <w:t>, 2025,</w:t>
      </w:r>
      <w:r>
        <w:rPr>
          <w:sz w:val="20"/>
          <w:szCs w:val="20"/>
          <w:color w:val="auto"/>
        </w:rPr>
        <w:tab/>
      </w:r>
      <w:r>
        <w:rPr>
          <w:rFonts w:ascii="Arial" w:cs="Arial" w:eastAsia="Arial" w:hAnsi="Arial"/>
          <w:sz w:val="17"/>
          <w:szCs w:val="17"/>
          <w:color w:val="auto"/>
        </w:rPr>
        <w:t>shares of restricted stock were granted under the 2015</w:t>
      </w:r>
    </w:p>
    <w:p>
      <w:pPr>
        <w:spacing w:after="0" w:line="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Plan. Certain options granted under the 2015 Plan are early exercisable and may be exercised for unvested shares of our Class A common stock subject to a repurchase right. No new awards will be granted under the 2015 Plan after the offering.</w:t>
      </w:r>
    </w:p>
    <w:p>
      <w:pPr>
        <w:spacing w:after="0" w:line="11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of our board of directors, will administer our 2015 Plan. We</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refer to our board of directors, or the applicable committee with the power to administer our equity incentive plans, as the administrator. In this summary of the 2015 Plan, we sometimes refer to our board of directors or the applicable committee with the power to administer the 2015 Plan as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320" w:top="1440" w:right="399" w:bottom="1440" w:gutter="0" w:footer="0" w:header="0"/>
        </w:sectPr>
      </w:pPr>
    </w:p>
    <w:bookmarkStart w:id="162" w:name="page163"/>
    <w:bookmarkEnd w:id="162"/>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Subject to the limitations of the 2015 Plan, the administrator’s powers include the authority to (i) construe and interpret the 2015 Plan, any award agreement and any other agreement or document executed pursuant to the 2015 Plan, (ii) prescribe, amend, expand, modify and rescind or terminate rules and regulations relating to the 2015 Plan, (iii) approve persons to receive awards and determine the form and terms of awards, (iv) grant waivers of any conditions of the 2015 Plan or any award, (v) adopt rules and/or procedures (including the adoption of any subplan under the 2015 Plan) relating to the operation and administration of the 2015 Plan to accommodate requirements of local law and procedures outside of the United States, and (vi) make all other determinations necessary or advisable in connection with the administration of the 2015 Plan.</w:t>
      </w:r>
    </w:p>
    <w:p>
      <w:pPr>
        <w:spacing w:after="0" w:line="12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Under the 2015 Plan, we may grant incentive stock options, or ISOs, only to our employees or the employees of our parent or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(including officers and directors who are also employees). We may grant nonstatutory stock options, or NSOs, RSUs, and shares of restricted stock to our employees (including officers and directors who are also employees), non-employee directors, and consultants or the employees, directors, and consultants of our parents and subsidiaries.</w:t>
      </w:r>
    </w:p>
    <w:p>
      <w:pPr>
        <w:spacing w:after="0" w:line="12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2015 Plan allows for the grant of options, with terms as generally determined by the administrator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2015 Plan) and set forth in an award agreement. However, the per share exercise price of a stock option generally cannot be less than 100% of the fair market value of a share of our Class A common stock on the date of grant, and an option may not have a term exceeding ten years. In addition, no ISO may be granted to any person who, at the time of the grant, owns or is deemed to own stock possessing more than 10% of the total combined voting power or value of all classes of capital stock of ours or of any parent or subsidiary of ours unless (i) the option exercise price is at least 110% of the fair market value of the stock subject to the option on the date of grant and (ii) the option does not have a term exceeding five years. The aggregate fair market value, determined at the time of grant, of our common stock with respect to ISOs that are exercisable for the first time by a participant during any calendar year under all stock plans of ours or any parent or subsidiary of ours may not exceed $ 100,000. Options or portions thereof that exceed such limit will generally be treated as NSOs. An option vests based on the satisfaction of the vesting conditions specified in the award agreement.</w:t>
      </w:r>
    </w:p>
    <w:p>
      <w:pPr>
        <w:spacing w:after="0" w:line="13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After a participant’s service relationship with us terminates, the participant will be able to exercise the vested portion of the participant’s option for the period of time stated in the participant’s award agreement. In the absence of a specified time in the award agreement, the vested portion of the option will remain exercisable (i) if such termination is for cause, until the termination date, (ii) if such termination is for any reason other than for cause, due to the participant’s disability, or due to the participant’s death, for three months following the date of such termination, or (iii) if such termination is due to the participant’s death or disability (or if participant’s death occurs within three months after a termination without cause), for 12 months following the date of such termination. However, an option may not be exercised later than the expiration of its term.</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Restricted Stock and RSUs. </w:t>
      </w:r>
      <w:r>
        <w:rPr>
          <w:rFonts w:ascii="Arial" w:cs="Arial" w:eastAsia="Arial" w:hAnsi="Arial"/>
          <w:sz w:val="18"/>
          <w:szCs w:val="18"/>
          <w:color w:val="auto"/>
        </w:rPr>
        <w:t>The 2015 Plan allows for the grant of restricted stock awards, or RSAs (and for the early exercise of options</w:t>
      </w:r>
    </w:p>
    <w:p>
      <w:pPr>
        <w:sectPr>
          <w:pgSz w:w="11900" w:h="16838" w:orient="portrait"/>
          <w:cols w:equalWidth="0" w:num="1">
            <w:col w:w="11220"/>
          </w:cols>
          <w:pgMar w:left="320" w:top="1440" w:right="359" w:bottom="1440" w:gutter="0" w:footer="0" w:header="0"/>
        </w:sectPr>
      </w:pP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restricted stock), and RSUs, with terms as generally determined by the administrator (in accordance with the 2015 Plan) and set forth in an award agreement. Unless otherwise determined by the administrator, a participant will have voting and other rights as a stockholder of ours with respect to any shares subject to an RSA. If any such dividends or distributions are paid in shares, the shares will be subject to the same restrictions on transferability and forfeitability as the shares of restricted stock with respect to which they were paid. As of 2025, there were shares of restricted stock and RSUs issued and outstanding under the 2015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44" w:lineRule="exact"/>
        <w:rPr>
          <w:sz w:val="20"/>
          <w:szCs w:val="20"/>
          <w:color w:val="auto"/>
        </w:rPr>
      </w:pPr>
    </w:p>
    <w:p>
      <w:pPr>
        <w:sectPr>
          <w:pgSz w:w="11900" w:h="16838" w:orient="portrait"/>
          <w:cols w:equalWidth="0" w:num="2">
            <w:col w:w="11080" w:space="60"/>
            <w:col w:w="80"/>
          </w:cols>
          <w:pgMar w:left="320" w:top="1440" w:right="359" w:bottom="1440" w:gutter="0" w:footer="0" w:header="0"/>
          <w:type w:val="continuous"/>
        </w:sectPr>
      </w:pPr>
    </w:p>
    <w:p>
      <w:pPr>
        <w:ind w:right="140" w:firstLine="324"/>
        <w:spacing w:after="0" w:line="262"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2015 Plan allows for the grant of stock appreciation rights, with terms as generally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(in accordance with the 2015 Plan) and set forth in an award agreement. However, the per share exercise price of a stock appreciation right generally cannot be less than 100% of the fair market value of a share of our Class A common stock on the date of grant, and a stock appreciation right may not have a term exceeding ten years. A stock appreciation right vests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1440" w:right="359" w:bottom="1440" w:gutter="0" w:footer="0" w:header="0"/>
          <w:type w:val="continuous"/>
        </w:sectPr>
      </w:pPr>
    </w:p>
    <w:bookmarkStart w:id="163" w:name="page164"/>
    <w:bookmarkEnd w:id="163"/>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the satisfaction of the vesting conditions specified in the award agreement. When a participant’s service relationship with us ends, the</w:t>
      </w:r>
    </w:p>
    <w:p>
      <w:pPr>
        <w:spacing w:after="0" w:line="27"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same rules relating to the exercise of options will apply to the participant’s stock appreciation rights. As of , 2025, we have no stock appreciation rights issued and outstanding.</w:t>
      </w:r>
    </w:p>
    <w:p>
      <w:pPr>
        <w:spacing w:after="0" w:line="117"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i w:val="1"/>
          <w:iCs w:val="1"/>
          <w:color w:val="auto"/>
        </w:rPr>
        <w:t xml:space="preserve">Limited Transferability. </w:t>
      </w:r>
      <w:r>
        <w:rPr>
          <w:rFonts w:ascii="Arial" w:cs="Arial" w:eastAsia="Arial" w:hAnsi="Arial"/>
          <w:sz w:val="18"/>
          <w:szCs w:val="18"/>
          <w:color w:val="auto"/>
        </w:rPr>
        <w:t>Unless otherwise determined by the administrator, awards under the 2015 Plan generally may not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or assigned other than by will, the laws of descent and distribution and, with respect to NSOs, by instrument to an inter vivos or testamentary trust in which the NSOs are to be passed to beneficiaries upon the death of the trustor or by gift to a qualified family member.</w:t>
      </w:r>
    </w:p>
    <w:p>
      <w:pPr>
        <w:spacing w:after="0" w:line="11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In the event that we are subject to an “acquisition” or “other combination” (as defined in the 2015 Plan and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collectively, a merger, a sale or transfer of more than 50% of the voting power of all of our outstanding securities, or a sale of all or substantially all of our assets), the 2015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full or partial acceleration of vesting of awards, the settlement of awards (whether or not vested) in cash, securities, or other consideration, or the cancellation of such awards for no consideration.</w:t>
      </w:r>
    </w:p>
    <w:p>
      <w:pPr>
        <w:spacing w:after="0" w:line="1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that the number of outstanding shares of our common stock is changed by a stock dividend,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reverse stock split, subdivision, combination, reclassification, or similar change in our capital structure affecting our shares without consideration, then in order to prevent diminution or enlargement of the benefits or potential benefits intended to be made available under the 2015 Plan (i) the number of shares reserved for issuance under the 2015 Plan, (ii) the exercise prices of and number of shares subject to outstanding options and stock appreciation rights, and (iii) the purchase prices of and/or number of shares subject to other outstanding awards will be proportionately adjusted (subject to required action by our board of directors or our stockholders).</w:t>
      </w:r>
    </w:p>
    <w:p>
      <w:pPr>
        <w:spacing w:after="0" w:line="12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Exchange, Repricing, and Buyout of Awards. </w:t>
      </w:r>
      <w:r>
        <w:rPr>
          <w:rFonts w:ascii="Arial" w:cs="Arial" w:eastAsia="Arial" w:hAnsi="Arial"/>
          <w:sz w:val="18"/>
          <w:szCs w:val="18"/>
          <w:color w:val="auto"/>
        </w:rPr>
        <w:t>The administrator may, with the consent of the respective participants, issue new awards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surrender and cancellation of any or all outstanding awards. The administrator may also buy an award previously granted with payment in cash, shares, or other consideration, in each case, subject to the terms of the 2015 Plan. Without prior stockholder approval, the administrator may reprice options or stock appreciation rights (and where such repricing is a reduction in the exercise price of outstanding options or stock appreciation rights, the consent of the affected participants is not required provided written notice is provided to them).</w:t>
      </w:r>
    </w:p>
    <w:p>
      <w:pPr>
        <w:spacing w:after="0" w:line="1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2015 Plan at any time and may terminate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options or stock appreciation rights upon a dissolution or liquidation of us, provided that certain amendments will require stockholder approval or participant consent. We expect to terminate the 2015 Plan and will cease issuing awards thereunder upon the effectiveness of the 2025 Plan (as described below). Any outstanding awards granted under the 2015 Plan will remain outstanding following the termination of the 2015 Plan, subject to the terms of our 2015 Plan and applicable award agreements, until such awards are exercised or until they terminate or expire by their terms.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Equity Incentive Plan</w:t>
      </w:r>
    </w:p>
    <w:p>
      <w:pPr>
        <w:spacing w:after="0" w:line="16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Before the completion of this offering, our board of directors intends to adopt the 2025 Plan. The 2025 Plan will come into existence and become effective on the day before the date of the underwriting agreement for this offering. Once the 2025 Plan becomes effective, no further grants will be made under our 2015 Plan.</w:t>
      </w:r>
    </w:p>
    <w:p>
      <w:pPr>
        <w:spacing w:after="0" w:line="117"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2025 Plan provides for the grant of ISOs to employees, including employees of any parent or subsidiary,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NSOs, stock appreciation rights,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4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restricted stock unit awards, performance awards and other forms of awards to employees, directors, and consultants, including employees and consultants of our affiliates.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Class A common stock that may be issued under the 2025 Plan after</w:t>
      </w:r>
    </w:p>
    <w:p>
      <w:pPr>
        <w:spacing w:after="0" w:line="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it becomes effective will not exceed shares, which is the sum of (i) new shares, plus (ii) up to shares subject to awards granted under our 2015 Plan that, after the date the 2025 Plan becomes effective, (A) are not issued because any portion of such awards expires or otherwise terminates without all of the shares covered by such awards having been issued, (B) are not issued because any portion of such awards is settled in cash, (C) are forfeited back to or repurchased by us because of the failure to meet a contingency or condition required for the vesting of such shares, (D) are withheld or reacquired to satisfy the exercise, strike, or purchase price, or (E) are withheld or reacquired to</w:t>
      </w:r>
    </w:p>
    <w:p>
      <w:pPr>
        <w:spacing w:after="0" w:line="2"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satisfy a tax withholding obligation, with such additional number of shares not to exceed shares. In addition, the number of shares of our Class A common stock reserved for issuance under the 2025 Plan will automatically increase on the first day of each of our 2027 through 2036 fiscal years (assuming the 2025 Plan becomes effective in our 2026 fiscal year), by % of the total number of shares of all classes of our common stock outstanding on the last day of the previous fiscal year; provided that before the date of any such increase, the 2025 Plan’s administrator may determine that such increase will be less than such amount. As of the date hereof, no shares have been issued under the 2025 Plan. The maximum number of shares of our Class A common stock that may be issued on the exercise of ISOs under the 2025 Plan</w:t>
      </w:r>
    </w:p>
    <w:p>
      <w:pPr>
        <w:spacing w:after="0" w:line="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is</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Shares subject to awards granted under the 2025 Plan do not reduce the number of shares available for issuance under the 2025 Plan to the extent the awards expire or terminate without the issuance of shares, the awards are paid out in cash rather than in shares, or the shares are withheld to satisfy the exercise, strike, or purchase price of an award or the tax withholding obligations related to an award. Additionally, shares issued through awards granted under the 2025 Plan will become available for future grant under the 2025 Plan if they are (i) forfeited back to or repurchased by us because of a failure to meet a contingency or condition required for the vesting of such shares or (i) reacquired by us to satisfy the exercise, strike, or purchase price of an award or the tax withholding obligations related to an award.</w:t>
      </w:r>
    </w:p>
    <w:p>
      <w:pPr>
        <w:spacing w:after="0" w:line="12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the 2025 Plan.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of the 2025 Plan, we sometimes refer to our board of directors or the applicable committee with the power to administer the 2025 Plan as the administrator.</w:t>
      </w:r>
    </w:p>
    <w:p>
      <w:pPr>
        <w:spacing w:after="0" w:line="11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Subject to the limitations of the 2025 Plan, the administrator’s powers include the authority to (i) determine the eligible persons who will be granted awards and the terms and conditions of such awards, (ii) construe and interpret the 2025 Plan and awards granted under it, (iii) establish, amend and revoke rules and regulations for the 2025 Plan’s administration, (iv) amend the terms of any award (provided that such amendment does not materially impair the existing rights of the participant holding such award without such participant’s written consent), (v) adopt such procedures and sub-plans as are necessary or appropriate to permit and facilitate participation in the 2025 Plan by, or take advantage of specific tax treatment for awards granted to, persons who are non-U.S. nationals or employed outside the United States, and</w:t>
      </w:r>
    </w:p>
    <w:p>
      <w:pPr>
        <w:spacing w:after="0" w:line="5" w:lineRule="exact"/>
        <w:rPr>
          <w:sz w:val="20"/>
          <w:szCs w:val="20"/>
          <w:color w:val="auto"/>
        </w:rPr>
      </w:pPr>
    </w:p>
    <w:p>
      <w:pPr>
        <w:ind w:right="200" w:firstLine="8"/>
        <w:spacing w:after="0" w:line="266" w:lineRule="auto"/>
        <w:tabs>
          <w:tab w:leader="none" w:pos="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exercise such powers and perform such acts as the administrator deems necessary or expedient to promote our best interests and that are not in conflict with the provisions of the 2025 Plan or the awards granted under it.</w:t>
      </w:r>
    </w:p>
    <w:p>
      <w:pPr>
        <w:spacing w:after="0" w:line="11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addition, subject to the terms of the 2025 Plan, the administrator also has the power to modify outstanding awards under the 2025 Plan, including the authority to reprice any outstanding option or stock appreciation right, cancel and re-grant any outstanding option or stock appreciation right in exchange for new awards, cash or other consideration, or take any other action that is treated as a repricing under generally accepted accounting principles, with the consent of any materially adversely affected participant.</w:t>
      </w:r>
    </w:p>
    <w:p>
      <w:pPr>
        <w:spacing w:after="0" w:line="122"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The administrator may also delegate to one or more persons or bodies the authority to administer the plan to the extent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4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 addition, except to the extent prohibited by applicable laws, the person(s) or third-party administrator will be delegated the day-to-day administration of the 2025 Plan and the functions to them by the administrator of the 2025 Plan, but this delegation may be revoked at any time.</w:t>
      </w:r>
    </w:p>
    <w:p>
      <w:pPr>
        <w:spacing w:after="0" w:line="11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2025 Plan allows for the grant of options, with terms as generally determined by the administrator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2025 Plan) and set forth in an award agreement. However, the per share exercise price of a stock option generally cannot be less than 100% of the fair market value of a share of our Class A common stock on the date of grant, and an option may not have a term exceeding ten years. In addition, no ISO may be granted to any person who, at the time of the grant, owns or is deemed to own stock possessing more than 10% of the total combined voting power or value of all classes of capital stock of ours or of any parent or subsidiary of ours unless (i) the option exercise price is at least 110% of the fair market value of the stock subject to the option on the date of grant and (ii) the option does not have a term exceeding five years. The aggregate fair market value, determined at the time of grant, of the shares of our common stock subject to ISOs that are exercisable for the first time by a participant during any calendar year under all stock plans of ours or any parent or subsidiary of ours may not exceed $100,000. Options or portions thereof that exceed such limit will generally be treated as NSOs. An option vests based on the satisfaction of the vesting conditions specified in the award agreement.</w:t>
      </w:r>
    </w:p>
    <w:p>
      <w:pPr>
        <w:spacing w:after="0" w:line="13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After a participant’s service relationship with us terminates, the participant will be able to exercise the vested portion of the participant’s option for the period of time stated in the participant’s award agreement. In the absence of a specified time in the award agreement, the option will be immediately forfeited upon a termination for cause, and the vested portion of the option will remain exercisable (i) if such termination is for any reason other than for cause, due to the participant’s disability, or due to the participant’s death, for three months following the date of such termination, (ii) if such termination is due to the participant’s disability, for 12 months following the date of such termination, (iii) if such termination is due to the participant’s death, for 18 months following the date of such termination, or (iv) if such death occurs following the date of such termination but during the period such award is otherwise exercisable, for 18 months following the date of the participant’s death. However, an option may not be exercised later than the expiration of its term.</w:t>
      </w:r>
    </w:p>
    <w:p>
      <w:pPr>
        <w:spacing w:after="0" w:line="13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2025 Plan allows for the grant of stock appreciation rights, with terms as generally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(in accordance with the 2025 Plan) and set forth in an award agreement. However, the per share strike price for a stock appreciation right generally cannot be less than 100% of the fair market value of a share of our Class A common stock on the date of grant, and a stock appreciation right may not have a term exceeding ten years. A stock appreciation right vests based on the satisfaction of the vesting conditions specified in the award agreement. When a participant’s service relationship with us ends, the same rules relating to the exercise of options will apply to the participant’s stock appreciation rights.</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The 2025 Plan allows for the grant of restricted stock awards, with terms as generally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(in accordance with the 2025 Plan) and set forth in an award agreement. A restricted stock award may be awarded in consideration for cash, check, bank draft or money order, past services to us, or any other form of legal consideration that may be acceptable to the administrator and permissible under applicable law. Unless otherwise determined by the administrator, a participant will have voting and other rights as a stockholder of ours with respect to any shares subject to a restricted stock award. Dividend equivalents may be paid or credited with respect to any shares covered by a restricted stock award. If a participant’s service relationship with us ends for any reason, we may receive any or all of the shares of our Class A common stock held by the participant that have not vested as of the date the participant terminates service with us through a forfeiture condition or a repurchase right.</w:t>
      </w:r>
    </w:p>
    <w:p>
      <w:pPr>
        <w:spacing w:after="0" w:line="13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The 2025 Plan allows for the grant of RSUs, with terms as generally determined by the administrator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2025 Plan) and set forth in an award agreement. Unless otherwise determined by the administrator at the time of grant, an award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2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will be granted in consideration for a participant’s services to us or an affiliate of ours, such that the participant will not be required to make any payment to us (other than such services) with respect to the grant or vesting of the award, or the issuance of any shares through the award. If, at the time of grant, the administrator determines that any consideration must be paid by the participant upon the issuance of any shares in settlement of the award, such consideration may be paid in any form of consideration that is acceptable to the administrator and permissible under applicable law.</w:t>
      </w:r>
    </w:p>
    <w:p>
      <w:pPr>
        <w:spacing w:after="0" w:line="125"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 restricted stock unit may be settled by the issuance of cash, shares of our Class A common stock, or a combination of cash and such shares. Additionally, dividend equivalents may be paid or credited with respect to any shares covered by a restricted stock unit. Except as otherwise provided in the applicable award agreement, restricted stock units that have not vested will be forfeited once the participant’s continuous service ends for any reason.</w:t>
      </w:r>
    </w:p>
    <w:p>
      <w:pPr>
        <w:spacing w:after="0" w:line="122"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2025 Plan allows for the grant of performance-based stock and cash awards, with terms as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 accordance with the 2025 Plan) and set forth in an award agreement. The administrator may structure awards so that the shares of our Class A common stock or cash will be issued or paid only following the achievement of certain pre-established performance goals during a designated performance period.</w:t>
      </w:r>
    </w:p>
    <w:p>
      <w:pPr>
        <w:spacing w:after="0" w:line="12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7"/>
          <w:szCs w:val="17"/>
          <w:color w:val="auto"/>
        </w:rPr>
        <w:t>The performance criteria that will be used to establish such performance goals may be based on any measure of performance selected by the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the administrator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w:t>
      </w:r>
    </w:p>
    <w:p>
      <w:pPr>
        <w:spacing w:after="0" w:line="2" w:lineRule="exact"/>
        <w:rPr>
          <w:sz w:val="20"/>
          <w:szCs w:val="20"/>
          <w:color w:val="auto"/>
        </w:rPr>
      </w:pPr>
    </w:p>
    <w:p>
      <w:pPr>
        <w:ind w:firstLine="8"/>
        <w:spacing w:after="0" w:line="250" w:lineRule="auto"/>
        <w:tabs>
          <w:tab w:leader="none" w:pos="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w:t>
      </w:r>
    </w:p>
    <w:p>
      <w:pPr>
        <w:spacing w:after="0" w:line="3" w:lineRule="exact"/>
        <w:rPr>
          <w:rFonts w:ascii="Arial" w:cs="Arial" w:eastAsia="Arial" w:hAnsi="Arial"/>
          <w:sz w:val="18"/>
          <w:szCs w:val="18"/>
          <w:color w:val="auto"/>
        </w:rPr>
      </w:pPr>
    </w:p>
    <w:p>
      <w:pPr>
        <w:ind w:right="60" w:firstLine="8"/>
        <w:spacing w:after="0" w:line="258" w:lineRule="auto"/>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exclude the goodwill and intangible asset impairment charges that are required to be recorded under generally accepted accounting principles. In addition, the administrator has the discretion to reduce or eliminate the compensation or economic benefit due upon attainment of the goals. The performance goals may differ from participant to participant and from award to award.</w:t>
      </w:r>
    </w:p>
    <w:p>
      <w:pPr>
        <w:spacing w:after="0" w:line="124" w:lineRule="exact"/>
        <w:rPr>
          <w:sz w:val="20"/>
          <w:szCs w:val="20"/>
          <w:color w:val="auto"/>
        </w:rPr>
      </w:pPr>
    </w:p>
    <w:p>
      <w:pPr>
        <w:jc w:val="both"/>
        <w:ind w:right="500" w:firstLine="324"/>
        <w:spacing w:after="0" w:line="318" w:lineRule="auto"/>
        <w:rPr>
          <w:sz w:val="20"/>
          <w:szCs w:val="20"/>
          <w:color w:val="auto"/>
        </w:rPr>
      </w:pPr>
      <w:r>
        <w:rPr>
          <w:rFonts w:ascii="Arial" w:cs="Arial" w:eastAsia="Arial" w:hAnsi="Arial"/>
          <w:sz w:val="17"/>
          <w:szCs w:val="17"/>
          <w:i w:val="1"/>
          <w:iCs w:val="1"/>
          <w:color w:val="auto"/>
        </w:rPr>
        <w:t>Other Awards</w:t>
      </w:r>
      <w:r>
        <w:rPr>
          <w:rFonts w:ascii="Arial" w:cs="Arial" w:eastAsia="Arial" w:hAnsi="Arial"/>
          <w:sz w:val="17"/>
          <w:szCs w:val="17"/>
          <w:color w:val="auto"/>
        </w:rPr>
        <w:t>. The administrator may grant other awards based in whole or in part by reference to our Class A common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award (or the cash equivalent) and all other terms and conditions of such awards.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to any individual for service as a</w:t>
      </w:r>
    </w:p>
    <w:p>
      <w:pPr>
        <w:spacing w:after="0" w:line="27"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non-employee director with respect to any fiscal year (including awards granted and cash fees paid by us) will not exceed $ in total value, or in the event such non-employee director is first appointed or elected to our board of directors during such fiscal year, $ in</w:t>
      </w:r>
    </w:p>
    <w:p>
      <w:pPr>
        <w:spacing w:after="0" w:line="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total value (in each case, calculating the value of any such awards based on the grant date fair value of such awards for financial reporting purposes). This limitation will apply beginning with the first fiscal year that begins after the date the 2025 Plan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24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or recapitalization, appropriate adjustments will be made to (i) the class and maximum number of shares reserved for issuance under the 2025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awards.</w:t>
      </w:r>
    </w:p>
    <w:p>
      <w:pPr>
        <w:spacing w:after="0" w:line="12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generally applies to awards under the 2025 Plan in the event of a corporate transaction,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in a participant’s award agreement or other written agreement with us or one of our affiliates that is approved by the administrator or unless otherwise expressly provided by the administrator at the time of grant.</w:t>
      </w:r>
    </w:p>
    <w:p>
      <w:pPr>
        <w:spacing w:after="0" w:line="11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the event of a corporate transaction, any awards outstanding under the 2025 Plan may be assumed, continued or substituted for by any surviving or acquiring corporation (or its parent company), and any reacquisition or repurchase rights held by us with respect to the award may be assigned to the successor (or its parent company). If the surviving or acquiring corporation (or its parent company) does not assume, continue or substitute for any portion of an award held by a participant whose continuous service has not terminated before the effective time of the transaction, or a current participant, the vesting (and exercisability, if applicable) of such portion of the award will be accelerated in full to a date before the effective time of the transaction (contingent upon the effectiveness of the transaction), and such portion of the award will terminate if not exercised (if applicable) at or before the effective time of the transaction, and any reacquisition or repurchase rights held by us with respect to such portion of the award will lapse (contingent upon the effectiveness of the transaction). With respect to the portion of any performance award that is not assumed, continued or substituted for, unless otherwise provided by an award agreement or other written agreement between us and the award holder, such portion of the award will accelerate at 100% of target. If the surviving or acquiring corporation (or its parent company) does not assume, continue or substitute for any portion of the award that is held by a person who is not a current participant, such portion of the award will terminate if not exercised (if applicable) before the effective time of the transaction, except that any reacquisition or repurchase rights held by us with respect to such portion of the award will not terminate and may continue to be exercised despite the transaction. The administrator is not obligated to treat all awards or portions of awards in the same manner and is not obligated to take the same actions with respect to all participants.</w:t>
      </w:r>
    </w:p>
    <w:p>
      <w:pPr>
        <w:spacing w:after="0" w:line="129"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In the event any portion of the award will terminate before the effective time of a transaction, the administrator may provide, in its sole discretion, that the holder of the award will receive a payment equal in value to the excess (if any) of (i) the value of the property the participant would have received with respect to that portion of the award over (ii) any exercise price payable by such holder in connection with that portion of the award.</w:t>
      </w:r>
    </w:p>
    <w:p>
      <w:pPr>
        <w:spacing w:after="0" w:line="12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2025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and (iv) a merger or consolidation where we do survive the transaction but the shares of our Class A common stock outstanding before such transaction are converted or exchanged into other property by virtue of the transaction, unless otherwise provided in an award agreement or other written agreement between us and the award holder that is approved by the administrator.</w:t>
      </w:r>
    </w:p>
    <w:p>
      <w:pPr>
        <w:spacing w:after="0" w:line="128"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2025 Plan, awards granted under the 2025 Plan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automatic acceleration of vesting and exercisability, although this treatment may be provided for in an award agreement.</w:t>
      </w:r>
    </w:p>
    <w:p>
      <w:pPr>
        <w:spacing w:after="0" w:line="99"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Under the 2025 Plan, a change in control is defined to include: (i) the acquisition by any person or company of more than 50% of the combined voting power of our then outstanding securities, (ii)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320" w:top="1440" w:right="399" w:bottom="1440" w:gutter="0" w:footer="0" w:header="0"/>
        </w:sectPr>
      </w:pPr>
    </w:p>
    <w:bookmarkStart w:id="168" w:name="page169"/>
    <w:bookmarkEnd w:id="168"/>
    <w:p>
      <w:pPr>
        <w:spacing w:after="0" w:line="247"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w:t>
      </w:r>
    </w:p>
    <w:p>
      <w:pPr>
        <w:spacing w:after="0" w:line="10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the 2025 Plan other than by will, the laws of descent and distribution,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otherwise provided under the 2025 Plan.</w:t>
      </w:r>
    </w:p>
    <w:p>
      <w:pPr>
        <w:spacing w:after="0" w:line="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Each award granted under the 2025 Plan will be subject to reduction, cancellation, forfeiture, or recoupment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clawback policy of ours that is in effect as of the date the award is granted and any clawback policy that we are required to adopt under the listing standards of any national securities exchange or association on which our securities are listed or as is otherwise required by applicable laws. In addition, the administrator may impose such other clawback, recovery or recoupment provisions in an award agreement as the administrator determines necessary or appropriate.</w:t>
      </w:r>
    </w:p>
    <w:p>
      <w:pPr>
        <w:spacing w:after="0" w:line="12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the 2025 Plan,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action does not materially impair the existing rights of any participant without such participant’s written consent. Certain material amendments also require the approval of our stockholders. No ISOs may be granted after the tenth anniversary of the date the 2025 Plan becomes effective. No awards may be granted under the 2025 Plan while it is suspended or after it is terminated.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Employee Stock Purchase Plan</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Before the completion of this offering, our board of directors intends to adopt our 2025 ESPP. The 2025 ESPP will become effective upon the effective date of the registration statement of which this prospectus forms a part. The purpose of the 2025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ordinary shares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w:t>
      </w:r>
    </w:p>
    <w:p>
      <w:pPr>
        <w:spacing w:after="0" w:line="13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Following this offering, the 2025 ESPP authorizes the issuance of shares of our Class A common stock under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granted to our employees or to employees of any of our designated affiliates. The number of shares of our Class A common stock reserved for issuance will automatically increase on the first day of each of our 2027 through 2036 fiscal years (assuming the 2025 ESPP becomes effective in our 2026 fiscal year), by the lesser of (i) % of the total number of shares of all classes of our common stock outstanding on the last day of the previous fiscal year or (ii) shares; provided that before the date of any such increase, the 2025 ESPP’s administrator may determine that such increase will be less than such amount. As of the date hereof, no shares have been purchased under the 2025 ESPP.</w:t>
      </w:r>
    </w:p>
    <w:p>
      <w:pPr>
        <w:spacing w:after="0" w:line="129"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thereof, will administer our ESPP. In this summary of the 2025</w:t>
      </w:r>
      <w:r>
        <w:rPr>
          <w:rFonts w:ascii="Arial" w:cs="Arial" w:eastAsia="Arial" w:hAnsi="Arial"/>
          <w:sz w:val="18"/>
          <w:szCs w:val="18"/>
          <w:i w:val="1"/>
          <w:iCs w:val="1"/>
          <w:color w:val="auto"/>
        </w:rPr>
        <w:t xml:space="preserve"> </w:t>
      </w:r>
      <w:r>
        <w:rPr>
          <w:rFonts w:ascii="Arial" w:cs="Arial" w:eastAsia="Arial" w:hAnsi="Arial"/>
          <w:sz w:val="18"/>
          <w:szCs w:val="18"/>
          <w:color w:val="auto"/>
        </w:rPr>
        <w:t>ESPP, we sometimes refer to our board of directors or the applicable committee with the power to administer the 2025 ESPP as the administrator.</w:t>
      </w:r>
    </w:p>
    <w:p>
      <w:pPr>
        <w:spacing w:after="0" w:line="11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Subject to the limitations of the 2025 ESPP, the administrator’s powers include the authority to (i) determine how and when purchase rights under the 2025 ESPP will be granted and the provisions of each offering under the 2025 ESPP, (ii) designate which affiliates will be eligible to participate in the 2025 ESPP, (iii) construe, interpret, and settle all controversies regarding the 2025 ESPP and the purchase rights granted under the 2025 ESPP, (iv) establish, amend, and revoke rules and regulations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administration, (v) exercise such powers and perform such acts as it deems necessary or expedient to promote the best interests of ours and our affiliates, (vi) carry out the intent that the 2025 ESPP be treated as an employee stock purchase plan with respect to the Section 423 component, and (vii) adopt such rules, procedures and sub-plans as are necessary or appropriate to permit or facilitate participation in the 2025 ESPP by employees who are non-U.S. nationals or employed or located outside the United States. To the extent permitted by applicable law, our board of directors or such committee may delegate some or all of its authority under the 2025 ESPP to one or more of our officers or other persons. All determinations, interpretations, and constructions made by the administrator will not be subject to review by any person and will be final, binding and conclusive on all persons.</w:t>
      </w:r>
    </w:p>
    <w:p>
      <w:pPr>
        <w:spacing w:after="0" w:line="1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Offerings. </w:t>
      </w:r>
      <w:r>
        <w:rPr>
          <w:rFonts w:ascii="Arial" w:cs="Arial" w:eastAsia="Arial" w:hAnsi="Arial"/>
          <w:sz w:val="18"/>
          <w:szCs w:val="18"/>
          <w:color w:val="auto"/>
        </w:rPr>
        <w:t>The 2025 ESPP is implemented through a series of offerings under which eligible employees are granted purchase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shares of our Class A common stock on specified dates during such offerings. Under the 2025 ESPP, we may specify offerings with durations of not more than 27 months and may specify shorter purchase periods within each offering. Each offering will have one or more purchase dates on which shares will be purchased for employees participating in the offering. An offering under the 2025 ESPP may be terminated under certain circumstances.</w:t>
      </w:r>
    </w:p>
    <w:p>
      <w:pPr>
        <w:spacing w:after="0" w:line="1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Employees may have to satisfy one or more of the following service requirements before participating in the 2025 ESPP,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including: (i) customary employment with us or one of our affiliates for more than 20 hours per week and more than five months per calendar year or (ii) continuous employment with us or one of our affiliates for a minimum period of time (not to exceed two years). No employee may be granted rights to purchase shares under the 2025 ESPP that accrue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2025 ESPP if immediately after such rights are granted, such employee would be deemed to own capital stock and/or hold outstanding options to purchase such stock possessing 5% or more of the total combined voting power or value of all classes of capital stock of ours or of any parent or subsidiary of ours under Section 424(d) of the Code.</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Generally, all regular employees, including executive officers, employed by us or by any of our designated affiliates,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the 2025 ESPP and to contribute, normally through payroll deductions, up to a maximum percentage of their earnings (as defined in the 2025 ESPP) or up to a set dollar amount for the purchase of shares under the 2025 ESPP.</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Exercise of Purchase Rights. </w:t>
      </w:r>
      <w:r>
        <w:rPr>
          <w:rFonts w:ascii="Arial" w:cs="Arial" w:eastAsia="Arial" w:hAnsi="Arial"/>
          <w:sz w:val="18"/>
          <w:szCs w:val="18"/>
          <w:color w:val="auto"/>
        </w:rPr>
        <w:t>On each purchase date of an offering, shares will be purchased for the accounts of employees participating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offering at a price per share that is at least the lesser of (i) 85% of the fair market value of a share of our Class A common stock on the first date of the offering or (ii) 85% of the fair market value of a share of our Class A common stock on the date of purchase. A participant may purchase up to the maximum number of shares permitted by the 2025 ESPP and the terms of the offering. The administrator will have the discretion to structure an offering so that if the fair market value of a share of our Class A common stock on the first trading day of a new purchase period within that offering does not exceed the fair market value of a share of Class A common stock on the first day of that offering, then (i) that offering will terminate immediately, and (ii) the participants in such terminated offering will be automatically enrolled in a new offering beginning on that trading day. Participants may end their participation at any time during an offering and will be paid their accrued contributions that have not yet been used to purchase shares. Participation ends automatically upon termination of employment with us.</w:t>
      </w:r>
    </w:p>
    <w:p>
      <w:pPr>
        <w:spacing w:after="0" w:line="131" w:lineRule="exact"/>
        <w:rPr>
          <w:sz w:val="20"/>
          <w:szCs w:val="20"/>
          <w:color w:val="auto"/>
        </w:rPr>
      </w:pPr>
    </w:p>
    <w:p>
      <w:pPr>
        <w:ind w:right="540" w:firstLine="324"/>
        <w:spacing w:after="0" w:line="259"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occurs a change in our capital structure through such actions as a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administrator will make appropriate adjustments to: (i) the number of shares reserved under the 2025 ESPP, (ii) the maximum number of shares by which the share reserve may increase automatically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24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year, (iii) the number of shares and purchase price of all outstanding purchase rights, and (iv) the number of shares that are subject to purchase limits under ongoing offerings.</w:t>
      </w:r>
    </w:p>
    <w:p>
      <w:pPr>
        <w:spacing w:after="0" w:line="9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significant corporate transactions, including the consummation, in a single transaction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2025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within ten business days before such corporate transaction, and such purchase rights will terminate immediately after such purchase.</w:t>
      </w:r>
    </w:p>
    <w:p>
      <w:pPr>
        <w:spacing w:after="0" w:line="127"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A participant will not be permitted to transfer contributions credited to such participant’s account or rights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ESPP (other than by will, the laws of descent and distribution or as otherwise provided under our ESPP).</w:t>
      </w:r>
    </w:p>
    <w:p>
      <w:pPr>
        <w:spacing w:after="0" w:line="99"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i w:val="1"/>
          <w:iCs w:val="1"/>
          <w:color w:val="auto"/>
        </w:rPr>
        <w:t xml:space="preserve">ESPP Amendment or Termination. </w:t>
      </w:r>
      <w:r>
        <w:rPr>
          <w:rFonts w:ascii="Arial" w:cs="Arial" w:eastAsia="Arial" w:hAnsi="Arial"/>
          <w:sz w:val="18"/>
          <w:szCs w:val="18"/>
          <w:color w:val="auto"/>
        </w:rPr>
        <w:t>The administrator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7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amended and restated certificate of incorporation that will become effective in connection with this offering contains provisions that will limit the liability of our directors and officers for monetary damages to the fullest extent permitted by the DGCL. Consequently, our directors and officers will not be personally liable to us or our stockholders for monetary damages for any breach of fiduciary duties as directors or officers, except liability for:</w:t>
      </w:r>
    </w:p>
    <w:p>
      <w:pPr>
        <w:spacing w:after="0" w:line="122"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respect to directors, unlawful payments of dividends or unlawful stock repurchases or redemptions as provided in Section 174 of the DGCL;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respect to officers, any action by or in the right of the corporation.</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amended and restated certificate of incorporation and our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12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320" w:top="1440" w:right="379" w:bottom="1440" w:gutter="0" w:footer="0" w:header="0"/>
        </w:sectPr>
      </w:pPr>
    </w:p>
    <w:bookmarkStart w:id="171" w:name="page172"/>
    <w:bookmarkEnd w:id="171"/>
    <w:p>
      <w:pPr>
        <w:spacing w:after="0" w:line="24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1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believe that these provisions in our amended and restated certificate of incorporation and indemnification agreements are necessary to attract and retain qualified persons such as directors, officers, and key employees. We also maintain directors’ and officers’ liability insurance.</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5"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247" w:lineRule="exact"/>
        <w:rPr>
          <w:sz w:val="20"/>
          <w:szCs w:val="20"/>
          <w:color w:val="auto"/>
        </w:rPr>
      </w:pPr>
    </w:p>
    <w:p>
      <w:pPr>
        <w:ind w:right="2740" w:firstLine="2749"/>
        <w:spacing w:after="0" w:line="438" w:lineRule="auto"/>
        <w:rPr>
          <w:sz w:val="20"/>
          <w:szCs w:val="20"/>
          <w:color w:val="auto"/>
        </w:rPr>
      </w:pPr>
      <w:r>
        <w:rPr>
          <w:rFonts w:ascii="Arial" w:cs="Arial" w:eastAsia="Arial" w:hAnsi="Arial"/>
          <w:sz w:val="18"/>
          <w:szCs w:val="18"/>
          <w:b w:val="1"/>
          <w:bCs w:val="1"/>
          <w:color w:val="auto"/>
        </w:rPr>
        <w:t>CERTAIN RELATIONSHIPS AND RELATED PARTY TRANSACTIONS Series G and Series G-1 Redeemable Convertible Preferred Stock Financing</w:t>
      </w:r>
    </w:p>
    <w:p>
      <w:pPr>
        <w:spacing w:after="0" w:line="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Between July and September 2022, we sold an aggregate of 8,010,958 shares of our Series G redeemable convertible preferred stock and 4,325,909 shares of our Series G-1 redeemable convertible preferred stock, at a purchase price of $12.4829 per share for an aggregate purchase price of approximately $154.0 million. Each share of our Series G and Series G-1 redeemable convertible preferred stock will convert automatically into one share of our Class A common stock upon the completion of this offering.</w:t>
      </w:r>
    </w:p>
    <w:p>
      <w:pPr>
        <w:spacing w:after="0" w:line="122"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following table summarizes the Series G and Series G-1 redeemable convertible preferred stock purchased by entities affiliated with certain of our directors and holders of more than 5% of our outstanding capital stock:</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G</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 Series G-1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Redeemable</w:t>
            </w:r>
          </w:p>
        </w:tc>
        <w:tc>
          <w:tcPr>
            <w:tcW w:w="1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Redeemable</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Stockholder</w:t>
            </w:r>
          </w:p>
        </w:tc>
        <w:tc>
          <w:tcPr>
            <w:tcW w:w="16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Convertible Preferred</w:t>
            </w:r>
          </w:p>
        </w:tc>
        <w:tc>
          <w:tcPr>
            <w:tcW w:w="16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Convertible Preferred</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97"/>
        </w:trPr>
        <w:tc>
          <w:tcPr>
            <w:tcW w:w="634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Andreessen Horowitz</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1,201,643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14,999,989</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Lightspeed Venture Partners</w:t>
            </w:r>
            <w:r>
              <w:rPr>
                <w:rFonts w:ascii="Arial" w:cs="Arial" w:eastAsia="Arial" w:hAnsi="Arial"/>
                <w:sz w:val="23"/>
                <w:szCs w:val="23"/>
                <w:color w:val="auto"/>
                <w:vertAlign w:val="superscript"/>
              </w:rPr>
              <w:t>(2)</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1,201,640</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14,999,952</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Zeev Ventures</w:t>
            </w:r>
            <w:r>
              <w:rPr>
                <w:rFonts w:ascii="Arial" w:cs="Arial" w:eastAsia="Arial" w:hAnsi="Arial"/>
                <w:sz w:val="23"/>
                <w:szCs w:val="23"/>
                <w:color w:val="auto"/>
                <w:vertAlign w:val="superscript"/>
              </w:rPr>
              <w:t>(3)</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4,999,988</w:t>
            </w:r>
          </w:p>
        </w:tc>
        <w:tc>
          <w:tcPr>
            <w:tcW w:w="0" w:type="dxa"/>
            <w:vAlign w:val="bottom"/>
          </w:tcPr>
          <w:p>
            <w:pPr>
              <w:spacing w:after="0"/>
              <w:rPr>
                <w:sz w:val="1"/>
                <w:szCs w:val="1"/>
                <w:color w:val="auto"/>
              </w:rPr>
            </w:pPr>
          </w:p>
        </w:tc>
      </w:tr>
      <w:tr>
        <w:trPr>
          <w:trHeight w:val="311"/>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Premji Invest</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8,010,958</w:t>
            </w:r>
          </w:p>
        </w:tc>
        <w:tc>
          <w:tcPr>
            <w:tcW w:w="10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99,999,988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jc w:val="both"/>
        <w:ind w:left="340" w:right="300" w:hanging="332"/>
        <w:spacing w:after="0" w:line="252" w:lineRule="auto"/>
        <w:tabs>
          <w:tab w:leader="none" w:pos="33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1,201,643 shares purchased by Andreessen Horowitz LSV Fund III, L.P., as nominee. Andreessen Horowitz and its affiliates beneficially own more than 5% of our outstanding capital stock. Ben Horowitz, a member of our board of directors, is a General Partner at Andreessen Horowitz.</w:t>
      </w:r>
    </w:p>
    <w:p>
      <w:pPr>
        <w:spacing w:after="0" w:line="1" w:lineRule="exact"/>
        <w:rPr>
          <w:rFonts w:ascii="Arial" w:cs="Arial" w:eastAsia="Arial" w:hAnsi="Arial"/>
          <w:sz w:val="16"/>
          <w:szCs w:val="16"/>
          <w:color w:val="auto"/>
        </w:rPr>
      </w:pPr>
    </w:p>
    <w:p>
      <w:pPr>
        <w:ind w:left="340" w:right="20" w:hanging="332"/>
        <w:spacing w:after="0" w:line="255" w:lineRule="auto"/>
        <w:tabs>
          <w:tab w:leader="none" w:pos="33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(i) 600,821 shares purchased by Lightspeed Strategic Partners I, L.P., (ii) 200,273 shares purchased by Lightspeed Opportunity Fund, L.P., (iii) 200,273 shares purchased by Lightspeed Venture Partners Select II, L.P., and (iv) 200,273 shares purchased by Lightspeed Venture Partners Select</w:t>
      </w:r>
    </w:p>
    <w:p>
      <w:pPr>
        <w:spacing w:after="0" w:line="1" w:lineRule="exact"/>
        <w:rPr>
          <w:sz w:val="20"/>
          <w:szCs w:val="20"/>
          <w:color w:val="auto"/>
        </w:rPr>
      </w:pPr>
    </w:p>
    <w:p>
      <w:pPr>
        <w:ind w:left="340"/>
        <w:spacing w:after="0" w:line="249" w:lineRule="auto"/>
        <w:rPr>
          <w:sz w:val="20"/>
          <w:szCs w:val="20"/>
          <w:color w:val="auto"/>
        </w:rPr>
      </w:pPr>
      <w:r>
        <w:rPr>
          <w:rFonts w:ascii="Arial" w:cs="Arial" w:eastAsia="Arial" w:hAnsi="Arial"/>
          <w:sz w:val="16"/>
          <w:szCs w:val="16"/>
          <w:color w:val="auto"/>
        </w:rPr>
        <w:t>III, L.P. Lightspeed Venture Partners and its affiliates beneficially own more than 5% of our outstanding capital stock. Arif Janmohamed, a member of our board of directors, is a Partner at Lightspeed Venture Partners.</w:t>
      </w:r>
    </w:p>
    <w:p>
      <w:pPr>
        <w:ind w:left="340" w:right="400" w:hanging="332"/>
        <w:spacing w:after="0" w:line="255"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400,547 shares purchased by Zeev Ventures VIII, LP. Zeev Ventures and its affiliates beneficially own more than 5% of our outstanding capital stock. Oren Zeev, a member of our board of directors, is a Managing Director of Zeev Ventures.</w:t>
      </w:r>
    </w:p>
    <w:p>
      <w:pPr>
        <w:ind w:left="340" w:right="20" w:hanging="332"/>
        <w:spacing w:after="0" w:line="283"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8,010,958 shares purchased by an entity affiliated with Premji Invest. Sandesh Patnam, a member of our board of directors, is the Managing Partner of Premji Invest.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Simple Agreements for Future Equity and Common Stock Warrants</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February 2025, an entity affiliated with Premji Invest purchased $100.0 million principal amount of SAFEs and was issued warrants to purchase up to approximately 0.29% of our fully diluted capitalization as of the initial public filing of the registration statement of which this prospectus forms a part, at an exercise price of $0.01 per share. In addition, Sandesh Patnam purchased $600,000 principal amount of SAFEs and was issued warrants to purchase 0.0017% of our fully diluted capitalization as of the initial public filing of the registration statement of which this prospectus forms a part, at an exercise price of $ 0.01 per share. The SAFEs accrue interest at an annual rate of 12%. The principal amount of the SAFEs, including accrued interest, will automatically convert in connection with the closing of this offering. Mr. Patnam, a member of our board of directors, is the Managing Partner of Premji Invest, which is a holder of more than 5% of our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Transactions</w:t>
      </w:r>
    </w:p>
    <w:p>
      <w:pPr>
        <w:spacing w:after="0" w:line="171"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We waived our right of first refusal and transfer restrictions, and the requisite stockholders waived their right of first refusal and right of co-sale in connection with the following stock transfers:</w:t>
      </w:r>
    </w:p>
    <w:p>
      <w:pPr>
        <w:spacing w:after="0" w:line="99" w:lineRule="exact"/>
        <w:rPr>
          <w:sz w:val="20"/>
          <w:szCs w:val="20"/>
          <w:color w:val="auto"/>
        </w:rPr>
      </w:pPr>
    </w:p>
    <w:p>
      <w:pPr>
        <w:ind w:left="660" w:right="120" w:hanging="328"/>
        <w:spacing w:after="0" w:line="268"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May 2025, Ilan Twig, our Chief Technology Officer and co-founder and a member of our board of directors, entered into stock transfer agreements with an existing investor pursuant to which he sold and transferred 238,095 shares of common stock at a price of $7.00 per share, for proceeds of approximately $1.7 million.</w:t>
      </w:r>
    </w:p>
    <w:p>
      <w:pPr>
        <w:spacing w:after="0" w:line="116" w:lineRule="exact"/>
        <w:rPr>
          <w:rFonts w:ascii="Arial" w:cs="Arial" w:eastAsia="Arial" w:hAnsi="Arial"/>
          <w:sz w:val="18"/>
          <w:szCs w:val="18"/>
          <w:color w:val="auto"/>
        </w:rPr>
      </w:pPr>
    </w:p>
    <w:p>
      <w:pPr>
        <w:ind w:left="660" w:right="140" w:hanging="328"/>
        <w:spacing w:after="0" w:line="291"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May 2025, certain trusts affiliated with Ariel Cohen, our Chief Executive Officer and co-founder and chairperson of our board of directors, entered into stock transfer agreements with an existing investor pursuant to which such trusts sold and transferred, in the aggregate, 238,095 shares of common stock at a price of $7.00 per share, for aggregate proceeds of approximately $1.7 million.</w:t>
      </w:r>
    </w:p>
    <w:p>
      <w:pPr>
        <w:spacing w:after="0" w:line="98" w:lineRule="exact"/>
        <w:rPr>
          <w:rFonts w:ascii="Arial" w:cs="Arial" w:eastAsia="Arial" w:hAnsi="Arial"/>
          <w:sz w:val="17"/>
          <w:szCs w:val="17"/>
          <w:color w:val="auto"/>
        </w:rPr>
      </w:pPr>
    </w:p>
    <w:p>
      <w:pPr>
        <w:ind w:left="660" w:right="60" w:hanging="328"/>
        <w:spacing w:after="0" w:line="268"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April 2023, an entity affiliated with Andreessen Horowitz, a holder of more than 5% of our outstanding capital stock, entered into a stock transfer agreement with an investor pursuant to which Andreessen Horowitz purchased 603,920 shares of our Series A Preferred Stock at a purchase price of $8.00 per share, for an aggregate purchase price of approximately $4.8 million.</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January 2023, Ariel Cohen entered into a stock transfer agreement with an existing investor pursuant to which Mr. Cohen sold and transferred 53,406 shares of common stock at a price of $9.3621 per share, for aggregate proceeds of approximately $500,000.</w:t>
      </w:r>
    </w:p>
    <w:p>
      <w:pPr>
        <w:spacing w:after="0" w:line="98" w:lineRule="exact"/>
        <w:rPr>
          <w:rFonts w:ascii="Arial" w:cs="Arial" w:eastAsia="Arial" w:hAnsi="Arial"/>
          <w:sz w:val="18"/>
          <w:szCs w:val="18"/>
          <w:color w:val="auto"/>
        </w:rPr>
      </w:pPr>
    </w:p>
    <w:p>
      <w:pPr>
        <w:jc w:val="both"/>
        <w:ind w:left="660" w:right="380" w:hanging="328"/>
        <w:spacing w:after="0" w:line="318"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January 2023, Ilan Twig entered into a stock transfer agreement with an existing investor pursuant to which Mr. Twig sold and transferred 53,406 shares of common stock at a price of $9.3621 per share, for aggregate proceeds of approximately $500,000.</w:t>
      </w:r>
    </w:p>
    <w:p>
      <w:pPr>
        <w:spacing w:after="0" w:line="75" w:lineRule="exact"/>
        <w:rPr>
          <w:rFonts w:ascii="Arial" w:cs="Arial" w:eastAsia="Arial" w:hAnsi="Arial"/>
          <w:sz w:val="17"/>
          <w:szCs w:val="17"/>
          <w:color w:val="auto"/>
        </w:rPr>
      </w:pPr>
    </w:p>
    <w:p>
      <w:pPr>
        <w:ind w:left="660" w:right="180" w:hanging="328"/>
        <w:spacing w:after="0" w:line="318"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November 2022, Ariel Cohen entered into a stock transfer agreement with a new investor pursuant to which Mr. Cohen sold and transferred 80,110 shares of common stock at a price of $9.3621 per share, for aggregate proceeds of approximately $750,000.</w:t>
      </w:r>
    </w:p>
    <w:p>
      <w:pPr>
        <w:spacing w:after="0" w:line="75" w:lineRule="exact"/>
        <w:rPr>
          <w:rFonts w:ascii="Arial" w:cs="Arial" w:eastAsia="Arial" w:hAnsi="Arial"/>
          <w:sz w:val="17"/>
          <w:szCs w:val="17"/>
          <w:color w:val="auto"/>
        </w:rPr>
      </w:pPr>
    </w:p>
    <w:p>
      <w:pPr>
        <w:ind w:left="660" w:right="400" w:hanging="328"/>
        <w:spacing w:after="0" w:line="318"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November 2022, Ilan Twig entered into a stock transfer agreement with new investors pursuant to which Mr. Twig sold and transferred 80,109 shares of common stock at a price of $9.3621 per share, for aggregate proceeds of approximately $750,000.</w:t>
      </w:r>
    </w:p>
    <w:p>
      <w:pPr>
        <w:spacing w:after="0" w:line="75" w:lineRule="exact"/>
        <w:rPr>
          <w:rFonts w:ascii="Arial" w:cs="Arial" w:eastAsia="Arial" w:hAnsi="Arial"/>
          <w:sz w:val="17"/>
          <w:szCs w:val="17"/>
          <w:color w:val="auto"/>
        </w:rPr>
      </w:pPr>
    </w:p>
    <w:p>
      <w:pPr>
        <w:ind w:left="660" w:right="100" w:hanging="328"/>
        <w:spacing w:after="0" w:line="262"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November 2022, entities affiliated with Zeev Ventures, a holder of more than 5% of our outstanding capital stock, entered into stock transfer agreements with an existing investor and certain new investors pursuant to which Zeev Ventures sold and transferred 320,441 shares of our Series C Preferred Stock at a purchase price of $9.3621 per share and 640,882 shares of our Series B Preferred Stock at a purchase price of $9.3621 per share, for aggregate proceeds of approximately $9.0 million.</w:t>
      </w:r>
    </w:p>
    <w:p>
      <w:pPr>
        <w:spacing w:after="0" w:line="122" w:lineRule="exact"/>
        <w:rPr>
          <w:rFonts w:ascii="Arial" w:cs="Arial" w:eastAsia="Arial" w:hAnsi="Arial"/>
          <w:sz w:val="18"/>
          <w:szCs w:val="18"/>
          <w:color w:val="auto"/>
        </w:rPr>
      </w:pPr>
    </w:p>
    <w:p>
      <w:pPr>
        <w:jc w:val="both"/>
        <w:ind w:left="660" w:right="380" w:hanging="328"/>
        <w:spacing w:after="0" w:line="268"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March 2022, an entity affiliated with Zeev Ventures entered into a stock transfer agreement with an investor pursuant to which Zeev Ventures purchased 290,888 shares of our Series Seed Preferred Stock at a purchase price of $10.7825 per share, for an aggregate purchase price of approximately $3.1 million.</w:t>
      </w:r>
    </w:p>
    <w:p>
      <w:pPr>
        <w:spacing w:after="0" w:line="116" w:lineRule="exact"/>
        <w:rPr>
          <w:rFonts w:ascii="Arial" w:cs="Arial" w:eastAsia="Arial" w:hAnsi="Arial"/>
          <w:sz w:val="18"/>
          <w:szCs w:val="18"/>
          <w:color w:val="auto"/>
        </w:rPr>
      </w:pPr>
    </w:p>
    <w:p>
      <w:pPr>
        <w:jc w:val="both"/>
        <w:ind w:left="660" w:right="40" w:hanging="328"/>
        <w:spacing w:after="0" w:line="268"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February 2022, entities affiliated with Zeev Ventures entered into a stock transfer agreement with a shareholder pursuant to which Zeev Ventures purchased 181,153 shares of common stock at a purchase price of $9.70 per share, for an aggregate purchase price of approximately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1440" w:right="379" w:bottom="1440" w:gutter="0" w:footer="0" w:header="0"/>
        </w:sectPr>
      </w:pPr>
    </w:p>
    <w:bookmarkStart w:id="174" w:name="page175"/>
    <w:bookmarkEnd w:id="174"/>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Employment Relationships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brother-in-law of Clara Liang, one of our directors, was employed by us until October 2022 as our Chief Information Security Officer. His total compensation for fiscal year 2023 was approximately $310,770. The compensation of Ms. Liang’s brother-in-law was determined in accordance with the Company’s compensation practices applicable to employees with comparable qualifications and responsibilities and holding similar positions. He received benefits available to all our employees, including participation in various employee health and welfare benefit plans, and he was eligible for equity awards on the same general terms and conditions as applicable to employees in similar positions who do not have such family relationships. Ms. Liang joined our board of directors in September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enter into an exchange agreement with our co-founders, Messrs. Cohen and Twig, effective as of the effectiveness of the</w:t>
      </w:r>
    </w:p>
    <w:p>
      <w:pPr>
        <w:spacing w:after="0" w:line="2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registration statement of which this prospectus forms a part, pursuant to which shares of our Class A common stock held by such co-founders and certain related entities prior to the effectiveness of the registration statement of which this prospectus forms a part will automatically be exchanged for an equivalent number of shares of our Class B common stock immediately prior to the completion of this offering. In addition, following the completion of this offering, and pursuant to Equity Exchange Right Agreements to be entered into between us and each of our co-founders, our co-founders shall have a right (but not an obligation), to require us to exchange any shares of Class A common stock received upon the vesting and settlement of RSUs related to shares of Class A common stock or upon the exercise of stock options to purchase shares of Class A common stock for an equivalent number of shares of Class B common stock. These equity exchange rights apply only to equity awards granted to our co-founders prior to the effectiveness of the filing of our amended and restated certificate of</w:t>
      </w:r>
    </w:p>
    <w:p>
      <w:pPr>
        <w:spacing w:after="0" w:line="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incorporation, which includes shares of our Class A common stock subject to RSUs held by our co-founders or issuable upon the exercise of stock options to purchase shares of Class A common stock that may be exchanged, upon settlement, for an equivalent number of shares of our Class B common stock following this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party to an amended and restated investors’ rights agreement, or our IRA, which provides, among other things, that certain holders of our capital stock, including entities affiliated with Andreessen Horowitz, Lightspeed Venture Partners, and Zeev Ventures, which each hold more than 5% of our outstanding capital stock, have the right to demand that we file a registration statement or request that their shares of our capital stock be included on a registration statement that we are otherwise filing. See the section titled “Description of Capital Stock—Registration Rights” for more information regarding these registration rights.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Pursuant to our Voting Agreement, certain holders of our capital stock have agreed to vote their shares on certain matters, including with respect to the election of members of our board of directors. See the section titled “Management—Board of Directors” for more information regarding the election of members of our board of directors pursuant to our Voting Agreement. Holders of our capital stock, including entities affiliated with Andreessen Horowitz, Lightspeed Venture Partners and Zeev Ventures, which each hold more than 5% of our outstanding capital stock, as well as Ariel Cohen, the chairperson of our board of directors and Chief Executive Officer, and Ilan Twig, a member of our board of directors and Chief Technology Officer, are parties to our Voting Agreement. Our Voting Agreement will terminate upon the completion of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1"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At the time of this offering, we will adopt a policy that our executive officers, directors, nominees for election as a director, beneficial owners of more than 5% of any class of our common stock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members of the immediate family of any of the foregoing persons are not permitted to enter into a related person transaction that would be required to be disclosed pursuant to Item 404(a) of Regulation S-K without the approval or ratification of our audit committee or another independent body of our board of directors. In reviewing any related person transaction, our audit committee or another independent body of our board of directors will consider all relevant facts and circumstances, including (a) the risks, costs, and benefits to us, (b) the impact on a director’s independence where applicable, (c) the availability of comparable services or products and (d) the terms as compared to terms from unrelated third parties. The audit committee or other independent body of our board of directors will approve only those related party transactions that are in, or are not inconsistent with, our interests and the interests of our stockholders, as determined in the good faith exercise of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320" w:top="1440" w:right="419" w:bottom="1440" w:gutter="0" w:footer="0" w:header="0"/>
        </w:sectPr>
      </w:pPr>
    </w:p>
    <w:bookmarkStart w:id="176" w:name="page177"/>
    <w:bookmarkEnd w:id="176"/>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SELLING STOCKHOLDERS</w:t>
      </w:r>
    </w:p>
    <w:p>
      <w:pPr>
        <w:spacing w:after="0" w:line="171" w:lineRule="exact"/>
        <w:rPr>
          <w:sz w:val="20"/>
          <w:szCs w:val="20"/>
          <w:color w:val="auto"/>
        </w:rPr>
      </w:pPr>
    </w:p>
    <w:p>
      <w:pPr>
        <w:ind w:left="340"/>
        <w:spacing w:after="0"/>
        <w:tabs>
          <w:tab w:leader="none" w:pos="9940" w:val="left"/>
        </w:tabs>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w:t>
      </w:r>
      <w:r>
        <w:rPr>
          <w:sz w:val="20"/>
          <w:szCs w:val="20"/>
          <w:color w:val="auto"/>
        </w:rPr>
        <w:tab/>
      </w:r>
      <w:r>
        <w:rPr>
          <w:rFonts w:ascii="Arial" w:cs="Arial" w:eastAsia="Arial" w:hAnsi="Arial"/>
          <w:sz w:val="17"/>
          <w:szCs w:val="17"/>
          <w:color w:val="auto"/>
        </w:rPr>
        <w:t>, 2025 and as</w:t>
      </w:r>
    </w:p>
    <w:p>
      <w:pPr>
        <w:spacing w:after="0" w:line="27"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color w:val="auto"/>
        </w:rPr>
        <w:t>adjusted to reflect the sale of our Class A common stock in this offering assuming no exercise of the underwriters’ option to purchase additional shares, for:</w:t>
      </w:r>
    </w:p>
    <w:p>
      <w:pPr>
        <w:spacing w:after="0" w:line="117"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our Class A or Class B common stock;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7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22" w:lineRule="exact"/>
        <w:rPr>
          <w:sz w:val="20"/>
          <w:szCs w:val="20"/>
          <w:color w:val="auto"/>
        </w:rPr>
      </w:pPr>
    </w:p>
    <w:p>
      <w:pPr>
        <w:ind w:left="340"/>
        <w:spacing w:after="0"/>
        <w:tabs>
          <w:tab w:leader="none" w:pos="7600" w:val="left"/>
        </w:tabs>
        <w:rPr>
          <w:sz w:val="20"/>
          <w:szCs w:val="20"/>
          <w:color w:val="auto"/>
        </w:rPr>
      </w:pPr>
      <w:r>
        <w:rPr>
          <w:rFonts w:ascii="Arial" w:cs="Arial" w:eastAsia="Arial" w:hAnsi="Arial"/>
          <w:sz w:val="18"/>
          <w:szCs w:val="18"/>
          <w:color w:val="auto"/>
        </w:rPr>
        <w:t>Applicable percentage ownership of our common stock before this offering is based on</w:t>
      </w:r>
      <w:r>
        <w:rPr>
          <w:sz w:val="20"/>
          <w:szCs w:val="20"/>
          <w:color w:val="auto"/>
        </w:rPr>
        <w:tab/>
      </w:r>
      <w:r>
        <w:rPr>
          <w:rFonts w:ascii="Arial" w:cs="Arial" w:eastAsia="Arial" w:hAnsi="Arial"/>
          <w:sz w:val="17"/>
          <w:szCs w:val="17"/>
          <w:color w:val="auto"/>
        </w:rPr>
        <w:t>shares of our Class A common stock</w:t>
      </w:r>
    </w:p>
    <w:p>
      <w:pPr>
        <w:spacing w:after="0" w:line="27" w:lineRule="exact"/>
        <w:rPr>
          <w:sz w:val="20"/>
          <w:szCs w:val="20"/>
          <w:color w:val="auto"/>
        </w:rPr>
      </w:pPr>
    </w:p>
    <w:p>
      <w:pPr>
        <w:spacing w:after="0"/>
        <w:tabs>
          <w:tab w:leader="none" w:pos="680" w:val="left"/>
          <w:tab w:leader="none" w:pos="66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shares of our Class B common stock outstanding, in each case, as of</w:t>
      </w:r>
      <w:r>
        <w:rPr>
          <w:sz w:val="20"/>
          <w:szCs w:val="20"/>
          <w:color w:val="auto"/>
        </w:rPr>
        <w:tab/>
      </w:r>
      <w:r>
        <w:rPr>
          <w:rFonts w:ascii="Arial" w:cs="Arial" w:eastAsia="Arial" w:hAnsi="Arial"/>
          <w:sz w:val="17"/>
          <w:szCs w:val="17"/>
          <w:color w:val="auto"/>
        </w:rPr>
        <w:t>, 2025, and assumes the occurrence of the Capital Stock</w:t>
      </w:r>
    </w:p>
    <w:p>
      <w:pPr>
        <w:spacing w:after="0" w:line="9" w:lineRule="exact"/>
        <w:rPr>
          <w:sz w:val="20"/>
          <w:szCs w:val="20"/>
          <w:color w:val="auto"/>
        </w:rPr>
      </w:pPr>
    </w:p>
    <w:p>
      <w:pPr>
        <w:spacing w:after="0"/>
        <w:tabs>
          <w:tab w:leader="none" w:pos="9560" w:val="left"/>
        </w:tabs>
        <w:rPr>
          <w:sz w:val="20"/>
          <w:szCs w:val="20"/>
          <w:color w:val="auto"/>
        </w:rPr>
      </w:pPr>
      <w:r>
        <w:rPr>
          <w:rFonts w:ascii="Arial" w:cs="Arial" w:eastAsia="Arial" w:hAnsi="Arial"/>
          <w:sz w:val="18"/>
          <w:szCs w:val="18"/>
          <w:color w:val="auto"/>
        </w:rPr>
        <w:t>Conversion, the Note Conversion and RSU Net Settlement. For purposes of the table below, we have assumed that</w:t>
      </w:r>
      <w:r>
        <w:rPr>
          <w:sz w:val="20"/>
          <w:szCs w:val="20"/>
          <w:color w:val="auto"/>
        </w:rPr>
        <w:tab/>
      </w:r>
      <w:r>
        <w:rPr>
          <w:rFonts w:ascii="Arial" w:cs="Arial" w:eastAsia="Arial" w:hAnsi="Arial"/>
          <w:sz w:val="18"/>
          <w:szCs w:val="18"/>
          <w:color w:val="auto"/>
        </w:rPr>
        <w:t>shares of Class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issued in this offering.</w:t>
      </w:r>
    </w:p>
    <w:p>
      <w:pPr>
        <w:spacing w:after="0" w:line="153"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computing the number of shares of common stock beneficially owned by a person and the percentage ownership of that person, we deemed to be outstanding all shares of common stock subject to options and RSUs held by that person or entity that are currently exercisable or subject to settlement or that will become exercisable or subject to settlement within 60 days of , 2025, including the</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performance-based vesting condition, which will be satisfied upon the effectiveness of the registration statement of which this prospectus forms a part, and after giving effect to the RSU Net Settlement, assuming the applicable estimated tax withholding rate set forth above. In addition, we have assumed the exchange, pursuant to the Equity Exchange Rights, of all shares of Class A common stock receivable upon</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exercise of stock options held by our co-founders, and that are exercisable within 60 days of . We did not deem these shares outstanding, however, for the purpose of computing the percentage ownership of any other person. In addition, the actual share withholding amounts and related tax withholding rates will fluctuate based on, among other things, the actual initial public offering price per share in this offering and actual withholding rates. As a result, the number of shares beneficially owned by any holder included in the table below may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1440" w:right="439" w:bottom="1440" w:gutter="0" w:footer="0" w:header="0"/>
        </w:sectPr>
      </w:pPr>
    </w:p>
    <w:bookmarkStart w:id="177" w:name="page178"/>
    <w:bookmarkEnd w:id="177"/>
    <w:p>
      <w:pPr>
        <w:spacing w:after="0" w:line="247"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Unless otherwise indicated, the address of each beneficial owner in the table below is c/o Navan, Inc., 3045 Park Boulevard, Palo Alto, California 94306.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Name of Beneficial Owner</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Named Executive Officers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Ariel Cohen</w:t>
      </w:r>
      <w:r>
        <w:rPr>
          <w:rFonts w:ascii="Arial" w:cs="Arial" w:eastAsia="Arial" w:hAnsi="Arial"/>
          <w:sz w:val="18"/>
          <w:szCs w:val="18"/>
          <w:color w:val="auto"/>
          <w:vertAlign w:val="superscript"/>
        </w:rPr>
        <w:t>(1)</w:t>
      </w:r>
    </w:p>
    <w:p>
      <w:pPr>
        <w:ind w:left="20"/>
        <w:spacing w:after="0"/>
        <w:rPr>
          <w:sz w:val="20"/>
          <w:szCs w:val="20"/>
          <w:color w:val="auto"/>
        </w:rPr>
      </w:pPr>
      <w:r>
        <w:rPr>
          <w:rFonts w:ascii="Arial" w:cs="Arial" w:eastAsia="Arial" w:hAnsi="Arial"/>
          <w:sz w:val="14"/>
          <w:szCs w:val="14"/>
          <w:color w:val="auto"/>
        </w:rPr>
        <w:t>Ilan Twig</w:t>
      </w:r>
      <w:r>
        <w:rPr>
          <w:rFonts w:ascii="Arial" w:cs="Arial" w:eastAsia="Arial" w:hAnsi="Arial"/>
          <w:sz w:val="18"/>
          <w:szCs w:val="18"/>
          <w:color w:val="auto"/>
          <w:vertAlign w:val="superscript"/>
        </w:rPr>
        <w:t>(2)</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Amy Butte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Michael Sindicich</w:t>
      </w:r>
      <w:r>
        <w:rPr>
          <w:rFonts w:ascii="Arial" w:cs="Arial" w:eastAsia="Arial" w:hAnsi="Arial"/>
          <w:sz w:val="18"/>
          <w:szCs w:val="18"/>
          <w:color w:val="auto"/>
          <w:vertAlign w:val="superscript"/>
        </w:rPr>
        <w:t>(3)</w:t>
      </w:r>
    </w:p>
    <w:p>
      <w:pPr>
        <w:ind w:left="20"/>
        <w:spacing w:after="0"/>
        <w:rPr>
          <w:sz w:val="20"/>
          <w:szCs w:val="20"/>
          <w:color w:val="auto"/>
        </w:rPr>
      </w:pPr>
      <w:r>
        <w:rPr>
          <w:rFonts w:ascii="Arial" w:cs="Arial" w:eastAsia="Arial" w:hAnsi="Arial"/>
          <w:sz w:val="14"/>
          <w:szCs w:val="14"/>
          <w:color w:val="auto"/>
        </w:rPr>
        <w:t>Ben Horowitz</w:t>
      </w:r>
      <w:r>
        <w:rPr>
          <w:rFonts w:ascii="Arial" w:cs="Arial" w:eastAsia="Arial" w:hAnsi="Arial"/>
          <w:sz w:val="18"/>
          <w:szCs w:val="18"/>
          <w:color w:val="auto"/>
          <w:vertAlign w:val="superscript"/>
        </w:rPr>
        <w:t>(4)</w:t>
      </w:r>
    </w:p>
    <w:p>
      <w:pPr>
        <w:ind w:left="20"/>
        <w:spacing w:after="0" w:line="234" w:lineRule="auto"/>
        <w:rPr>
          <w:sz w:val="20"/>
          <w:szCs w:val="20"/>
          <w:color w:val="auto"/>
        </w:rPr>
      </w:pPr>
      <w:r>
        <w:rPr>
          <w:rFonts w:ascii="Arial" w:cs="Arial" w:eastAsia="Arial" w:hAnsi="Arial"/>
          <w:sz w:val="14"/>
          <w:szCs w:val="14"/>
          <w:color w:val="auto"/>
        </w:rPr>
        <w:t>Arif Janmohamed</w:t>
      </w:r>
      <w:r>
        <w:rPr>
          <w:rFonts w:ascii="Arial" w:cs="Arial" w:eastAsia="Arial" w:hAnsi="Arial"/>
          <w:sz w:val="18"/>
          <w:szCs w:val="18"/>
          <w:color w:val="auto"/>
          <w:vertAlign w:val="superscript"/>
        </w:rPr>
        <w:t>(5)</w:t>
      </w:r>
    </w:p>
    <w:p>
      <w:pPr>
        <w:ind w:left="20"/>
        <w:spacing w:after="0" w:line="235" w:lineRule="auto"/>
        <w:rPr>
          <w:sz w:val="20"/>
          <w:szCs w:val="20"/>
          <w:color w:val="auto"/>
        </w:rPr>
      </w:pPr>
      <w:r>
        <w:rPr>
          <w:rFonts w:ascii="Arial" w:cs="Arial" w:eastAsia="Arial" w:hAnsi="Arial"/>
          <w:sz w:val="14"/>
          <w:szCs w:val="14"/>
          <w:color w:val="auto"/>
        </w:rPr>
        <w:t>Sandesh Patnam</w:t>
      </w:r>
      <w:r>
        <w:rPr>
          <w:rFonts w:ascii="Arial" w:cs="Arial" w:eastAsia="Arial" w:hAnsi="Arial"/>
          <w:sz w:val="18"/>
          <w:szCs w:val="18"/>
          <w:color w:val="auto"/>
          <w:vertAlign w:val="superscript"/>
        </w:rPr>
        <w:t>(6)</w:t>
      </w:r>
    </w:p>
    <w:p>
      <w:pPr>
        <w:ind w:left="20"/>
        <w:spacing w:after="0" w:line="235" w:lineRule="auto"/>
        <w:rPr>
          <w:sz w:val="20"/>
          <w:szCs w:val="20"/>
          <w:color w:val="auto"/>
        </w:rPr>
      </w:pPr>
      <w:r>
        <w:rPr>
          <w:rFonts w:ascii="Arial" w:cs="Arial" w:eastAsia="Arial" w:hAnsi="Arial"/>
          <w:sz w:val="14"/>
          <w:szCs w:val="14"/>
          <w:color w:val="auto"/>
        </w:rPr>
        <w:t>Oren Zeev</w:t>
      </w:r>
      <w:r>
        <w:rPr>
          <w:rFonts w:ascii="Arial" w:cs="Arial" w:eastAsia="Arial" w:hAnsi="Arial"/>
          <w:sz w:val="18"/>
          <w:szCs w:val="18"/>
          <w:color w:val="auto"/>
          <w:vertAlign w:val="superscript"/>
        </w:rPr>
        <w:t>(7)</w:t>
      </w:r>
    </w:p>
    <w:p>
      <w:pPr>
        <w:ind w:left="20"/>
        <w:spacing w:after="0"/>
        <w:rPr>
          <w:sz w:val="20"/>
          <w:szCs w:val="20"/>
          <w:color w:val="auto"/>
        </w:rPr>
      </w:pPr>
      <w:r>
        <w:rPr>
          <w:rFonts w:ascii="Arial" w:cs="Arial" w:eastAsia="Arial" w:hAnsi="Arial"/>
          <w:sz w:val="14"/>
          <w:szCs w:val="14"/>
          <w:color w:val="auto"/>
        </w:rPr>
        <w:t>Clara Liang</w:t>
      </w:r>
      <w:r>
        <w:rPr>
          <w:rFonts w:ascii="Arial" w:cs="Arial" w:eastAsia="Arial" w:hAnsi="Arial"/>
          <w:sz w:val="18"/>
          <w:szCs w:val="18"/>
          <w:color w:val="auto"/>
          <w:vertAlign w:val="superscript"/>
        </w:rPr>
        <w:t>(8)</w:t>
      </w:r>
    </w:p>
    <w:p>
      <w:pPr>
        <w:ind w:left="20"/>
        <w:spacing w:after="0" w:line="227" w:lineRule="auto"/>
        <w:rPr>
          <w:sz w:val="20"/>
          <w:szCs w:val="20"/>
          <w:color w:val="auto"/>
        </w:rPr>
      </w:pPr>
      <w:r>
        <w:rPr>
          <w:rFonts w:ascii="Arial" w:cs="Arial" w:eastAsia="Arial" w:hAnsi="Arial"/>
          <w:sz w:val="14"/>
          <w:szCs w:val="14"/>
          <w:color w:val="auto"/>
        </w:rPr>
        <w:t>All executive officers and</w:t>
      </w:r>
    </w:p>
    <w:p>
      <w:pPr>
        <w:ind w:left="180" w:right="560"/>
        <w:spacing w:after="0" w:line="231" w:lineRule="auto"/>
        <w:rPr>
          <w:sz w:val="20"/>
          <w:szCs w:val="20"/>
          <w:color w:val="auto"/>
        </w:rPr>
      </w:pPr>
      <w:r>
        <w:rPr>
          <w:rFonts w:ascii="Arial" w:cs="Arial" w:eastAsia="Arial" w:hAnsi="Arial"/>
          <w:sz w:val="14"/>
          <w:szCs w:val="14"/>
          <w:color w:val="auto"/>
        </w:rPr>
        <w:t>directors as a group (9 persons)</w:t>
      </w:r>
      <w:r>
        <w:rPr>
          <w:rFonts w:ascii="Arial" w:cs="Arial" w:eastAsia="Arial" w:hAnsi="Arial"/>
          <w:sz w:val="9"/>
          <w:szCs w:val="9"/>
          <w:color w:val="auto"/>
        </w:rPr>
        <w:t>(9)</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5% or Greater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Stockholders:</w:t>
      </w:r>
    </w:p>
    <w:p>
      <w:pPr>
        <w:spacing w:after="0" w:line="21" w:lineRule="exact"/>
        <w:rPr>
          <w:sz w:val="20"/>
          <w:szCs w:val="20"/>
          <w:color w:val="auto"/>
        </w:rPr>
      </w:pPr>
    </w:p>
    <w:p>
      <w:pPr>
        <w:ind w:left="180" w:right="60" w:hanging="161"/>
        <w:spacing w:after="0" w:line="233" w:lineRule="auto"/>
        <w:rPr>
          <w:sz w:val="20"/>
          <w:szCs w:val="20"/>
          <w:color w:val="auto"/>
        </w:rPr>
      </w:pPr>
      <w:r>
        <w:rPr>
          <w:rFonts w:ascii="Arial" w:cs="Arial" w:eastAsia="Arial" w:hAnsi="Arial"/>
          <w:sz w:val="14"/>
          <w:szCs w:val="14"/>
          <w:color w:val="auto"/>
        </w:rPr>
        <w:t>Entities affiliated with Lightspeed Venture Partners</w:t>
      </w:r>
      <w:r>
        <w:rPr>
          <w:rFonts w:ascii="Arial" w:cs="Arial" w:eastAsia="Arial" w:hAnsi="Arial"/>
          <w:sz w:val="18"/>
          <w:szCs w:val="18"/>
          <w:color w:val="auto"/>
          <w:vertAlign w:val="superscript"/>
        </w:rPr>
        <w:t>(10)</w:t>
      </w:r>
    </w:p>
    <w:p>
      <w:pPr>
        <w:spacing w:after="0" w:line="1" w:lineRule="exact"/>
        <w:rPr>
          <w:sz w:val="20"/>
          <w:szCs w:val="20"/>
          <w:color w:val="auto"/>
        </w:rPr>
      </w:pPr>
    </w:p>
    <w:p>
      <w:pPr>
        <w:ind w:left="180" w:hanging="161"/>
        <w:spacing w:after="0" w:line="228" w:lineRule="auto"/>
        <w:rPr>
          <w:sz w:val="20"/>
          <w:szCs w:val="20"/>
          <w:color w:val="auto"/>
        </w:rPr>
      </w:pPr>
      <w:r>
        <w:rPr>
          <w:rFonts w:ascii="Arial" w:cs="Arial" w:eastAsia="Arial" w:hAnsi="Arial"/>
          <w:sz w:val="14"/>
          <w:szCs w:val="14"/>
          <w:color w:val="auto"/>
        </w:rPr>
        <w:t>Entities affiliated with Andreessen Horowitz</w:t>
      </w:r>
      <w:r>
        <w:rPr>
          <w:rFonts w:ascii="Arial" w:cs="Arial" w:eastAsia="Arial" w:hAnsi="Arial"/>
          <w:sz w:val="18"/>
          <w:szCs w:val="18"/>
          <w:color w:val="auto"/>
          <w:vertAlign w:val="superscript"/>
        </w:rPr>
        <w:t>(11)</w:t>
      </w:r>
    </w:p>
    <w:p>
      <w:pPr>
        <w:spacing w:after="0" w:line="1" w:lineRule="exact"/>
        <w:rPr>
          <w:sz w:val="20"/>
          <w:szCs w:val="20"/>
          <w:color w:val="auto"/>
        </w:rPr>
      </w:pPr>
    </w:p>
    <w:p>
      <w:pPr>
        <w:ind w:left="180" w:right="460" w:hanging="161"/>
        <w:spacing w:after="0" w:line="255" w:lineRule="auto"/>
        <w:rPr>
          <w:sz w:val="20"/>
          <w:szCs w:val="20"/>
          <w:color w:val="auto"/>
        </w:rPr>
      </w:pPr>
      <w:r>
        <w:rPr>
          <w:rFonts w:ascii="Arial" w:cs="Arial" w:eastAsia="Arial" w:hAnsi="Arial"/>
          <w:sz w:val="14"/>
          <w:szCs w:val="14"/>
          <w:color w:val="auto"/>
        </w:rPr>
        <w:t>Entities affiliated with Zeev Ventures</w:t>
      </w:r>
      <w:r>
        <w:rPr>
          <w:rFonts w:ascii="Arial" w:cs="Arial" w:eastAsia="Arial" w:hAnsi="Arial"/>
          <w:sz w:val="18"/>
          <w:szCs w:val="18"/>
          <w:color w:val="auto"/>
          <w:vertAlign w:val="superscript"/>
        </w:rPr>
        <w:t>(12)</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80" w:type="dxa"/>
            <w:vAlign w:val="bottom"/>
            <w:gridSpan w:val="3"/>
          </w:tcPr>
          <w:p>
            <w:pPr>
              <w:ind w:left="600"/>
              <w:spacing w:after="0"/>
              <w:rPr>
                <w:sz w:val="20"/>
                <w:szCs w:val="20"/>
                <w:color w:val="auto"/>
              </w:rPr>
            </w:pPr>
            <w:r>
              <w:rPr>
                <w:rFonts w:ascii="Arial" w:cs="Arial" w:eastAsia="Arial" w:hAnsi="Arial"/>
                <w:sz w:val="13"/>
                <w:szCs w:val="13"/>
                <w:b w:val="1"/>
                <w:bCs w:val="1"/>
                <w:color w:val="auto"/>
              </w:rPr>
              <w:t>Percentage of Shares</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Percentage of Shares</w:t>
            </w:r>
          </w:p>
        </w:tc>
        <w:tc>
          <w:tcPr>
            <w:tcW w:w="248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w w:val="98"/>
              </w:rPr>
              <w:t>Percentage of Total Voting Power After</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8"/>
              </w:rPr>
              <w:t>Beneficially Owned Before the Offering</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Beneficially Owned After the Offering</w:t>
            </w:r>
          </w:p>
        </w:tc>
        <w:tc>
          <w:tcPr>
            <w:tcW w:w="10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3"/>
                <w:szCs w:val="13"/>
                <w:b w:val="1"/>
                <w:bCs w:val="1"/>
                <w:color w:val="auto"/>
              </w:rPr>
              <w:t>the Offering**</w:t>
            </w:r>
          </w:p>
        </w:tc>
        <w:tc>
          <w:tcPr>
            <w:tcW w:w="0" w:type="dxa"/>
            <w:vAlign w:val="bottom"/>
          </w:tcPr>
          <w:p>
            <w:pPr>
              <w:spacing w:after="0"/>
              <w:rPr>
                <w:sz w:val="1"/>
                <w:szCs w:val="1"/>
                <w:color w:val="auto"/>
              </w:rPr>
            </w:pPr>
          </w:p>
        </w:tc>
      </w:tr>
      <w:tr>
        <w:trPr>
          <w:trHeight w:val="148"/>
        </w:trPr>
        <w:tc>
          <w:tcPr>
            <w:tcW w:w="12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Class A Common</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Class B Common</w:t>
            </w:r>
          </w:p>
        </w:tc>
        <w:tc>
          <w:tcPr>
            <w:tcW w:w="100" w:type="dxa"/>
            <w:vAlign w:val="bottom"/>
          </w:tcPr>
          <w:p>
            <w:pPr>
              <w:spacing w:after="0"/>
              <w:rPr>
                <w:sz w:val="12"/>
                <w:szCs w:val="12"/>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Shares of Class A</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Class A Common</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Class B Common</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Class A Common</w:t>
            </w:r>
          </w:p>
        </w:tc>
        <w:tc>
          <w:tcPr>
            <w:tcW w:w="12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Class B Common</w:t>
            </w:r>
          </w:p>
        </w:tc>
        <w:tc>
          <w:tcPr>
            <w:tcW w:w="0" w:type="dxa"/>
            <w:vAlign w:val="bottom"/>
          </w:tcPr>
          <w:p>
            <w:pPr>
              <w:spacing w:after="0"/>
              <w:rPr>
                <w:sz w:val="1"/>
                <w:szCs w:val="1"/>
                <w:color w:val="auto"/>
              </w:rPr>
            </w:pPr>
          </w:p>
        </w:tc>
      </w:tr>
      <w:tr>
        <w:trPr>
          <w:trHeight w:val="122"/>
        </w:trPr>
        <w:tc>
          <w:tcPr>
            <w:tcW w:w="128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Common Stock</w:t>
            </w:r>
          </w:p>
        </w:tc>
        <w:tc>
          <w:tcPr>
            <w:tcW w:w="130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Being Offered</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342900</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600075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857250</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1114425</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1371600</wp:posOffset>
            </wp:positionV>
            <wp:extent cx="71323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1894205</wp:posOffset>
            </wp:positionV>
            <wp:extent cx="71323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2339975</wp:posOffset>
            </wp:positionV>
            <wp:extent cx="713232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-7620</wp:posOffset>
            </wp:positionV>
            <wp:extent cx="713232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4116" w:lineRule="exact"/>
        <w:rPr>
          <w:sz w:val="20"/>
          <w:szCs w:val="20"/>
          <w:color w:val="auto"/>
        </w:rPr>
      </w:pPr>
    </w:p>
    <w:p>
      <w:pPr>
        <w:sectPr>
          <w:pgSz w:w="11900" w:h="16838" w:orient="portrait"/>
          <w:cols w:equalWidth="0" w:num="2">
            <w:col w:w="2180" w:space="120"/>
            <w:col w:w="894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of the shares of our common stock.</w:t>
      </w:r>
    </w:p>
    <w:p>
      <w:pPr>
        <w:spacing w:after="0" w:line="5"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as a single class. Each share of</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8960" w:type="dxa"/>
            <w:vAlign w:val="bottom"/>
            <w:gridSpan w:val="6"/>
          </w:tcPr>
          <w:p>
            <w:pPr>
              <w:ind w:left="80"/>
              <w:spacing w:after="0"/>
              <w:rPr>
                <w:sz w:val="20"/>
                <w:szCs w:val="20"/>
                <w:color w:val="auto"/>
              </w:rPr>
            </w:pPr>
            <w:r>
              <w:rPr>
                <w:rFonts w:ascii="Arial" w:cs="Arial" w:eastAsia="Arial" w:hAnsi="Arial"/>
                <w:sz w:val="16"/>
                <w:szCs w:val="16"/>
                <w:color w:val="auto"/>
              </w:rPr>
              <w:t>Class A common stock will be entitled to one vote per share, and each share of Class B common stock will be entitled to</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votes per share. The</w:t>
            </w:r>
          </w:p>
        </w:tc>
      </w:tr>
      <w:tr>
        <w:trPr>
          <w:trHeight w:val="203"/>
        </w:trPr>
        <w:tc>
          <w:tcPr>
            <w:tcW w:w="260" w:type="dxa"/>
            <w:vAlign w:val="bottom"/>
          </w:tcPr>
          <w:p>
            <w:pPr>
              <w:spacing w:after="0"/>
              <w:rPr>
                <w:sz w:val="17"/>
                <w:szCs w:val="17"/>
                <w:color w:val="auto"/>
              </w:rPr>
            </w:pPr>
          </w:p>
        </w:tc>
        <w:tc>
          <w:tcPr>
            <w:tcW w:w="10500" w:type="dxa"/>
            <w:vAlign w:val="bottom"/>
            <w:gridSpan w:val="7"/>
          </w:tcPr>
          <w:p>
            <w:pPr>
              <w:ind w:left="80"/>
              <w:spacing w:after="0"/>
              <w:rPr>
                <w:sz w:val="20"/>
                <w:szCs w:val="20"/>
                <w:color w:val="auto"/>
              </w:rPr>
            </w:pPr>
            <w:r>
              <w:rPr>
                <w:rFonts w:ascii="Arial" w:cs="Arial" w:eastAsia="Arial" w:hAnsi="Arial"/>
                <w:sz w:val="16"/>
                <w:szCs w:val="16"/>
                <w:color w:val="auto"/>
              </w:rPr>
              <w:t>Class A common stock and Class B common stock will vote together on all matters (including the election of directors) submitted to a vote of</w:t>
            </w:r>
          </w:p>
        </w:tc>
        <w:tc>
          <w:tcPr>
            <w:tcW w:w="340" w:type="dxa"/>
            <w:vAlign w:val="bottom"/>
          </w:tcPr>
          <w:p>
            <w:pPr>
              <w:spacing w:after="0"/>
              <w:rPr>
                <w:sz w:val="17"/>
                <w:szCs w:val="17"/>
                <w:color w:val="auto"/>
              </w:rPr>
            </w:pPr>
          </w:p>
        </w:tc>
      </w:tr>
      <w:tr>
        <w:trPr>
          <w:trHeight w:val="189"/>
        </w:trPr>
        <w:tc>
          <w:tcPr>
            <w:tcW w:w="260" w:type="dxa"/>
            <w:vAlign w:val="bottom"/>
          </w:tcPr>
          <w:p>
            <w:pPr>
              <w:spacing w:after="0"/>
              <w:rPr>
                <w:sz w:val="16"/>
                <w:szCs w:val="16"/>
                <w:color w:val="auto"/>
              </w:rPr>
            </w:pPr>
          </w:p>
        </w:tc>
        <w:tc>
          <w:tcPr>
            <w:tcW w:w="8960" w:type="dxa"/>
            <w:vAlign w:val="bottom"/>
            <w:gridSpan w:val="6"/>
          </w:tcPr>
          <w:p>
            <w:pPr>
              <w:ind w:left="80"/>
              <w:spacing w:after="0"/>
              <w:rPr>
                <w:sz w:val="20"/>
                <w:szCs w:val="20"/>
                <w:color w:val="auto"/>
              </w:rPr>
            </w:pPr>
            <w:r>
              <w:rPr>
                <w:rFonts w:ascii="Arial" w:cs="Arial" w:eastAsia="Arial" w:hAnsi="Arial"/>
                <w:sz w:val="16"/>
                <w:szCs w:val="16"/>
                <w:color w:val="auto"/>
              </w:rPr>
              <w:t>stockholders, except under limited circumstances described in the section titled “Description of Capital Stock.”</w:t>
            </w: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(1)</w:t>
            </w: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Consists of (i)</w:t>
            </w:r>
          </w:p>
        </w:tc>
        <w:tc>
          <w:tcPr>
            <w:tcW w:w="9320" w:type="dxa"/>
            <w:vAlign w:val="bottom"/>
            <w:gridSpan w:val="5"/>
          </w:tcPr>
          <w:p>
            <w:pPr>
              <w:ind w:left="320"/>
              <w:spacing w:after="0"/>
              <w:rPr>
                <w:sz w:val="20"/>
                <w:szCs w:val="20"/>
                <w:color w:val="auto"/>
              </w:rPr>
            </w:pPr>
            <w:r>
              <w:rPr>
                <w:rFonts w:ascii="Arial" w:cs="Arial" w:eastAsia="Arial" w:hAnsi="Arial"/>
                <w:sz w:val="16"/>
                <w:szCs w:val="16"/>
                <w:color w:val="auto"/>
              </w:rPr>
              <w:t>shares of Class B common stock held by Ariel Mordechai Cohen, as Trustee of the Ariel Mordechai Cohen Living Trust, dated</w:t>
            </w:r>
          </w:p>
        </w:tc>
        <w:tc>
          <w:tcPr>
            <w:tcW w:w="340" w:type="dxa"/>
            <w:vAlign w:val="bottom"/>
          </w:tcPr>
          <w:p>
            <w:pPr>
              <w:spacing w:after="0"/>
              <w:rPr>
                <w:sz w:val="16"/>
                <w:szCs w:val="16"/>
                <w:color w:val="auto"/>
              </w:rPr>
            </w:pPr>
          </w:p>
        </w:tc>
      </w:tr>
      <w:tr>
        <w:trPr>
          <w:trHeight w:val="203"/>
        </w:trPr>
        <w:tc>
          <w:tcPr>
            <w:tcW w:w="26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8/22/2024, of which Mr. Cohen is the trustee, (ii)</w:t>
            </w:r>
          </w:p>
        </w:tc>
        <w:tc>
          <w:tcPr>
            <w:tcW w:w="6340" w:type="dxa"/>
            <w:vAlign w:val="bottom"/>
            <w:gridSpan w:val="3"/>
          </w:tcPr>
          <w:p>
            <w:pPr>
              <w:ind w:left="20"/>
              <w:spacing w:after="0"/>
              <w:rPr>
                <w:sz w:val="20"/>
                <w:szCs w:val="20"/>
                <w:color w:val="auto"/>
              </w:rPr>
            </w:pPr>
            <w:r>
              <w:rPr>
                <w:rFonts w:ascii="Arial" w:cs="Arial" w:eastAsia="Arial" w:hAnsi="Arial"/>
                <w:sz w:val="16"/>
                <w:szCs w:val="16"/>
                <w:color w:val="auto"/>
              </w:rPr>
              <w:t>shares underlying stock options to purchase shares of Class A common stock that are</w:t>
            </w:r>
          </w:p>
        </w:tc>
        <w:tc>
          <w:tcPr>
            <w:tcW w:w="340" w:type="dxa"/>
            <w:vAlign w:val="bottom"/>
          </w:tcPr>
          <w:p>
            <w:pPr>
              <w:spacing w:after="0"/>
              <w:rPr>
                <w:sz w:val="17"/>
                <w:szCs w:val="17"/>
                <w:color w:val="auto"/>
              </w:rPr>
            </w:pPr>
          </w:p>
        </w:tc>
      </w:tr>
      <w:tr>
        <w:trPr>
          <w:trHeight w:val="189"/>
        </w:trPr>
        <w:tc>
          <w:tcPr>
            <w:tcW w:w="260" w:type="dxa"/>
            <w:vAlign w:val="bottom"/>
          </w:tcPr>
          <w:p>
            <w:pPr>
              <w:spacing w:after="0"/>
              <w:rPr>
                <w:sz w:val="16"/>
                <w:szCs w:val="16"/>
                <w:color w:val="auto"/>
              </w:rPr>
            </w:pPr>
          </w:p>
        </w:tc>
        <w:tc>
          <w:tcPr>
            <w:tcW w:w="10500" w:type="dxa"/>
            <w:vAlign w:val="bottom"/>
            <w:gridSpan w:val="7"/>
          </w:tcPr>
          <w:p>
            <w:pPr>
              <w:ind w:left="80"/>
              <w:spacing w:after="0"/>
              <w:rPr>
                <w:sz w:val="20"/>
                <w:szCs w:val="20"/>
                <w:color w:val="auto"/>
              </w:rPr>
            </w:pPr>
            <w:r>
              <w:rPr>
                <w:rFonts w:ascii="Arial" w:cs="Arial" w:eastAsia="Arial" w:hAnsi="Arial"/>
                <w:sz w:val="16"/>
                <w:szCs w:val="16"/>
                <w:color w:val="auto"/>
              </w:rPr>
              <w:t>exchangeable for shares of Class B common stock pursuant to the Equity Exchange Rights and that are exercisable within 60 days of</w:t>
            </w:r>
          </w:p>
        </w:tc>
        <w:tc>
          <w:tcPr>
            <w:tcW w:w="340" w:type="dxa"/>
            <w:vAlign w:val="bottom"/>
          </w:tcPr>
          <w:p>
            <w:pPr>
              <w:jc w:val="right"/>
              <w:ind w:right="249"/>
              <w:spacing w:after="0"/>
              <w:rPr>
                <w:sz w:val="20"/>
                <w:szCs w:val="20"/>
                <w:color w:val="auto"/>
              </w:rPr>
            </w:pPr>
            <w:r>
              <w:rPr>
                <w:rFonts w:ascii="Arial" w:cs="Arial" w:eastAsia="Arial" w:hAnsi="Arial"/>
                <w:sz w:val="10"/>
                <w:szCs w:val="10"/>
                <w:color w:val="auto"/>
                <w:w w:val="70"/>
              </w:rPr>
              <w:t>,</w:t>
            </w:r>
          </w:p>
        </w:tc>
      </w:tr>
      <w:tr>
        <w:trPr>
          <w:trHeight w:val="203"/>
        </w:trPr>
        <w:tc>
          <w:tcPr>
            <w:tcW w:w="26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color w:val="auto"/>
              </w:rPr>
              <w:t>2025, and (iii)</w:t>
            </w:r>
          </w:p>
        </w:tc>
        <w:tc>
          <w:tcPr>
            <w:tcW w:w="3400" w:type="dxa"/>
            <w:vAlign w:val="bottom"/>
            <w:gridSpan w:val="3"/>
          </w:tcPr>
          <w:p>
            <w:pPr>
              <w:ind w:left="460"/>
              <w:spacing w:after="0"/>
              <w:rPr>
                <w:sz w:val="20"/>
                <w:szCs w:val="20"/>
                <w:color w:val="auto"/>
              </w:rPr>
            </w:pPr>
            <w:r>
              <w:rPr>
                <w:rFonts w:ascii="Arial" w:cs="Arial" w:eastAsia="Arial" w:hAnsi="Arial"/>
                <w:sz w:val="16"/>
                <w:szCs w:val="16"/>
                <w:color w:val="auto"/>
              </w:rPr>
              <w:t>shares of Class B common stock held by</w:t>
            </w:r>
          </w:p>
        </w:tc>
        <w:tc>
          <w:tcPr>
            <w:tcW w:w="6260" w:type="dxa"/>
            <w:vAlign w:val="bottom"/>
            <w:gridSpan w:val="3"/>
          </w:tcPr>
          <w:p>
            <w:pPr>
              <w:jc w:val="right"/>
              <w:ind w:right="49"/>
              <w:spacing w:after="0"/>
              <w:rPr>
                <w:sz w:val="20"/>
                <w:szCs w:val="20"/>
                <w:color w:val="auto"/>
              </w:rPr>
            </w:pPr>
            <w:r>
              <w:rPr>
                <w:rFonts w:ascii="Arial" w:cs="Arial" w:eastAsia="Arial" w:hAnsi="Arial"/>
                <w:sz w:val="16"/>
                <w:szCs w:val="16"/>
                <w:color w:val="auto"/>
              </w:rPr>
              <w:t>. Mr. Cohen’s former spouse, has granted Mr. Cohen a proxy to vote the shares of</w:t>
            </w:r>
          </w:p>
        </w:tc>
      </w:tr>
      <w:tr>
        <w:trPr>
          <w:trHeight w:val="189"/>
        </w:trPr>
        <w:tc>
          <w:tcPr>
            <w:tcW w:w="260" w:type="dxa"/>
            <w:vAlign w:val="bottom"/>
          </w:tcPr>
          <w:p>
            <w:pPr>
              <w:spacing w:after="0"/>
              <w:rPr>
                <w:sz w:val="16"/>
                <w:szCs w:val="16"/>
                <w:color w:val="auto"/>
              </w:rPr>
            </w:pPr>
          </w:p>
        </w:tc>
        <w:tc>
          <w:tcPr>
            <w:tcW w:w="8960" w:type="dxa"/>
            <w:vAlign w:val="bottom"/>
            <w:gridSpan w:val="6"/>
          </w:tcPr>
          <w:p>
            <w:pPr>
              <w:ind w:left="80"/>
              <w:spacing w:after="0"/>
              <w:rPr>
                <w:sz w:val="20"/>
                <w:szCs w:val="20"/>
                <w:color w:val="auto"/>
              </w:rPr>
            </w:pPr>
            <w:r>
              <w:rPr>
                <w:rFonts w:ascii="Arial" w:cs="Arial" w:eastAsia="Arial" w:hAnsi="Arial"/>
                <w:sz w:val="16"/>
                <w:szCs w:val="16"/>
                <w:color w:val="auto"/>
              </w:rPr>
              <w:t>Class A common stock held of record by her and her affiliated trust.</w:t>
            </w: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(2)</w:t>
            </w: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Consists of (i)</w:t>
            </w:r>
          </w:p>
        </w:tc>
        <w:tc>
          <w:tcPr>
            <w:tcW w:w="2980" w:type="dxa"/>
            <w:vAlign w:val="bottom"/>
            <w:gridSpan w:val="2"/>
          </w:tcPr>
          <w:p>
            <w:pPr>
              <w:ind w:left="320"/>
              <w:spacing w:after="0"/>
              <w:rPr>
                <w:sz w:val="20"/>
                <w:szCs w:val="20"/>
                <w:color w:val="auto"/>
              </w:rPr>
            </w:pPr>
            <w:r>
              <w:rPr>
                <w:rFonts w:ascii="Arial" w:cs="Arial" w:eastAsia="Arial" w:hAnsi="Arial"/>
                <w:sz w:val="16"/>
                <w:szCs w:val="16"/>
                <w:color w:val="auto"/>
              </w:rPr>
              <w:t>shares of Class B common stock, (ii)</w:t>
            </w:r>
          </w:p>
        </w:tc>
        <w:tc>
          <w:tcPr>
            <w:tcW w:w="420" w:type="dxa"/>
            <w:vAlign w:val="bottom"/>
          </w:tcPr>
          <w:p>
            <w:pPr>
              <w:spacing w:after="0"/>
              <w:rPr>
                <w:sz w:val="16"/>
                <w:szCs w:val="16"/>
                <w:color w:val="auto"/>
              </w:rPr>
            </w:pPr>
          </w:p>
        </w:tc>
        <w:tc>
          <w:tcPr>
            <w:tcW w:w="6260" w:type="dxa"/>
            <w:vAlign w:val="bottom"/>
            <w:gridSpan w:val="3"/>
          </w:tcPr>
          <w:p>
            <w:pPr>
              <w:jc w:val="right"/>
              <w:spacing w:after="0"/>
              <w:rPr>
                <w:sz w:val="20"/>
                <w:szCs w:val="20"/>
                <w:color w:val="auto"/>
              </w:rPr>
            </w:pPr>
            <w:r>
              <w:rPr>
                <w:rFonts w:ascii="Arial" w:cs="Arial" w:eastAsia="Arial" w:hAnsi="Arial"/>
                <w:sz w:val="16"/>
                <w:szCs w:val="16"/>
                <w:color w:val="auto"/>
              </w:rPr>
              <w:t>shares of Class B common stock held by The Ilan Twig Grantor Retained Annuity Trust,</w:t>
            </w:r>
          </w:p>
        </w:tc>
      </w:tr>
      <w:tr>
        <w:trPr>
          <w:trHeight w:val="203"/>
        </w:trPr>
        <w:tc>
          <w:tcPr>
            <w:tcW w:w="26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6"/>
                <w:szCs w:val="16"/>
                <w:color w:val="auto"/>
              </w:rPr>
              <w:t>of which Mr. Twig is the trustee, (iii)</w:t>
            </w:r>
          </w:p>
        </w:tc>
        <w:tc>
          <w:tcPr>
            <w:tcW w:w="8080" w:type="dxa"/>
            <w:vAlign w:val="bottom"/>
            <w:gridSpan w:val="5"/>
          </w:tcPr>
          <w:p>
            <w:pPr>
              <w:jc w:val="right"/>
              <w:ind w:right="169"/>
              <w:spacing w:after="0"/>
              <w:rPr>
                <w:sz w:val="20"/>
                <w:szCs w:val="20"/>
                <w:color w:val="auto"/>
              </w:rPr>
            </w:pPr>
            <w:r>
              <w:rPr>
                <w:rFonts w:ascii="Arial" w:cs="Arial" w:eastAsia="Arial" w:hAnsi="Arial"/>
                <w:sz w:val="16"/>
                <w:szCs w:val="16"/>
                <w:color w:val="auto"/>
              </w:rPr>
              <w:t>shares underlying stock options to purchase shares of Class A common stock that are exchangeable for</w:t>
            </w:r>
          </w:p>
        </w:tc>
      </w:tr>
      <w:tr>
        <w:trPr>
          <w:trHeight w:val="189"/>
        </w:trPr>
        <w:tc>
          <w:tcPr>
            <w:tcW w:w="260" w:type="dxa"/>
            <w:vAlign w:val="bottom"/>
          </w:tcPr>
          <w:p>
            <w:pPr>
              <w:spacing w:after="0"/>
              <w:rPr>
                <w:sz w:val="16"/>
                <w:szCs w:val="16"/>
                <w:color w:val="auto"/>
              </w:rPr>
            </w:pPr>
          </w:p>
        </w:tc>
        <w:tc>
          <w:tcPr>
            <w:tcW w:w="8960" w:type="dxa"/>
            <w:vAlign w:val="bottom"/>
            <w:gridSpan w:val="6"/>
          </w:tcPr>
          <w:p>
            <w:pPr>
              <w:ind w:left="80"/>
              <w:spacing w:after="0"/>
              <w:rPr>
                <w:sz w:val="20"/>
                <w:szCs w:val="20"/>
                <w:color w:val="auto"/>
              </w:rPr>
            </w:pPr>
            <w:r>
              <w:rPr>
                <w:rFonts w:ascii="Arial" w:cs="Arial" w:eastAsia="Arial" w:hAnsi="Arial"/>
                <w:sz w:val="16"/>
                <w:szCs w:val="16"/>
                <w:color w:val="auto"/>
              </w:rPr>
              <w:t>shares of Class B common stock pursuant to the Equity Exchange Rights and that are exercisable within 60 days of</w:t>
            </w:r>
          </w:p>
        </w:tc>
        <w:tc>
          <w:tcPr>
            <w:tcW w:w="1540" w:type="dxa"/>
            <w:vAlign w:val="bottom"/>
          </w:tcPr>
          <w:p>
            <w:pPr>
              <w:ind w:left="280"/>
              <w:spacing w:after="0"/>
              <w:rPr>
                <w:sz w:val="20"/>
                <w:szCs w:val="20"/>
                <w:color w:val="auto"/>
              </w:rPr>
            </w:pPr>
            <w:r>
              <w:rPr>
                <w:rFonts w:ascii="Arial" w:cs="Arial" w:eastAsia="Arial" w:hAnsi="Arial"/>
                <w:sz w:val="16"/>
                <w:szCs w:val="16"/>
                <w:color w:val="auto"/>
              </w:rPr>
              <w:t>, 2025, and</w:t>
            </w:r>
          </w:p>
        </w:tc>
        <w:tc>
          <w:tcPr>
            <w:tcW w:w="340" w:type="dxa"/>
            <w:vAlign w:val="bottom"/>
          </w:tcPr>
          <w:p>
            <w:pPr>
              <w:spacing w:after="0"/>
              <w:rPr>
                <w:sz w:val="16"/>
                <w:szCs w:val="16"/>
                <w:color w:val="auto"/>
              </w:rPr>
            </w:pPr>
          </w:p>
        </w:tc>
      </w:tr>
      <w:tr>
        <w:trPr>
          <w:trHeight w:val="203"/>
        </w:trPr>
        <w:tc>
          <w:tcPr>
            <w:tcW w:w="26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6"/>
                <w:szCs w:val="16"/>
                <w:color w:val="auto"/>
              </w:rPr>
              <w:t>(iv)</w:t>
            </w:r>
          </w:p>
        </w:tc>
        <w:tc>
          <w:tcPr>
            <w:tcW w:w="3620" w:type="dxa"/>
            <w:vAlign w:val="bottom"/>
            <w:gridSpan w:val="3"/>
          </w:tcPr>
          <w:p>
            <w:pPr>
              <w:jc w:val="right"/>
              <w:ind w:right="359"/>
              <w:spacing w:after="0"/>
              <w:rPr>
                <w:sz w:val="20"/>
                <w:szCs w:val="20"/>
                <w:color w:val="auto"/>
              </w:rPr>
            </w:pPr>
            <w:r>
              <w:rPr>
                <w:rFonts w:ascii="Arial" w:cs="Arial" w:eastAsia="Arial" w:hAnsi="Arial"/>
                <w:sz w:val="16"/>
                <w:szCs w:val="16"/>
                <w:color w:val="auto"/>
              </w:rPr>
              <w:t>shares of Class B common stock held by</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4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(3)</w:t>
            </w: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Consists of (i)</w:t>
            </w:r>
          </w:p>
        </w:tc>
        <w:tc>
          <w:tcPr>
            <w:tcW w:w="3400" w:type="dxa"/>
            <w:vAlign w:val="bottom"/>
            <w:gridSpan w:val="3"/>
          </w:tcPr>
          <w:p>
            <w:pPr>
              <w:ind w:left="320"/>
              <w:spacing w:after="0"/>
              <w:rPr>
                <w:sz w:val="20"/>
                <w:szCs w:val="20"/>
                <w:color w:val="auto"/>
              </w:rPr>
            </w:pPr>
            <w:r>
              <w:rPr>
                <w:rFonts w:ascii="Arial" w:cs="Arial" w:eastAsia="Arial" w:hAnsi="Arial"/>
                <w:sz w:val="16"/>
                <w:szCs w:val="16"/>
                <w:color w:val="auto"/>
              </w:rPr>
              <w:t>shares of Class A common stock, and (ii)</w:t>
            </w:r>
          </w:p>
        </w:tc>
        <w:tc>
          <w:tcPr>
            <w:tcW w:w="6260" w:type="dxa"/>
            <w:vAlign w:val="bottom"/>
            <w:gridSpan w:val="3"/>
          </w:tcPr>
          <w:p>
            <w:pPr>
              <w:jc w:val="right"/>
              <w:spacing w:after="0"/>
              <w:rPr>
                <w:sz w:val="20"/>
                <w:szCs w:val="20"/>
                <w:color w:val="auto"/>
              </w:rPr>
            </w:pPr>
            <w:r>
              <w:rPr>
                <w:rFonts w:ascii="Arial" w:cs="Arial" w:eastAsia="Arial" w:hAnsi="Arial"/>
                <w:sz w:val="16"/>
                <w:szCs w:val="16"/>
                <w:color w:val="auto"/>
              </w:rPr>
              <w:t>shares underlying stock options to purchase shares of Class A common stock that</w:t>
            </w:r>
          </w:p>
        </w:tc>
      </w:tr>
      <w:tr>
        <w:trPr>
          <w:trHeight w:val="189"/>
        </w:trPr>
        <w:tc>
          <w:tcPr>
            <w:tcW w:w="260" w:type="dxa"/>
            <w:vAlign w:val="bottom"/>
          </w:tcPr>
          <w:p>
            <w:pPr>
              <w:spacing w:after="0"/>
              <w:rPr>
                <w:sz w:val="16"/>
                <w:szCs w:val="16"/>
                <w:color w:val="auto"/>
              </w:rPr>
            </w:pPr>
          </w:p>
        </w:tc>
        <w:tc>
          <w:tcPr>
            <w:tcW w:w="2760" w:type="dxa"/>
            <w:vAlign w:val="bottom"/>
            <w:gridSpan w:val="3"/>
          </w:tcPr>
          <w:p>
            <w:pPr>
              <w:ind w:left="80"/>
              <w:spacing w:after="0"/>
              <w:rPr>
                <w:sz w:val="20"/>
                <w:szCs w:val="20"/>
                <w:color w:val="auto"/>
              </w:rPr>
            </w:pPr>
            <w:r>
              <w:rPr>
                <w:rFonts w:ascii="Arial" w:cs="Arial" w:eastAsia="Arial" w:hAnsi="Arial"/>
                <w:sz w:val="16"/>
                <w:szCs w:val="16"/>
                <w:color w:val="auto"/>
              </w:rPr>
              <w:t>are exercisable within 60 days of</w:t>
            </w:r>
          </w:p>
        </w:tc>
        <w:tc>
          <w:tcPr>
            <w:tcW w:w="1400" w:type="dxa"/>
            <w:vAlign w:val="bottom"/>
          </w:tcPr>
          <w:p>
            <w:pPr>
              <w:jc w:val="right"/>
              <w:ind w:right="659"/>
              <w:spacing w:after="0"/>
              <w:rPr>
                <w:sz w:val="20"/>
                <w:szCs w:val="20"/>
                <w:color w:val="auto"/>
              </w:rPr>
            </w:pPr>
            <w:r>
              <w:rPr>
                <w:rFonts w:ascii="Arial" w:cs="Arial" w:eastAsia="Arial" w:hAnsi="Arial"/>
                <w:sz w:val="16"/>
                <w:szCs w:val="16"/>
                <w:color w:val="auto"/>
              </w:rPr>
              <w:t>, 2025.</w:t>
            </w:r>
          </w:p>
        </w:tc>
        <w:tc>
          <w:tcPr>
            <w:tcW w:w="4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5"/>
        </w:trPr>
        <w:tc>
          <w:tcPr>
            <w:tcW w:w="260" w:type="dxa"/>
            <w:vAlign w:val="bottom"/>
          </w:tcPr>
          <w:p>
            <w:pPr>
              <w:jc w:val="right"/>
              <w:spacing w:after="0"/>
              <w:rPr>
                <w:sz w:val="20"/>
                <w:szCs w:val="20"/>
                <w:color w:val="auto"/>
              </w:rPr>
            </w:pPr>
            <w:r>
              <w:rPr>
                <w:rFonts w:ascii="Arial" w:cs="Arial" w:eastAsia="Arial" w:hAnsi="Arial"/>
                <w:sz w:val="16"/>
                <w:szCs w:val="16"/>
                <w:color w:val="auto"/>
                <w:w w:val="91"/>
              </w:rPr>
              <w:t>(4)</w:t>
            </w: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Consists of</w:t>
            </w:r>
          </w:p>
        </w:tc>
        <w:tc>
          <w:tcPr>
            <w:tcW w:w="9660" w:type="dxa"/>
            <w:vAlign w:val="bottom"/>
            <w:gridSpan w:val="6"/>
          </w:tcPr>
          <w:p>
            <w:pPr>
              <w:jc w:val="right"/>
              <w:spacing w:after="0"/>
              <w:rPr>
                <w:sz w:val="20"/>
                <w:szCs w:val="20"/>
                <w:color w:val="auto"/>
              </w:rPr>
            </w:pPr>
            <w:r>
              <w:rPr>
                <w:rFonts w:ascii="Arial" w:cs="Arial" w:eastAsia="Arial" w:hAnsi="Arial"/>
                <w:sz w:val="16"/>
                <w:szCs w:val="16"/>
                <w:color w:val="auto"/>
              </w:rPr>
              <w:t>shares of Class A common stock held by entities affiliated with Andreessen Horowitz, as reflected in footnote 11, below. Mr. Horowitz,</w:t>
            </w:r>
          </w:p>
        </w:tc>
      </w:tr>
    </w:tbl>
    <w:p>
      <w:pPr>
        <w:jc w:val="both"/>
        <w:ind w:left="340" w:right="120"/>
        <w:spacing w:after="0" w:line="258" w:lineRule="auto"/>
        <w:rPr>
          <w:sz w:val="20"/>
          <w:szCs w:val="20"/>
          <w:color w:val="auto"/>
        </w:rPr>
      </w:pPr>
      <w:r>
        <w:rPr>
          <w:rFonts w:ascii="Arial" w:cs="Arial" w:eastAsia="Arial" w:hAnsi="Arial"/>
          <w:sz w:val="16"/>
          <w:szCs w:val="16"/>
          <w:color w:val="auto"/>
        </w:rPr>
        <w:t>a member of our board of directors, is a general partner of Andreessen Horowitz, and therefore, may be deemed to share voting and investment power with regard to the shares held directly by Andreessen Horowitz. The address for Mr. Horowitz is c/o Andreessen Horowitz, 2865 Sand Hill Road, Suite 101, Menlo Park, CA 94025.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type w:val="continuous"/>
        </w:sectPr>
      </w:pPr>
    </w:p>
    <w:bookmarkStart w:id="178" w:name="page179"/>
    <w:bookmarkEnd w:id="178"/>
    <w:p>
      <w:pPr>
        <w:spacing w:after="0" w:line="252" w:lineRule="exact"/>
        <w:rPr>
          <w:sz w:val="20"/>
          <w:szCs w:val="20"/>
          <w:color w:val="auto"/>
        </w:rPr>
      </w:pPr>
    </w:p>
    <w:p>
      <w:pPr>
        <w:ind w:left="340" w:right="80" w:hanging="323"/>
        <w:spacing w:after="0" w:line="259" w:lineRule="auto"/>
        <w:rPr>
          <w:sz w:val="20"/>
          <w:szCs w:val="20"/>
          <w:color w:val="auto"/>
        </w:rPr>
      </w:pPr>
      <w:r>
        <w:rPr>
          <w:rFonts w:ascii="Arial" w:cs="Arial" w:eastAsia="Arial" w:hAnsi="Arial"/>
          <w:sz w:val="16"/>
          <w:szCs w:val="16"/>
          <w:color w:val="auto"/>
        </w:rPr>
        <w:t>(5) Consists of</w:t>
      </w:r>
      <w:r>
        <w:rPr>
          <w:sz w:val="20"/>
          <w:szCs w:val="20"/>
          <w:color w:val="auto"/>
        </w:rPr>
        <w:t xml:space="preserve"> </w:t>
      </w:r>
      <w:r>
        <w:rPr>
          <w:rFonts w:ascii="Arial" w:cs="Arial" w:eastAsia="Arial" w:hAnsi="Arial"/>
          <w:sz w:val="16"/>
          <w:szCs w:val="16"/>
          <w:color w:val="auto"/>
        </w:rPr>
        <w:t>shares of Class A common stock held by entities affiliated with Lightspeed Venture Partners, as reflected in footnote 10, below. Mr. Janmohamed, a member of our board of directors, is a partner of Lightspeed Venture Partners, and therefore, may be deemed to share voting and investment power with regard to certain of the shares held directly by Lightspeed Venture Partners. The address for Mr. Janmohamed is c/o Lightspeed Venture Partners, 2200 Sand Hill Road, Menlo Park, CA 94025.</w:t>
      </w:r>
    </w:p>
    <w:tbl>
      <w:tblPr>
        <w:tblLayout w:type="fixed"/>
        <w:tblInd w:w="0" w:type="dxa"/>
        <w:tblCellMar>
          <w:top w:w="0" w:type="dxa"/>
          <w:left w:w="0" w:type="dxa"/>
          <w:bottom w:w="0" w:type="dxa"/>
          <w:right w:w="0" w:type="dxa"/>
        </w:tblCellMar>
      </w:tblPr>
      <w:tr>
        <w:trPr>
          <w:trHeight w:val="178"/>
        </w:trPr>
        <w:tc>
          <w:tcPr>
            <w:tcW w:w="260" w:type="dxa"/>
            <w:vAlign w:val="bottom"/>
          </w:tcPr>
          <w:p>
            <w:pPr>
              <w:jc w:val="right"/>
              <w:spacing w:after="0" w:line="178" w:lineRule="exact"/>
              <w:rPr>
                <w:sz w:val="20"/>
                <w:szCs w:val="20"/>
                <w:color w:val="auto"/>
              </w:rPr>
            </w:pPr>
            <w:r>
              <w:rPr>
                <w:rFonts w:ascii="Arial" w:cs="Arial" w:eastAsia="Arial" w:hAnsi="Arial"/>
                <w:sz w:val="16"/>
                <w:szCs w:val="16"/>
                <w:color w:val="auto"/>
                <w:w w:val="91"/>
              </w:rPr>
              <w:t>(6)</w:t>
            </w:r>
          </w:p>
        </w:tc>
        <w:tc>
          <w:tcPr>
            <w:tcW w:w="1180" w:type="dxa"/>
            <w:vAlign w:val="bottom"/>
          </w:tcPr>
          <w:p>
            <w:pPr>
              <w:ind w:left="60"/>
              <w:spacing w:after="0" w:line="178" w:lineRule="exact"/>
              <w:rPr>
                <w:sz w:val="20"/>
                <w:szCs w:val="20"/>
                <w:color w:val="auto"/>
              </w:rPr>
            </w:pPr>
            <w:r>
              <w:rPr>
                <w:rFonts w:ascii="Arial" w:cs="Arial" w:eastAsia="Arial" w:hAnsi="Arial"/>
                <w:sz w:val="16"/>
                <w:szCs w:val="16"/>
                <w:color w:val="auto"/>
              </w:rPr>
              <w:t>Consists of</w:t>
            </w:r>
          </w:p>
        </w:tc>
        <w:tc>
          <w:tcPr>
            <w:tcW w:w="9780" w:type="dxa"/>
            <w:vAlign w:val="bottom"/>
            <w:gridSpan w:val="2"/>
          </w:tcPr>
          <w:p>
            <w:pPr>
              <w:ind w:left="140"/>
              <w:spacing w:after="0" w:line="178" w:lineRule="exact"/>
              <w:rPr>
                <w:sz w:val="20"/>
                <w:szCs w:val="20"/>
                <w:color w:val="auto"/>
              </w:rPr>
            </w:pPr>
            <w:r>
              <w:rPr>
                <w:rFonts w:ascii="Arial" w:cs="Arial" w:eastAsia="Arial" w:hAnsi="Arial"/>
                <w:sz w:val="16"/>
                <w:szCs w:val="16"/>
                <w:color w:val="auto"/>
              </w:rPr>
              <w:t>shares of Class A common stock held by entities affiliated with Premji Invest. Mr. Patnam, who is a member of our board of directors, is</w:t>
            </w:r>
          </w:p>
        </w:tc>
      </w:tr>
      <w:tr>
        <w:trPr>
          <w:trHeight w:val="189"/>
        </w:trPr>
        <w:tc>
          <w:tcPr>
            <w:tcW w:w="260" w:type="dxa"/>
            <w:vAlign w:val="bottom"/>
          </w:tcPr>
          <w:p>
            <w:pPr>
              <w:spacing w:after="0"/>
              <w:rPr>
                <w:sz w:val="16"/>
                <w:szCs w:val="16"/>
                <w:color w:val="auto"/>
              </w:rPr>
            </w:pPr>
          </w:p>
        </w:tc>
        <w:tc>
          <w:tcPr>
            <w:tcW w:w="10960" w:type="dxa"/>
            <w:vAlign w:val="bottom"/>
            <w:gridSpan w:val="3"/>
          </w:tcPr>
          <w:p>
            <w:pPr>
              <w:ind w:left="80"/>
              <w:spacing w:after="0"/>
              <w:rPr>
                <w:sz w:val="20"/>
                <w:szCs w:val="20"/>
                <w:color w:val="auto"/>
              </w:rPr>
            </w:pPr>
            <w:r>
              <w:rPr>
                <w:rFonts w:ascii="Arial" w:cs="Arial" w:eastAsia="Arial" w:hAnsi="Arial"/>
                <w:sz w:val="16"/>
                <w:szCs w:val="16"/>
                <w:color w:val="auto"/>
              </w:rPr>
              <w:t>the managing partner of Premji Invest and therefore, may be deemed to share voting and investment power with regard to the shares held by Premji</w:t>
            </w:r>
          </w:p>
        </w:tc>
      </w:tr>
      <w:tr>
        <w:trPr>
          <w:trHeight w:val="203"/>
        </w:trPr>
        <w:tc>
          <w:tcPr>
            <w:tcW w:w="260" w:type="dxa"/>
            <w:vAlign w:val="bottom"/>
          </w:tcPr>
          <w:p>
            <w:pPr>
              <w:spacing w:after="0"/>
              <w:rPr>
                <w:sz w:val="17"/>
                <w:szCs w:val="17"/>
                <w:color w:val="auto"/>
              </w:rPr>
            </w:pPr>
          </w:p>
        </w:tc>
        <w:tc>
          <w:tcPr>
            <w:tcW w:w="10960" w:type="dxa"/>
            <w:vAlign w:val="bottom"/>
            <w:gridSpan w:val="3"/>
          </w:tcPr>
          <w:p>
            <w:pPr>
              <w:ind w:left="80"/>
              <w:spacing w:after="0"/>
              <w:rPr>
                <w:sz w:val="20"/>
                <w:szCs w:val="20"/>
                <w:color w:val="auto"/>
              </w:rPr>
            </w:pPr>
            <w:r>
              <w:rPr>
                <w:rFonts w:ascii="Arial" w:cs="Arial" w:eastAsia="Arial" w:hAnsi="Arial"/>
                <w:sz w:val="16"/>
                <w:szCs w:val="16"/>
                <w:color w:val="auto"/>
              </w:rPr>
              <w:t>Invest. The address for Premji Invest is 2180 Sand Hill Road, Suite 100, Menlo Park, CA 94025.</w:t>
            </w:r>
          </w:p>
        </w:tc>
      </w:tr>
      <w:tr>
        <w:trPr>
          <w:trHeight w:val="205"/>
        </w:trPr>
        <w:tc>
          <w:tcPr>
            <w:tcW w:w="260" w:type="dxa"/>
            <w:vAlign w:val="bottom"/>
          </w:tcPr>
          <w:p>
            <w:pPr>
              <w:jc w:val="right"/>
              <w:spacing w:after="0"/>
              <w:rPr>
                <w:sz w:val="20"/>
                <w:szCs w:val="20"/>
                <w:color w:val="auto"/>
              </w:rPr>
            </w:pPr>
            <w:r>
              <w:rPr>
                <w:rFonts w:ascii="Arial" w:cs="Arial" w:eastAsia="Arial" w:hAnsi="Arial"/>
                <w:sz w:val="16"/>
                <w:szCs w:val="16"/>
                <w:color w:val="auto"/>
                <w:w w:val="91"/>
              </w:rPr>
              <w:t>(7)</w:t>
            </w:r>
          </w:p>
        </w:tc>
        <w:tc>
          <w:tcPr>
            <w:tcW w:w="1180" w:type="dxa"/>
            <w:vAlign w:val="bottom"/>
          </w:tcPr>
          <w:p>
            <w:pPr>
              <w:ind w:left="60"/>
              <w:spacing w:after="0"/>
              <w:rPr>
                <w:sz w:val="20"/>
                <w:szCs w:val="20"/>
                <w:color w:val="auto"/>
              </w:rPr>
            </w:pPr>
            <w:r>
              <w:rPr>
                <w:rFonts w:ascii="Arial" w:cs="Arial" w:eastAsia="Arial" w:hAnsi="Arial"/>
                <w:sz w:val="16"/>
                <w:szCs w:val="16"/>
                <w:color w:val="auto"/>
              </w:rPr>
              <w:t>Consists of (i)</w:t>
            </w:r>
          </w:p>
        </w:tc>
        <w:tc>
          <w:tcPr>
            <w:tcW w:w="3580" w:type="dxa"/>
            <w:vAlign w:val="bottom"/>
          </w:tcPr>
          <w:p>
            <w:pPr>
              <w:ind w:left="320"/>
              <w:spacing w:after="0"/>
              <w:rPr>
                <w:sz w:val="20"/>
                <w:szCs w:val="20"/>
                <w:color w:val="auto"/>
              </w:rPr>
            </w:pPr>
            <w:r>
              <w:rPr>
                <w:rFonts w:ascii="Arial" w:cs="Arial" w:eastAsia="Arial" w:hAnsi="Arial"/>
                <w:sz w:val="16"/>
                <w:szCs w:val="16"/>
                <w:color w:val="auto"/>
              </w:rPr>
              <w:t>shares of Class A common stock, and (ii)</w:t>
            </w:r>
          </w:p>
        </w:tc>
        <w:tc>
          <w:tcPr>
            <w:tcW w:w="6200" w:type="dxa"/>
            <w:vAlign w:val="bottom"/>
          </w:tcPr>
          <w:p>
            <w:pPr>
              <w:ind w:left="320"/>
              <w:spacing w:after="0"/>
              <w:rPr>
                <w:sz w:val="20"/>
                <w:szCs w:val="20"/>
                <w:color w:val="auto"/>
              </w:rPr>
            </w:pPr>
            <w:r>
              <w:rPr>
                <w:rFonts w:ascii="Arial" w:cs="Arial" w:eastAsia="Arial" w:hAnsi="Arial"/>
                <w:sz w:val="16"/>
                <w:szCs w:val="16"/>
                <w:color w:val="auto"/>
              </w:rPr>
              <w:t>shares of Class A common stock held by entities affiliated with Zeev Ventures, as</w:t>
            </w:r>
          </w:p>
        </w:tc>
      </w:tr>
    </w:tbl>
    <w:p>
      <w:pPr>
        <w:ind w:left="340" w:right="120"/>
        <w:spacing w:after="0" w:line="252" w:lineRule="auto"/>
        <w:rPr>
          <w:sz w:val="20"/>
          <w:szCs w:val="20"/>
          <w:color w:val="auto"/>
        </w:rPr>
      </w:pPr>
      <w:r>
        <w:rPr>
          <w:rFonts w:ascii="Arial" w:cs="Arial" w:eastAsia="Arial" w:hAnsi="Arial"/>
          <w:sz w:val="16"/>
          <w:szCs w:val="16"/>
          <w:color w:val="auto"/>
        </w:rPr>
        <w:t>reflected in footnote 12, below. Oren Zeev, a member of our board of directors, is the sole general partner of Zeev Ventures, and therefore, may be deemed to have voting and investment power with regard to the shares held directly by Zeev Ventures. The address for Mr. Zeev is c/o Zeev Ventures, 555 Bryant Street, Suite 811, Palo Alto, CA 94301.</w:t>
      </w:r>
    </w:p>
    <w:p>
      <w:pPr>
        <w:spacing w:after="0" w:line="1" w:lineRule="exact"/>
        <w:rPr>
          <w:sz w:val="20"/>
          <w:szCs w:val="20"/>
          <w:color w:val="auto"/>
        </w:rPr>
      </w:pPr>
    </w:p>
    <w:p>
      <w:pPr>
        <w:spacing w:after="0"/>
        <w:tabs>
          <w:tab w:leader="none" w:pos="1740" w:val="left"/>
          <w:tab w:leader="none" w:pos="5180" w:val="left"/>
        </w:tabs>
        <w:rPr>
          <w:sz w:val="20"/>
          <w:szCs w:val="20"/>
          <w:color w:val="auto"/>
        </w:rPr>
      </w:pPr>
      <w:r>
        <w:rPr>
          <w:rFonts w:ascii="Arial" w:cs="Arial" w:eastAsia="Arial" w:hAnsi="Arial"/>
          <w:sz w:val="16"/>
          <w:szCs w:val="16"/>
          <w:color w:val="auto"/>
        </w:rPr>
        <w:t>(8)  Consists of (i)</w:t>
      </w:r>
      <w:r>
        <w:rPr>
          <w:sz w:val="20"/>
          <w:szCs w:val="20"/>
          <w:color w:val="auto"/>
        </w:rPr>
        <w:tab/>
      </w:r>
      <w:r>
        <w:rPr>
          <w:rFonts w:ascii="Arial" w:cs="Arial" w:eastAsia="Arial" w:hAnsi="Arial"/>
          <w:sz w:val="16"/>
          <w:szCs w:val="16"/>
          <w:color w:val="auto"/>
        </w:rPr>
        <w:t>shares of Class A common stock, and (ii)</w:t>
      </w:r>
      <w:r>
        <w:rPr>
          <w:sz w:val="20"/>
          <w:szCs w:val="20"/>
          <w:color w:val="auto"/>
        </w:rPr>
        <w:tab/>
      </w:r>
      <w:r>
        <w:rPr>
          <w:rFonts w:ascii="Arial" w:cs="Arial" w:eastAsia="Arial" w:hAnsi="Arial"/>
          <w:sz w:val="16"/>
          <w:szCs w:val="16"/>
          <w:color w:val="auto"/>
        </w:rPr>
        <w:t>shares underlying stock options to purchase shares of Class A common stock that</w:t>
      </w:r>
    </w:p>
    <w:p>
      <w:pPr>
        <w:sectPr>
          <w:pgSz w:w="11900" w:h="16838" w:orient="portrait"/>
          <w:cols w:equalWidth="0" w:num="1">
            <w:col w:w="11220"/>
          </w:cols>
          <w:pgMar w:left="320" w:top="1440" w:right="359" w:bottom="1440" w:gutter="0" w:footer="0" w:header="0"/>
        </w:sectPr>
      </w:pPr>
    </w:p>
    <w:p>
      <w:pPr>
        <w:spacing w:after="0" w:line="15" w:lineRule="exact"/>
        <w:rPr>
          <w:sz w:val="20"/>
          <w:szCs w:val="20"/>
          <w:color w:val="auto"/>
        </w:rPr>
      </w:pPr>
    </w:p>
    <w:p>
      <w:pPr>
        <w:ind w:left="340"/>
        <w:spacing w:after="0"/>
        <w:tabs>
          <w:tab w:leader="none" w:pos="3160" w:val="left"/>
        </w:tabs>
        <w:rPr>
          <w:sz w:val="20"/>
          <w:szCs w:val="20"/>
          <w:color w:val="auto"/>
        </w:rPr>
      </w:pPr>
      <w:r>
        <w:rPr>
          <w:rFonts w:ascii="Arial" w:cs="Arial" w:eastAsia="Arial" w:hAnsi="Arial"/>
          <w:sz w:val="16"/>
          <w:szCs w:val="16"/>
          <w:color w:val="auto"/>
        </w:rPr>
        <w:t>are exercisable within 60 days of</w:t>
      </w:r>
      <w:r>
        <w:rPr>
          <w:sz w:val="20"/>
          <w:szCs w:val="20"/>
          <w:color w:val="auto"/>
        </w:rPr>
        <w:tab/>
      </w:r>
      <w:r>
        <w:rPr>
          <w:rFonts w:ascii="Arial" w:cs="Arial" w:eastAsia="Arial" w:hAnsi="Arial"/>
          <w:sz w:val="16"/>
          <w:szCs w:val="16"/>
          <w:color w:val="auto"/>
        </w:rPr>
        <w:t>, 2025.</w:t>
      </w:r>
    </w:p>
    <w:p>
      <w:pPr>
        <w:spacing w:after="0" w:line="9" w:lineRule="exact"/>
        <w:rPr>
          <w:sz w:val="20"/>
          <w:szCs w:val="20"/>
          <w:color w:val="auto"/>
        </w:rPr>
      </w:pPr>
    </w:p>
    <w:p>
      <w:pPr>
        <w:spacing w:after="0"/>
        <w:tabs>
          <w:tab w:leader="none" w:pos="1740" w:val="left"/>
          <w:tab w:leader="none" w:pos="4920" w:val="left"/>
        </w:tabs>
        <w:rPr>
          <w:sz w:val="20"/>
          <w:szCs w:val="20"/>
          <w:color w:val="auto"/>
        </w:rPr>
      </w:pPr>
      <w:r>
        <w:rPr>
          <w:rFonts w:ascii="Arial" w:cs="Arial" w:eastAsia="Arial" w:hAnsi="Arial"/>
          <w:sz w:val="16"/>
          <w:szCs w:val="16"/>
          <w:color w:val="auto"/>
        </w:rPr>
        <w:t>(9)  Consists of (i)</w:t>
      </w:r>
      <w:r>
        <w:rPr>
          <w:sz w:val="20"/>
          <w:szCs w:val="20"/>
          <w:color w:val="auto"/>
        </w:rPr>
        <w:tab/>
      </w:r>
      <w:r>
        <w:rPr>
          <w:rFonts w:ascii="Arial" w:cs="Arial" w:eastAsia="Arial" w:hAnsi="Arial"/>
          <w:sz w:val="16"/>
          <w:szCs w:val="16"/>
          <w:color w:val="auto"/>
        </w:rPr>
        <w:t>shares of Class A common stock, (ii)</w:t>
      </w:r>
      <w:r>
        <w:rPr>
          <w:sz w:val="20"/>
          <w:szCs w:val="20"/>
          <w:color w:val="auto"/>
        </w:rPr>
        <w:tab/>
      </w:r>
      <w:r>
        <w:rPr>
          <w:rFonts w:ascii="Arial" w:cs="Arial" w:eastAsia="Arial" w:hAnsi="Arial"/>
          <w:sz w:val="16"/>
          <w:szCs w:val="16"/>
          <w:color w:val="auto"/>
        </w:rPr>
        <w:t>shares of Class B common stock, (iii)</w:t>
      </w:r>
    </w:p>
    <w:p>
      <w:pPr>
        <w:spacing w:after="0" w:line="5" w:lineRule="exact"/>
        <w:rPr>
          <w:sz w:val="20"/>
          <w:szCs w:val="20"/>
          <w:color w:val="auto"/>
        </w:rPr>
      </w:pPr>
    </w:p>
    <w:p>
      <w:pPr>
        <w:ind w:left="340"/>
        <w:spacing w:after="0"/>
        <w:tabs>
          <w:tab w:leader="none" w:pos="6760" w:val="left"/>
        </w:tabs>
        <w:rPr>
          <w:sz w:val="20"/>
          <w:szCs w:val="20"/>
          <w:color w:val="auto"/>
        </w:rPr>
      </w:pPr>
      <w:r>
        <w:rPr>
          <w:rFonts w:ascii="Arial" w:cs="Arial" w:eastAsia="Arial" w:hAnsi="Arial"/>
          <w:sz w:val="16"/>
          <w:szCs w:val="16"/>
          <w:color w:val="auto"/>
        </w:rPr>
        <w:t>purchase shares of Class A common stock that are exercisable within 60 days of</w:t>
      </w:r>
      <w:r>
        <w:rPr>
          <w:sz w:val="20"/>
          <w:szCs w:val="20"/>
          <w:color w:val="auto"/>
        </w:rPr>
        <w:tab/>
      </w:r>
      <w:r>
        <w:rPr>
          <w:rFonts w:ascii="Arial" w:cs="Arial" w:eastAsia="Arial" w:hAnsi="Arial"/>
          <w:sz w:val="16"/>
          <w:szCs w:val="16"/>
          <w:color w:val="auto"/>
        </w:rPr>
        <w:t>, 2025, and (iv)</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40" w:hanging="266"/>
        <w:spacing w:after="0" w:line="263" w:lineRule="auto"/>
        <w:rPr>
          <w:sz w:val="20"/>
          <w:szCs w:val="20"/>
          <w:color w:val="auto"/>
        </w:rPr>
      </w:pPr>
      <w:r>
        <w:rPr>
          <w:rFonts w:ascii="Arial" w:cs="Arial" w:eastAsia="Arial" w:hAnsi="Arial"/>
          <w:sz w:val="16"/>
          <w:szCs w:val="16"/>
          <w:color w:val="auto"/>
        </w:rPr>
        <w:t>shares underlying stock options to shares underlying stock options to</w:t>
      </w:r>
    </w:p>
    <w:p>
      <w:pPr>
        <w:spacing w:after="0" w:line="1" w:lineRule="exact"/>
        <w:rPr>
          <w:sz w:val="20"/>
          <w:szCs w:val="20"/>
          <w:color w:val="auto"/>
        </w:rPr>
      </w:pPr>
    </w:p>
    <w:p>
      <w:pPr>
        <w:sectPr>
          <w:pgSz w:w="11900" w:h="16838" w:orient="portrait"/>
          <w:cols w:equalWidth="0" w:num="2">
            <w:col w:w="7920" w:space="720"/>
            <w:col w:w="2580"/>
          </w:cols>
          <w:pgMar w:left="320" w:top="1440" w:right="3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purchase shares of Class A common stock that are exchangeable for shares of Class B common stock pursuant to the Equity Exchange Rights and that</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are exercisable within 60 days of</w:t>
            </w:r>
          </w:p>
        </w:tc>
        <w:tc>
          <w:tcPr>
            <w:tcW w:w="840" w:type="dxa"/>
            <w:vAlign w:val="bottom"/>
          </w:tcPr>
          <w:p>
            <w:pPr>
              <w:jc w:val="right"/>
              <w:spacing w:after="0"/>
              <w:rPr>
                <w:sz w:val="20"/>
                <w:szCs w:val="20"/>
                <w:color w:val="auto"/>
              </w:rPr>
            </w:pPr>
            <w:r>
              <w:rPr>
                <w:rFonts w:ascii="Arial" w:cs="Arial" w:eastAsia="Arial" w:hAnsi="Arial"/>
                <w:sz w:val="16"/>
                <w:szCs w:val="16"/>
                <w:color w:val="auto"/>
              </w:rPr>
              <w:t>, 2025.</w:t>
            </w:r>
          </w:p>
        </w:tc>
      </w:tr>
    </w:tbl>
    <w:p>
      <w:pPr>
        <w:ind w:left="340" w:hanging="332"/>
        <w:spacing w:after="0" w:line="252" w:lineRule="auto"/>
        <w:tabs>
          <w:tab w:leader="none" w:pos="33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Consists of (i) shares of Class A common stock held by Lightspeed Venture Partners X, L.P., or Lightspeed X, (ii) shares of Class A common stock held by Lightspeed Affiliates X, L.P., or Lightspeed Affiliates X, (iii) shares of Class A common stock held by Lightspeed Opportunity Fund, L.P., or Lightspeed Opportunity, (iv) shares of Class A common stock held by Lightspeed Strategic Partners I, L.P., or Lightspeed Strategic Partners, (v) shares of Class A common stock held by Lightspeed Venture Partners Select II, L.P., or Lightspeed Select II, and (vi) shares of Class A common stock held by Lightspeed Venture Partners Select III, L.P., or Lightspeed Select III. Lightspeed Ultimate General Partner X, Ltd., or LUGP X, serves as the sole general partner of Lightspeed General Partner X, L.P. which serves as the sole general partner of Lightspeed X and Lightspeed Affiliates X. Lightspeed Ultimate General Partner Opportunity Fund, Ltd., or LUGP Opportunity Fund, serves as the sole general partner of Lightspeed General Partner Opportunity Fund, L.P., which serves as the sole general partner of Lightspeed Opportunity. Lightspeed Strategic Partners Ultimate General Partner I, L.L.C., or LSP UGP, serves as the sole general partner of Lightspeed Strategic Partners General Partner I L.P., which serves as the sole general partner of Lightspeed Strategic Partners. Lightspeed Ultimate General Partner Select II, Ltd., or LUGP Select II, serves as the sole general partner of Lightspeed General Partner Select II, L.P., which serves as the sole general partner of Lightspeed Select II. Lightspeed Ultimate General Partner Select III, Ltd., or LUGP Select III, serves as the sole general partner of Lightspeed General Partner Select III, L.P., which serves as the sole general partner of Lightspeed Select III. Barry Eggers, Ravi Mhatre, and Peter Nieh are the directors of LUGP X, LUGP Select II, and LUGP Select III and share voting and dispositive power over the securities held by Lightspeed X, Lightspeed Affiliates X, Lightspeed Select II, and Lightspeed Select III, respectively. Arif Janmohamed, who is a member of our board of directors, and Mr. Mhatre are the directors of LUGP Opportunity Fund and the managers of LSP UGP and share voting and dispositive power over the securities held by Lightspeed Opportunity and Lightspeed Strategic Partners, respectively. The address of each of the aforementioned entities is 2200 Sand Hill Road, Menlo Park, CA 94025.</w:t>
      </w:r>
    </w:p>
    <w:p>
      <w:pPr>
        <w:spacing w:after="0" w:line="9" w:lineRule="exact"/>
        <w:rPr>
          <w:rFonts w:ascii="Arial" w:cs="Arial" w:eastAsia="Arial" w:hAnsi="Arial"/>
          <w:sz w:val="16"/>
          <w:szCs w:val="16"/>
          <w:color w:val="auto"/>
        </w:rPr>
      </w:pPr>
    </w:p>
    <w:p>
      <w:pPr>
        <w:jc w:val="both"/>
        <w:ind w:left="340" w:right="240" w:hanging="332"/>
        <w:spacing w:after="0" w:line="255" w:lineRule="auto"/>
        <w:tabs>
          <w:tab w:leader="none" w:pos="31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Consists of (i)shares of Class A common stock held by Andreessen Horowitz LSV Fund I, L.P., or AH LSV Fund I, for itself and as nominee for Andreessen Horowitz LSV Fund I-B, L.P., or AH LSV Fund I-B, and Andreessen Horowitz LSV Fund I-Q, L.P., or AH LSV Fund I-Q, and together with</w:t>
      </w:r>
    </w:p>
    <w:p>
      <w:pPr>
        <w:ind w:left="340" w:right="20"/>
        <w:spacing w:after="0" w:line="252" w:lineRule="auto"/>
        <w:rPr>
          <w:rFonts w:ascii="Arial" w:cs="Arial" w:eastAsia="Arial" w:hAnsi="Arial"/>
          <w:sz w:val="16"/>
          <w:szCs w:val="16"/>
          <w:color w:val="auto"/>
        </w:rPr>
      </w:pPr>
      <w:r>
        <w:rPr>
          <w:rFonts w:ascii="Arial" w:cs="Arial" w:eastAsia="Arial" w:hAnsi="Arial"/>
          <w:sz w:val="16"/>
          <w:szCs w:val="16"/>
          <w:color w:val="auto"/>
        </w:rPr>
        <w:t>AH LSV Fund I and AH LSV Fund I-B, the AH LSV Fund I Entities, (ii) shares of Class A common stock held by Andreessen Horowitz LSV Fund II, L.P., or AH LSV Fund II, for itself and as nominee for Andreessen Horowitz LSV Fund II-B, L.P., or AH LSV Fund II-B, and Andreessen Horowitz LSV</w:t>
      </w:r>
    </w:p>
    <w:p>
      <w:pPr>
        <w:spacing w:after="0" w:line="1" w:lineRule="exact"/>
        <w:rPr>
          <w:sz w:val="20"/>
          <w:szCs w:val="20"/>
          <w:color w:val="auto"/>
        </w:rPr>
      </w:pPr>
    </w:p>
    <w:p>
      <w:pPr>
        <w:ind w:left="340" w:right="20"/>
        <w:spacing w:after="0" w:line="194" w:lineRule="exact"/>
        <w:rPr>
          <w:sz w:val="20"/>
          <w:szCs w:val="20"/>
          <w:color w:val="auto"/>
        </w:rPr>
      </w:pPr>
      <w:r>
        <w:rPr>
          <w:rFonts w:ascii="Arial" w:cs="Arial" w:eastAsia="Arial" w:hAnsi="Arial"/>
          <w:sz w:val="16"/>
          <w:szCs w:val="16"/>
          <w:color w:val="auto"/>
        </w:rPr>
        <w:t>Fund II-Q, L.P., or AH LSV Fund II-Q, and together with AH LSV Fund II and AH LSV Fund II-B, the AH LSV Fund II Entities, (iii) shares of Class A common stock held by Andreessen Horowitz LSV Fund III, L.P., or AH LSV Fund III, for itself and as nominee for Andreessen Horowitz LSV Fund III-B, L.P., or AH LSV Fund III-B, AH 2022 Annual Fund, L.P., or AH 2022 Annual Fund, AH 2022 Annual Fund</w:t>
      </w:r>
      <w:r>
        <w:rPr>
          <w:rFonts w:ascii="MS PGothic" w:cs="MS PGothic" w:eastAsia="MS PGothic" w:hAnsi="MS PGothic"/>
          <w:sz w:val="16"/>
          <w:szCs w:val="16"/>
          <w:color w:val="auto"/>
        </w:rPr>
        <w:t>‑</w:t>
      </w:r>
      <w:r>
        <w:rPr>
          <w:rFonts w:ascii="Arial" w:cs="Arial" w:eastAsia="Arial" w:hAnsi="Arial"/>
          <w:sz w:val="16"/>
          <w:szCs w:val="16"/>
          <w:color w:val="auto"/>
        </w:rPr>
        <w:t>B, L.P., or AH 2022 Annual Fund-B, and AH 2022 Annual Fund</w:t>
      </w:r>
      <w:r>
        <w:rPr>
          <w:rFonts w:ascii="MS PGothic" w:cs="MS PGothic" w:eastAsia="MS PGothic" w:hAnsi="MS PGothic"/>
          <w:sz w:val="16"/>
          <w:szCs w:val="16"/>
          <w:color w:val="auto"/>
        </w:rPr>
        <w:t>‑</w:t>
      </w:r>
      <w:r>
        <w:rPr>
          <w:rFonts w:ascii="Arial" w:cs="Arial" w:eastAsia="Arial" w:hAnsi="Arial"/>
          <w:sz w:val="16"/>
          <w:szCs w:val="16"/>
          <w:color w:val="auto"/>
        </w:rPr>
        <w:t>QC, L.P., or AH 2022 Annual Fund-QC, and together with AH LSV Fund III, AH LSV Fund III-B, AH 2022 Annual Fund, and AH 2022</w:t>
      </w:r>
    </w:p>
    <w:p>
      <w:pPr>
        <w:spacing w:after="0" w:line="1" w:lineRule="exact"/>
        <w:rPr>
          <w:sz w:val="20"/>
          <w:szCs w:val="20"/>
          <w:color w:val="auto"/>
        </w:rPr>
      </w:pPr>
    </w:p>
    <w:p>
      <w:pPr>
        <w:ind w:left="340" w:right="40"/>
        <w:spacing w:after="0" w:line="255" w:lineRule="auto"/>
        <w:rPr>
          <w:sz w:val="20"/>
          <w:szCs w:val="20"/>
          <w:color w:val="auto"/>
        </w:rPr>
      </w:pPr>
      <w:r>
        <w:rPr>
          <w:rFonts w:ascii="Arial" w:cs="Arial" w:eastAsia="Arial" w:hAnsi="Arial"/>
          <w:sz w:val="16"/>
          <w:szCs w:val="16"/>
          <w:color w:val="auto"/>
        </w:rPr>
        <w:t>Annual Fund-B, the AH LSV Fund III Entities, (iv) shares of Class A common stock held by Andreessen Horowitz Fund V, L.P., or AH Fund V, for itself and as nominee for Andreessen Horowitz Fund V-A, L.P., or AH Fund V-A, Andreessen Horowitz Fund V-B, L.P., or AH Fund V-B, and Andreessen</w:t>
      </w:r>
    </w:p>
    <w:p>
      <w:pPr>
        <w:spacing w:after="0" w:line="1" w:lineRule="exact"/>
        <w:rPr>
          <w:sz w:val="20"/>
          <w:szCs w:val="20"/>
          <w:color w:val="auto"/>
        </w:rPr>
      </w:pPr>
    </w:p>
    <w:p>
      <w:pPr>
        <w:ind w:left="340"/>
        <w:spacing w:after="0"/>
        <w:tabs>
          <w:tab w:leader="none" w:pos="10240" w:val="left"/>
        </w:tabs>
        <w:rPr>
          <w:sz w:val="20"/>
          <w:szCs w:val="20"/>
          <w:color w:val="auto"/>
        </w:rPr>
      </w:pPr>
      <w:r>
        <w:rPr>
          <w:rFonts w:ascii="Arial" w:cs="Arial" w:eastAsia="Arial" w:hAnsi="Arial"/>
          <w:sz w:val="16"/>
          <w:szCs w:val="16"/>
          <w:color w:val="auto"/>
        </w:rPr>
        <w:t>Horowitz Fund V-Q, L.P., or AH Fund V-Q, and together with AH Fund V, AH Fund V-A and AH Fund V-B, the AH Fund V Entities, (v)</w:t>
      </w:r>
      <w:r>
        <w:rPr>
          <w:sz w:val="20"/>
          <w:szCs w:val="20"/>
          <w:color w:val="auto"/>
        </w:rPr>
        <w:tab/>
      </w:r>
      <w:r>
        <w:rPr>
          <w:rFonts w:ascii="Arial" w:cs="Arial" w:eastAsia="Arial" w:hAnsi="Arial"/>
          <w:sz w:val="16"/>
          <w:szCs w:val="16"/>
          <w:color w:val="auto"/>
        </w:rPr>
        <w:t>shares of</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Class A common stock held by AH Parallel Fund V, L.P., or AH Parallel Fund V, for itself and as nominee for AH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1440" w:right="359" w:bottom="1440" w:gutter="0" w:footer="0" w:header="0"/>
          <w:type w:val="continuous"/>
        </w:sectPr>
      </w:pPr>
    </w:p>
    <w:bookmarkStart w:id="179" w:name="page180"/>
    <w:bookmarkEnd w:id="179"/>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Parallel Fund V-A, L.P., or AH Parallel Fund V-A, AH Parallel Fund V-B, L.P., or AH Parallel Fund V-B, and AH Parallel Fund V-Q, L.P., or AH Parallel</w:t>
      </w:r>
    </w:p>
    <w:p>
      <w:pPr>
        <w:spacing w:after="0" w:line="21" w:lineRule="exact"/>
        <w:rPr>
          <w:sz w:val="20"/>
          <w:szCs w:val="20"/>
          <w:color w:val="auto"/>
        </w:rPr>
      </w:pPr>
    </w:p>
    <w:p>
      <w:pPr>
        <w:ind w:left="340" w:right="60"/>
        <w:spacing w:after="0" w:line="253" w:lineRule="auto"/>
        <w:rPr>
          <w:sz w:val="20"/>
          <w:szCs w:val="20"/>
          <w:color w:val="auto"/>
        </w:rPr>
      </w:pPr>
      <w:r>
        <w:rPr>
          <w:rFonts w:ascii="Arial" w:cs="Arial" w:eastAsia="Arial" w:hAnsi="Arial"/>
          <w:sz w:val="16"/>
          <w:szCs w:val="16"/>
          <w:color w:val="auto"/>
        </w:rPr>
        <w:t>Fund V-Q, and together with AH Parallel Fund V, AH Parallel Fund V-A and AH Parallel Fund V-B, the AH Parallel Fund V Entities, and (vi) shares of Class A common stock held by CLF Partners, LP, or CLF. AH Equity Partners LSV I, L.L.C., or AH EP LSV I, the general partner of the AH LSV Fund I Entities, may be deemed to have sole voting and dispositive power over the securities held by the AH LSV Fund I Entities. AH Equity Partners LSV II, L.L.C., or AH EP LSV II, the general partner of the AH LSV Fund II Entities, may be deemed to have sole voting and dispositive power over the securities held by the AH LSV Fund II Entities. AH Equity Partners LSV III, L.L.C., or AH EP LSV III, the general partner of the AH LSV Fund III Entities, may be deemed to have sole voting and dispositive power over the securities held by the AH LSV Fund III Entities. AH Equity Partners V, L.L.C., or AH EP V, the general partner of the AH Fund V Entities, may be deemed to have sole voting and dispositive power over the securities held by the AH Fund V Entities. AH Equity Partners V (Parallel), L.L.C., or AH EP V Parallel, the general partner of the AH Parallel Fund V Entities, may be deemed to have sole voting and dispositive power over the securities held by the AH Parallel Fund V Entities. AH EP V, the general partner of CLF, may be deemed to have sole voting and dispositive power over the securities held by CLF. The managing members of each of AH EP LSV I, AH EP LSV II, AH EP LSV III, AH EP V, and AH EP V Parallel are Marc Andreessen and Benjamin Horowitz. Each of Messrs. Andreessen and Horowitz may be deemed to hold shared voting and dispositive power with respect to the securities held by each of the AH LSV Fund I Entities, AH LSV Fund II Entities, AH LSV Fund III Entities, AH Fund V Entities, AH Parallel Fund V Entities, and CLF. The address of each of the aforementioned entities is 2865 Sand Hill Road, Suite 101, Menlo Park, CA 94025.</w:t>
      </w:r>
    </w:p>
    <w:p>
      <w:pPr>
        <w:spacing w:after="0" w:line="8" w:lineRule="exact"/>
        <w:rPr>
          <w:sz w:val="20"/>
          <w:szCs w:val="20"/>
          <w:color w:val="auto"/>
        </w:rPr>
      </w:pPr>
    </w:p>
    <w:p>
      <w:pPr>
        <w:jc w:val="right"/>
        <w:ind w:right="20"/>
        <w:spacing w:after="0" w:line="255" w:lineRule="auto"/>
        <w:rPr>
          <w:sz w:val="20"/>
          <w:szCs w:val="20"/>
          <w:color w:val="auto"/>
        </w:rPr>
      </w:pPr>
      <w:r>
        <w:rPr>
          <w:rFonts w:ascii="Arial" w:cs="Arial" w:eastAsia="Arial" w:hAnsi="Arial"/>
          <w:sz w:val="16"/>
          <w:szCs w:val="16"/>
          <w:color w:val="auto"/>
        </w:rPr>
        <w:t>(12) Consists of (i)       shares of Class A common stock held by Zeev Opportunity Fund I, LP, or Zeev I, (ii)       shares of Class A common stock held by Zeev Ventures II, LP, or Zeev II, (iii)       shares of Class A common stock held by Zeev Ventures II-A, LP, or Zeev II-A, (iv)       shares of Class</w:t>
      </w:r>
    </w:p>
    <w:p>
      <w:pPr>
        <w:spacing w:after="0" w:line="1" w:lineRule="exact"/>
        <w:rPr>
          <w:sz w:val="20"/>
          <w:szCs w:val="20"/>
          <w:color w:val="auto"/>
        </w:rPr>
      </w:pPr>
    </w:p>
    <w:p>
      <w:pPr>
        <w:ind w:left="340"/>
        <w:spacing w:after="0"/>
        <w:tabs>
          <w:tab w:leader="none" w:pos="5300" w:val="left"/>
        </w:tabs>
        <w:rPr>
          <w:sz w:val="20"/>
          <w:szCs w:val="20"/>
          <w:color w:val="auto"/>
        </w:rPr>
      </w:pPr>
      <w:r>
        <w:rPr>
          <w:rFonts w:ascii="Arial" w:cs="Arial" w:eastAsia="Arial" w:hAnsi="Arial"/>
          <w:sz w:val="16"/>
          <w:szCs w:val="16"/>
          <w:color w:val="auto"/>
        </w:rPr>
        <w:t>A common stock held by Zeev Ventures III, LP, or Zeev III, (v)</w:t>
      </w:r>
      <w:r>
        <w:rPr>
          <w:sz w:val="20"/>
          <w:szCs w:val="20"/>
          <w:color w:val="auto"/>
        </w:rPr>
        <w:tab/>
      </w:r>
      <w:r>
        <w:rPr>
          <w:rFonts w:ascii="Arial" w:cs="Arial" w:eastAsia="Arial" w:hAnsi="Arial"/>
          <w:sz w:val="16"/>
          <w:szCs w:val="16"/>
          <w:color w:val="auto"/>
        </w:rPr>
        <w:t>shares of Class A common stock held by Zeev Ventures IV, LP, or Zeev IV,</w:t>
      </w:r>
    </w:p>
    <w:p>
      <w:pPr>
        <w:spacing w:after="0" w:line="9" w:lineRule="exact"/>
        <w:rPr>
          <w:sz w:val="20"/>
          <w:szCs w:val="20"/>
          <w:color w:val="auto"/>
        </w:rPr>
      </w:pPr>
    </w:p>
    <w:p>
      <w:pPr>
        <w:ind w:left="340"/>
        <w:spacing w:after="0"/>
        <w:tabs>
          <w:tab w:leader="none" w:pos="1120" w:val="left"/>
          <w:tab w:leader="none" w:pos="7260"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6"/>
          <w:szCs w:val="16"/>
          <w:color w:val="auto"/>
        </w:rPr>
        <w:t>shares of Class A common stock held by Zeev Ventures V, LP, or Zeev V, (vii)</w:t>
      </w:r>
      <w:r>
        <w:rPr>
          <w:sz w:val="20"/>
          <w:szCs w:val="20"/>
          <w:color w:val="auto"/>
        </w:rPr>
        <w:tab/>
      </w:r>
      <w:r>
        <w:rPr>
          <w:rFonts w:ascii="Arial" w:cs="Arial" w:eastAsia="Arial" w:hAnsi="Arial"/>
          <w:sz w:val="16"/>
          <w:szCs w:val="16"/>
          <w:color w:val="auto"/>
        </w:rPr>
        <w:t>shares of Class A common stock directly held by Zeev</w:t>
      </w:r>
    </w:p>
    <w:p>
      <w:pPr>
        <w:spacing w:after="0" w:line="5" w:lineRule="exact"/>
        <w:rPr>
          <w:sz w:val="20"/>
          <w:szCs w:val="20"/>
          <w:color w:val="auto"/>
        </w:rPr>
      </w:pPr>
    </w:p>
    <w:p>
      <w:pPr>
        <w:ind w:left="340"/>
        <w:spacing w:after="0"/>
        <w:tabs>
          <w:tab w:leader="none" w:pos="3220" w:val="left"/>
          <w:tab w:leader="none" w:pos="10400" w:val="left"/>
        </w:tabs>
        <w:rPr>
          <w:sz w:val="20"/>
          <w:szCs w:val="20"/>
          <w:color w:val="auto"/>
        </w:rPr>
      </w:pPr>
      <w:r>
        <w:rPr>
          <w:rFonts w:ascii="Arial" w:cs="Arial" w:eastAsia="Arial" w:hAnsi="Arial"/>
          <w:sz w:val="16"/>
          <w:szCs w:val="16"/>
          <w:color w:val="auto"/>
        </w:rPr>
        <w:t>Ventures VI, LP, or Zeev VI, (viii)</w:t>
      </w:r>
      <w:r>
        <w:rPr>
          <w:sz w:val="20"/>
          <w:szCs w:val="20"/>
          <w:color w:val="auto"/>
        </w:rPr>
        <w:tab/>
      </w:r>
      <w:r>
        <w:rPr>
          <w:rFonts w:ascii="Arial" w:cs="Arial" w:eastAsia="Arial" w:hAnsi="Arial"/>
          <w:sz w:val="16"/>
          <w:szCs w:val="16"/>
          <w:color w:val="auto"/>
        </w:rPr>
        <w:t>shares of Class A common stock directly held by Zeev Ventures VII, LP, or Zeev VII, and (ix)</w:t>
      </w:r>
      <w:r>
        <w:rPr>
          <w:sz w:val="20"/>
          <w:szCs w:val="20"/>
          <w:color w:val="auto"/>
        </w:rPr>
        <w:tab/>
      </w:r>
      <w:r>
        <w:rPr>
          <w:rFonts w:ascii="Arial" w:cs="Arial" w:eastAsia="Arial" w:hAnsi="Arial"/>
          <w:sz w:val="16"/>
          <w:szCs w:val="16"/>
          <w:color w:val="auto"/>
        </w:rPr>
        <w:t>shares</w:t>
      </w:r>
    </w:p>
    <w:p>
      <w:pPr>
        <w:spacing w:after="0" w:line="15" w:lineRule="exact"/>
        <w:rPr>
          <w:sz w:val="20"/>
          <w:szCs w:val="20"/>
          <w:color w:val="auto"/>
        </w:rPr>
      </w:pPr>
    </w:p>
    <w:p>
      <w:pPr>
        <w:ind w:left="340" w:right="100"/>
        <w:spacing w:after="0" w:line="253" w:lineRule="auto"/>
        <w:rPr>
          <w:sz w:val="20"/>
          <w:szCs w:val="20"/>
          <w:color w:val="auto"/>
        </w:rPr>
      </w:pPr>
      <w:r>
        <w:rPr>
          <w:rFonts w:ascii="Arial" w:cs="Arial" w:eastAsia="Arial" w:hAnsi="Arial"/>
          <w:sz w:val="16"/>
          <w:szCs w:val="16"/>
          <w:color w:val="auto"/>
        </w:rPr>
        <w:t>of Class A common stock directly held by Zeev Ventures VIII, LP., or Zeev VIII. Zeev Opportunity Management I, LLC, or Zeev I GP, is the general partner of Zeev I. Zeev Ventures Management II, L.L.C., or Zeev II GP, is the general partner of Zeev II and Zeev II-A. Zeev Ventures Management III, L.L.C., or Zeev III GP, is the general partner of Zeev III. Zeev Ventures Management IV, L.L.C., or Zeev IV GP, is the general partner of Zeev IV. Zeev Ventures Management V, L.L.C., or Zeev V GP, is the general partner of Zeev V. Zeev Ventures Management VI, L.L.C., or Zeev VI GP, is the general partner of Zeev VI. Zeev Ventures Management VII, L.L.C., or Zeev VII GP, is the general partner of Zeev VII. Zeev Ventures Management VIII, L.L.C., or Zeev VIII GP, is the general partner of Zeev VIII. Oren Zeev, a member of our board of directors, is the managing director of each of Zeev I GP, Zeev</w:t>
      </w:r>
    </w:p>
    <w:p>
      <w:pPr>
        <w:spacing w:after="0" w:line="1" w:lineRule="exact"/>
        <w:rPr>
          <w:sz w:val="20"/>
          <w:szCs w:val="20"/>
          <w:color w:val="auto"/>
        </w:rPr>
      </w:pPr>
    </w:p>
    <w:p>
      <w:pPr>
        <w:jc w:val="both"/>
        <w:ind w:left="340" w:hanging="8"/>
        <w:spacing w:after="0" w:line="264" w:lineRule="auto"/>
        <w:tabs>
          <w:tab w:leader="none" w:pos="47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GP, Zeev III GP, Zeev IV GP, Zeev V GP, Zeev VI GP, Zeev VII GP, and Zeev VIII GP, or collectively, the Zeev GP Entities, and, as such, Mr. Zeev may be deemed to share voting and investment power with regard to the securities held by the Zeev GP Entities. The address of each of the aforementioned entities is 555 Bryant Street, Suite 811, Palo Alto, CA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73" w:lineRule="exact"/>
        <w:rPr>
          <w:sz w:val="20"/>
          <w:szCs w:val="20"/>
          <w:color w:val="auto"/>
        </w:rPr>
      </w:pPr>
    </w:p>
    <w:p>
      <w:pPr>
        <w:ind w:right="220" w:firstLine="324"/>
        <w:spacing w:after="0" w:line="267" w:lineRule="auto"/>
        <w:rPr>
          <w:sz w:val="20"/>
          <w:szCs w:val="20"/>
          <w:color w:val="auto"/>
        </w:rPr>
      </w:pPr>
      <w:r>
        <w:rPr>
          <w:rFonts w:ascii="Arial" w:cs="Arial" w:eastAsia="Arial" w:hAnsi="Arial"/>
          <w:sz w:val="18"/>
          <w:szCs w:val="18"/>
          <w:i w:val="1"/>
          <w:iCs w:val="1"/>
          <w:color w:val="auto"/>
        </w:rPr>
        <w:t>The following description is a summary of the material terms of our material indebtedness. We refer you to the credit agreements, security documents and other loan documents governing our material indebtedness, copies of which are filed as exhibits to the registration statement of which this prospectus forms a part.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March 14, 2025, we, Reed &amp; Mackay Travel Inc. and Reed &amp; Mackay Travel Limited, as co-borrowers, entered into a credit agreement, or the ABL Facility Agreement, with Citibank, N.A., as administrative agent and collateral agent, the guarantors party thereto, and the lenders and issuing banks party thereto, which provides for a maximum aggregate revolving credit commitment of $100 million, which, together with the ABL Facility Agreement, we refer to as the ABL Facility. Commitments pursuant to the ABL Facility may be increased by an additional $75 million, pursuant to the exercise of uncommitted incremental provisions through which existing and new lenders may, at their option, agree to provide additional financing. The proceeds of the ABL Facility may be used for working capital and general corporate purposes (including the financing of acquisitions and investments). The ABL Facility includes a $10.0 million letter of credit sub-facility.</w:t>
      </w:r>
    </w:p>
    <w:p>
      <w:pPr>
        <w:spacing w:after="0" w:line="129" w:lineRule="exact"/>
        <w:rPr>
          <w:sz w:val="20"/>
          <w:szCs w:val="20"/>
          <w:color w:val="auto"/>
        </w:rPr>
      </w:pPr>
    </w:p>
    <w:p>
      <w:pPr>
        <w:ind w:left="340"/>
        <w:spacing w:after="0"/>
        <w:tabs>
          <w:tab w:leader="none" w:pos="1220" w:val="left"/>
          <w:tab w:leader="none" w:pos="73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2025, the aggregate amount outstanding under the ABL Facility was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terms of the ABL Facility Agreement are described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6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Amounts borrowed under the ABL Facility are subject to an interest rate per annum equal to, at our option, either (i) for base rate loans, an applicable margin of 1.50% plus a base rate (subject to a 1.00% floor) by reference to the highest of (A) the prime rate, (B) the federal funds effective rate plus 0.50%, and (C) the one month term Secured Overnight Financing Rate, or SOFR, plus 1.00% plus a 0.10% SOFR adjustment or (ii) for term benchmark loans, an applicable margin of 2.50% plus the term SOFR (subject to a 0.00% floor) for a one, three or six month interest period.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unused portion of the ABL Facility accrues unused commitment fees at a rate per annum equal to 0.25%.</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Repayments</w:t>
      </w:r>
    </w:p>
    <w:p>
      <w:pPr>
        <w:spacing w:after="0" w:line="169"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We may voluntarily prepay outstanding loans under the ABL Facility at any time without premium or penalty, other than customary “breakage” costs.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169"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The ABL Facility has a springing maturity concept, whereby indebtedness thereunder is due on the earlier of March 14, 2028 or the occurrence of certain conversion or maturity dates of our other outstanding debt instruments.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obligations under the ABL Facility are required to be unconditionally guaranteed by our subsidiaries subject to certain exceptions for materiality, domicile and nature of subsidiary. Subsidiary guarantors of the ABL Facility generally include our direct and indirect wholly owned domestic subsidiaries and certain subsidiaries formed in the United Kingdom.</w:t>
      </w:r>
    </w:p>
    <w:p>
      <w:pPr>
        <w:sectPr>
          <w:pgSz w:w="11900" w:h="16838" w:orient="portrait"/>
          <w:cols w:equalWidth="0" w:num="1">
            <w:col w:w="11220"/>
          </w:cols>
          <w:pgMar w:left="320" w:top="1440" w:right="35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2025, Reed &amp; Mackay Holdings Limited and Navan Labs UK Limited were the only subsidiary guarantors of the ABL</w:t>
      </w:r>
    </w:p>
    <w:p>
      <w:pPr>
        <w:spacing w:after="0" w:line="445" w:lineRule="exact"/>
        <w:rPr>
          <w:sz w:val="20"/>
          <w:szCs w:val="20"/>
          <w:color w:val="auto"/>
        </w:rPr>
      </w:pPr>
    </w:p>
    <w:p>
      <w:pPr>
        <w:sectPr>
          <w:pgSz w:w="11900" w:h="16838" w:orient="portrait"/>
          <w:cols w:equalWidth="0" w:num="2">
            <w:col w:w="1180" w:space="720"/>
            <w:col w:w="93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220"/>
          </w:cols>
          <w:pgMar w:left="320" w:top="1440" w:right="359" w:bottom="1440" w:gutter="0" w:footer="0" w:header="0"/>
          <w:type w:val="continuous"/>
        </w:sectPr>
      </w:pPr>
    </w:p>
    <w:bookmarkStart w:id="181" w:name="page182"/>
    <w:bookmarkEnd w:id="181"/>
    <w:p>
      <w:pPr>
        <w:spacing w:after="0" w:line="24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obligations under the ABL Facility are secured by a first-priority lien on the Company’s and the guarantors’ ABL priority collateral (generally, working capital assets such as accounts receivable and inventory), and a second-priority lien on the remaining collateral, in each case subject to the terms of an intercreditor agreement between the ABL Facility agent and the Vista Facility agent.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required to comply with certain financial covenants under our ABL Facility, which are described below.</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i w:val="1"/>
          <w:iCs w:val="1"/>
          <w:color w:val="auto"/>
        </w:rPr>
        <w:t>Minimum Liquidity</w:t>
      </w:r>
      <w:r>
        <w:rPr>
          <w:rFonts w:ascii="Arial" w:cs="Arial" w:eastAsia="Arial" w:hAnsi="Arial"/>
          <w:sz w:val="18"/>
          <w:szCs w:val="18"/>
          <w:color w:val="auto"/>
        </w:rPr>
        <w:t>. Until the Covenant Transition Date (as defined below), we are required to maintain compliance with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covenant in an amount equal to the sum of the Excess Cash Burn (as defined below) of the loan parties and their subsidiaries for the preceding four quarter period, measured quarterly as of the last day of each fiscal quarter for which financial statements have been required to be delivered pursuant to the ABL Facility Agreement.</w:t>
      </w:r>
    </w:p>
    <w:p>
      <w:pPr>
        <w:spacing w:after="0" w:line="12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“Covenant Transition Date” means the last day of the fiscal quarter for which we have delivered a compliance certificate pursuant to the ABL Facility Agreement demonstrating that for such period and the immediately prior consecutive fiscal quarter, we have achieved a consolidated fixed charge coverage ratio of at least 1:00 to 1:00.</w:t>
      </w:r>
    </w:p>
    <w:p>
      <w:pPr>
        <w:spacing w:after="0" w:line="11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“Excess Cash Burn” means for any period, on a consolidated basis in accordance with GAAP, the sum of (a) EBITDA for such period, minus (b) all unfinanced capital expenditures paid or payable (including capitalized software expenses), minus (c) all scheduled principal payments on long-term indebtedness (including payments in respect of capital leases) paid or payable, minus (d) all cash interest expense and all fees for the use of money or the availability of money, including commitment, facility and like fees and charges upon indebtedness (including indebtedness under the ABL Facility) paid or payable, without duplication, during such period, minus (e) all cash tax expense paid or payable, without duplication, during such period, minus (f) all dividends, redemptions, repurchases or other distributions paid or payable, without duplication, in cash during such period.</w:t>
      </w:r>
    </w:p>
    <w:p>
      <w:pPr>
        <w:spacing w:after="0" w:line="12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i w:val="1"/>
          <w:iCs w:val="1"/>
          <w:color w:val="auto"/>
        </w:rPr>
        <w:t xml:space="preserve">Consolidated Fixed Charge Coverage Ratio. </w:t>
      </w:r>
      <w:r>
        <w:rPr>
          <w:rFonts w:ascii="Arial" w:cs="Arial" w:eastAsia="Arial" w:hAnsi="Arial"/>
          <w:sz w:val="18"/>
          <w:szCs w:val="18"/>
          <w:color w:val="auto"/>
        </w:rPr>
        <w:t>At any time that a Covenant Trigger Event (as defined below) has occurred until cured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terms of the ABL Facility Agreement, we are required to maintain a consolidated fixed charge coverage ratio, calculated as of the last day of the four fiscal quarter period ending on the last day of each fiscal quarter most recently ended prior to the occurrence of such Covenant Trigger Event, of at least 1:00 to 1:00.</w:t>
      </w:r>
    </w:p>
    <w:p>
      <w:pPr>
        <w:spacing w:after="0" w:line="12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“Covenant Trigger Event” means the occurrence at any time of the failure to have excess availability in an amount of at least the greater of (i) $5,000,000 and (ii) 10% of the line cap (defined as the lesser of the aggregate commitments and available borrowing base).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Other Covenants and Events of Default</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ABL Facility includes customary covenants and events of default for agreements of this type, including various reporting, affirmative and negative covenants. With respect to negative covenants, the ABL Facility contains a number of other covenants that, among other things and subject to certain exceptions, restrict our ability to incur additional indebtedness (including capital leases), create liens, consolidate, merge, or undertake other corporate reorganizations, dispose of assets (including the equity interests of subsidiaries), make certain restricted payments, engage in transactions with affiliates, make loans, acquisitions and other investments, and enter into certain burdensome agreements.</w:t>
      </w:r>
    </w:p>
    <w:p>
      <w:pPr>
        <w:spacing w:after="0" w:line="128"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The ABL Facility contains customary events of default, including payment defaults, failure to perform or observe covenants, cross-defaults with certain other indebtedness, a change of control, and certain bankruptcy events,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 Facility</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24, 2025, Navan, as borrower, entered into a credit agreement, or the Term Loan Credit Agreement, with VCP Capital Markets, LLC, as administrative agent and collateral agent, the guarantors party thereto, and the lenders party thereto, providing for a $130.0 million term loan facility, which, together with the Term Loan Credit Agreement, we refer to as the Vista Facility. On February 24, 2025, we borrowed the full $130.0 million of loans available under the Vista Facility. The proceeds of the Vista Facility may be used for working capital and general corporate purposes (including the financing of acquisitions and investments).</w:t>
      </w:r>
    </w:p>
    <w:p>
      <w:pPr>
        <w:spacing w:after="0" w:line="125" w:lineRule="exact"/>
        <w:rPr>
          <w:sz w:val="20"/>
          <w:szCs w:val="20"/>
          <w:color w:val="auto"/>
        </w:rPr>
      </w:pPr>
    </w:p>
    <w:p>
      <w:pPr>
        <w:ind w:left="340"/>
        <w:spacing w:after="0"/>
        <w:tabs>
          <w:tab w:leader="none" w:pos="1780" w:val="left"/>
          <w:tab w:leader="none" w:pos="36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2025, we had $</w:t>
      </w:r>
      <w:r>
        <w:rPr>
          <w:sz w:val="20"/>
          <w:szCs w:val="20"/>
          <w:color w:val="auto"/>
        </w:rPr>
        <w:tab/>
      </w:r>
      <w:r>
        <w:rPr>
          <w:rFonts w:ascii="Arial" w:cs="Arial" w:eastAsia="Arial" w:hAnsi="Arial"/>
          <w:sz w:val="17"/>
          <w:szCs w:val="17"/>
          <w:color w:val="auto"/>
        </w:rPr>
        <w:t>outstanding under the Vista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Amounts borrowed under the Vista Facility bear interest at a variable interest rate based on either the Alternate Base Rate, with a 2.00% Alternate Base Rate floor, or SOFR (based on a 3-month interest period), with a 1.00% SOFR floor, in each case, plus an applicable rate. The applicable rate is, at our option, (i) in the case of SOFR Loans, (A) if we have elected to cash pay the interest, 6.50% per annum in cash or (B) if we have elected to pay the interest partially in cash and partially PIK, 6.50% per annum (of which 5.00% shall be paid in cash and</w:t>
      </w:r>
    </w:p>
    <w:p>
      <w:pPr>
        <w:spacing w:after="0" w:line="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1.50% PIK) and (ii) in the case of Alternate Base Rate Loans, (A) if we have elected to cash pay the interest, 5.50% per annum or (B) if we have elected to pay the interest partially in cash and partially PIK, 5.50% (of which 4.00% shall be paid in cash and 1.50% PIK).</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Repayments</w:t>
      </w:r>
    </w:p>
    <w:p>
      <w:pPr>
        <w:spacing w:after="0" w:line="16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Vista Facility is required to be prepaid upon the occurrence of an event of default, or with the proceeds of certain asset dispositions, insurance recovery events or incurrences of indebtedness. Any prepayments upon an event of default or the incurrence of certain indebtedness are subject to a prepayment premium of (x) 3.00% of the principal amount prepaid, if prepayment is prior to the first anniversary of the Term Loan Credit Agreement closing date or (y) 1.50% of the principal amount prepaid, if the prepayment is on or after the first anniversary but prior to the second anniversary of the Term Loan Credit Agreement closing date. We may also voluntarily prepay outstanding loans under the Vista Facility at any time subject to payment of a prepayment premium and other customary “breakage”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169"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Vista Facility has a springing maturity concept, whereby indebtedness thereunder is due on the earlier of February 24, 2030 or the occurrence of certain conversion or maturity dates of our other outstanding debt instruments.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6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Under the terms of the Vista Facility we are required to maintain liquidity, as of the last business day of each calendar month, of not less than $50.0 million.</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obligations under the Vista Facility are required to be unconditionally guaranteed by our subsidiaries subject to certain exceptions for materiality, domicile and nature of subsidiary. Subsidiary guarantors of the Vista Facility generally include our direct and indirect wholly owned domestic subsidiaries and certain subsidiaries formed in the United Kingdom.</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As of February 24, 2025, Reed &amp; Mackay Travel Limited, Reed &amp; Mackay Travel Inc., Reed &amp; Mackay Holdings Limited, and Navan Labs UK Limited were the only subsidiary guarantors of the Vista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obligations under the Vista Facility are secured, on a second-priority basis, by a lien on substantially all of the Company’s and the guarantors’ assets that constitute ABL priority collateral (generally, working capital assets such as accounts receivable and inventory), and on a first-priority basis by a lien on all other assets, including but not limited to equipment, intellectual property, equity interests in subsidiaries, deposit accounts, and certain other personal property, in each case subject to customary exceptions and permitted liens.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Other Covenants and Events of Default</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Vista Facility includes customary covenants and events of default for agreements of this type, including various reporting, affirmative and negative covenants. With respect to negative covenants, the Vista Facility contains a number of other covenants that, among other things and subject to certain exceptions, restrict our ability to incur additional indebtedness (including capital leases), create liens, consolidate, merge, or undertake other corporate reorganizations, dispose of assets (including the equity interests of subsidiaries), make certain restricted payments, engage in transactions with affiliates, make loans, acquisitions and other investments, and enter into certain burdensome agreements.</w:t>
      </w:r>
    </w:p>
    <w:p>
      <w:pPr>
        <w:spacing w:after="0" w:line="128"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Vista Facility contains customary events of default, including payment defaults, failure to perform or observe covenants, cross-defaults with certain other indebtedness, a change of control, and certain bankruptcy events, among others.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Credit Facility</w:t>
      </w:r>
    </w:p>
    <w:p>
      <w:pPr>
        <w:spacing w:after="0" w:line="17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On November 18, 2022, Liquid Labs SPV, LLC, or Liquid Labs, a wholly owned subsidiary of Navan, entered into a credit agreement, or the Warehouse Facility Agreement, with Goldman Sachs Bank USA, as administrative agent and the lenders party thereto, which, together with the Warehouse Facility Agreement, we refer to as the Warehouse Credit Facility. On February 17, 2023, the Warehouse Facility Agreement was amended to reflect our name change from “TripActions, Inc.” to “Navan, Inc.”, among other revisions reflected therein. On July 28, 2023, the Warehouse Facility Agreement was further amended to increase the total committed amount under the facility to $300.0 million, among other revisions reflected therein. On October 12, 2023, the Warehouse Facility Agreement was further amended to revise the definition of “Unrestricted Cash,” among other revisions reflected therein. On March 11, 2024, the Warehouse Facility Agreement was further amended to make certain receivables denominated in Euros and British Pounds eligible for financing thereunder, among other revisions reflected therein. On April 19, 2024, the Warehouse Facility Agreement was further amended to revise performance covenants, among other revisions reflected therein. On August 2, 2024, the Warehouse Facility Agreement was further amended to extend the maturity date to February 18, 2026, among other revisions reflected therein. On November 15, 2024, the Warehouse Facility Agreement was further amended to revise the definition of “Excess Concentration Amount” and “Eligible Card Account,” among other revisions reflected therein. On February 24, 2025, the Warehouse Facility Agreement was further amended to revise performance covenants, among other revisions reflected therein. On March 6, 2025, the Warehouse Facility Agreement was further amended to include a guaranty by Navan in favor of the administrative agent, among other revisions reflected therein. On April 16, 2025, the Warehouse Facility Agreement was further amended to extend the maturity date to February 18, 2028, among other revisions reflected therein. The proceeds of our Warehouse Credit Facility may be used to fund or pay the purchase price of eligible receivables acquired by Liquid Labs pursuant to a receivables purchase agreement and for general working capital and corporate purposes permitted under the facility’s documentation.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terms of our Warehouse Credit Facility are described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69"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Amounts borrowed under our Warehouse Credit Facility are subject to an interest rate per annum equal to, for the (i) Class A interest rate, the sum of one-month adjusted Term SOFR (with a floor of 0.25%) plus 3.15% of the Class A loan principal balance that is less than or equal to $100,000,000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4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3.00% of the Class A loan principal balance that is greater than $100,000,000, and (ii) Class B interest rate, the sum of one-month Term SOFR (with a floor of 0.25%) plus 9.00%.</w:t>
      </w:r>
    </w:p>
    <w:p>
      <w:pPr>
        <w:spacing w:after="0" w:line="99"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additional 1.00% is added on to both the Class A and Class B rates on or after November 18, 2024.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additional 2.00% is added on to both the Class A and Class B rates upon an early amortization event or an event of default.</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Class A fees include an upfront fee of 1.10% on the Class A committed amount, a Class B placement fee payable to administrative agent on 0.50% of the Class B committed amount on the closing date, draw fees equal to 0.50% of the Class A incremental drawn amount and in the case of prepayment, a Class A exit fee of 0.25% on the outstanding principal amount of the Class A advances and an undrawn fee of 0.50%.</w:t>
      </w:r>
    </w:p>
    <w:p>
      <w:pPr>
        <w:spacing w:after="0" w:line="12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Class B fees include an upfront fee of 1.10% on the Class B committed amount, draw fees equal to 0.75% of the Class B incremental drawn amount, and an undrawn fee of 0.50%.</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Repayments</w:t>
      </w:r>
    </w:p>
    <w:p>
      <w:pPr>
        <w:spacing w:after="0" w:line="16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We may voluntarily prepay outstanding advances under our Warehouse Credit Facility at any time without premium or penalty, other than customary “breakage” costs.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maturity date of our Warehouse Credit Facility is February 18, 2028.</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Navan unconditionally and irrevocably guarantees to the secured parties under our Warehouse Credit Facility the complete payment and performance of losses incurred by such secured party as a result of certain intentional “bad acts,” which include (among other acts): fraud, malfeasance, intentional material misrepresentation, misappropriation of funds, noncompliance with applicable law or willful misconduct by SPV Borrower or Navan, breaches of reps and warranties that have a material adverse effect on the collectability of receivables taken as a whole, any incurrence of other indebtedness by SPV Borrower, filing of petitions for bankruptcy, regulatory events and certain other bad acts which are customary for a transaction of this nature.</w:t>
      </w:r>
    </w:p>
    <w:p>
      <w:pPr>
        <w:spacing w:after="0" w:line="128"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All obligations under our Warehouse Credit Facility are secured, subject to certain exceptions, by substantially all of SPV Borrower’s assets and Navan’s equity interests in Liquid Labs.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6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We are required to comply with certain financial covenants under our Warehouse Credit Facility which include the below. This offering constitutes a qualifying public offering as described below.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Tangible Net Worth. </w:t>
      </w:r>
      <w:r>
        <w:rPr>
          <w:rFonts w:ascii="Arial" w:cs="Arial" w:eastAsia="Arial" w:hAnsi="Arial"/>
          <w:sz w:val="18"/>
          <w:szCs w:val="18"/>
          <w:color w:val="auto"/>
        </w:rPr>
        <w:t>Prior to any qualifying public offering, as of the last day of any calendar month, or from and after any qualifying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as of the last day of any fiscal quarter, the tangible net worth of Navan shall be less than the greater of (i) the sum of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$100,000,000 and (B) twenty percent (20.00%) of the net cash proceeds received by Navan in all issuances of equity interests occurring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2025 and (ii) any minimum net worth or similar covenant set forth in any comparable transaction;</w:t>
      </w:r>
    </w:p>
    <w:p>
      <w:pPr>
        <w:spacing w:after="0" w:line="15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i w:val="1"/>
          <w:iCs w:val="1"/>
          <w:color w:val="auto"/>
        </w:rPr>
        <w:t xml:space="preserve">Leverage Ratio. </w:t>
      </w:r>
      <w:r>
        <w:rPr>
          <w:rFonts w:ascii="Arial" w:cs="Arial" w:eastAsia="Arial" w:hAnsi="Arial"/>
          <w:sz w:val="18"/>
          <w:szCs w:val="18"/>
          <w:color w:val="auto"/>
        </w:rPr>
        <w:t>Prior to any qualifying public offering, as of the last day of any calendar month, or from and after any qualifying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as of the last day of any fiscal quarter, the leverage ratio of Navan shall be greater than the lesser of (i) 3.75:1.0 and (ii) the maximum ratio for any leverage ratio or similar covenant set forth in any comparable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47"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 xml:space="preserve">Corporate Leverage Ratio. </w:t>
      </w:r>
      <w:r>
        <w:rPr>
          <w:rFonts w:ascii="Arial" w:cs="Arial" w:eastAsia="Arial" w:hAnsi="Arial"/>
          <w:sz w:val="18"/>
          <w:szCs w:val="18"/>
          <w:color w:val="auto"/>
        </w:rPr>
        <w:t>Prior to any qualifying public offering, as of the last day of any calendar month, or from and after any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public offering, as of the last day of any fiscal quarter, the corporate leverage ratio of Navan shall be greater than the lesser of (i) 2.0:1.0 and (ii) the maximum ratio for any corporate leverage ratio or similar covenant set forth in any comparable transaction; or</w:t>
      </w:r>
    </w:p>
    <w:p>
      <w:pPr>
        <w:spacing w:after="0" w:line="11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i w:val="1"/>
          <w:iCs w:val="1"/>
          <w:color w:val="auto"/>
        </w:rPr>
        <w:t xml:space="preserve">Unrestricted Cash. </w:t>
      </w:r>
      <w:r>
        <w:rPr>
          <w:rFonts w:ascii="Arial" w:cs="Arial" w:eastAsia="Arial" w:hAnsi="Arial"/>
          <w:sz w:val="18"/>
          <w:szCs w:val="18"/>
          <w:color w:val="auto"/>
        </w:rPr>
        <w:t>As of any day, the unrestricted cash of Navan shall be less than the greater of (i) $ 100,000,000, (ii) Navan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burn during the most recently ended period of three calendar months and (iii) the dollar minimum for any minimum liquidity or unrestricted cash or similar covenant set forth in any comparable transaction.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Other Covenants and Events of Default</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Our Warehouse Credit Facility contains a number of other covenants that, among other things and subject to certain exceptions, restrict the ability of SPV Borrower to:</w:t>
      </w:r>
    </w:p>
    <w:p>
      <w:pPr>
        <w:spacing w:after="0" w:line="99"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consolidate or merge;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 dividends its equity interests;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engage in transactions with our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amend credit and collection policies.</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credit agreement governing our Warehouse Credit Facility contains customary events of default, including payment defaults, failure to perform or observe covenants, cross-defaults with certain other indebtedness, and a change of control,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1440" w:right="479" w:bottom="1440" w:gutter="0" w:footer="0" w:header="0"/>
        </w:sectPr>
      </w:pPr>
    </w:p>
    <w:bookmarkStart w:id="186" w:name="page187"/>
    <w:bookmarkEnd w:id="186"/>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an amended and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amended and restated certificate of incorporation, restated bylaws, and our IRA, which are included as exhibits to the registration statement of which this prospectus forms a part, and to the applicable provisions of Delaware law.</w:t>
      </w:r>
    </w:p>
    <w:p>
      <w:pPr>
        <w:spacing w:after="0" w:line="128" w:lineRule="exact"/>
        <w:rPr>
          <w:sz w:val="20"/>
          <w:szCs w:val="20"/>
          <w:color w:val="auto"/>
        </w:rPr>
      </w:pPr>
    </w:p>
    <w:p>
      <w:pPr>
        <w:ind w:left="340"/>
        <w:spacing w:after="0"/>
        <w:tabs>
          <w:tab w:leader="none" w:pos="7240" w:val="left"/>
        </w:tabs>
        <w:rPr>
          <w:sz w:val="20"/>
          <w:szCs w:val="20"/>
          <w:color w:val="auto"/>
        </w:rPr>
      </w:pPr>
      <w:r>
        <w:rPr>
          <w:rFonts w:ascii="Arial" w:cs="Arial" w:eastAsia="Arial" w:hAnsi="Arial"/>
          <w:sz w:val="18"/>
          <w:szCs w:val="18"/>
          <w:color w:val="auto"/>
        </w:rPr>
        <w:t>Upon the completion of this offering, our authorized capital stock will consist of</w:t>
      </w:r>
      <w:r>
        <w:rPr>
          <w:sz w:val="20"/>
          <w:szCs w:val="20"/>
          <w:color w:val="auto"/>
        </w:rPr>
        <w:tab/>
      </w:r>
      <w:r>
        <w:rPr>
          <w:rFonts w:ascii="Arial" w:cs="Arial" w:eastAsia="Arial" w:hAnsi="Arial"/>
          <w:sz w:val="17"/>
          <w:szCs w:val="17"/>
          <w:color w:val="auto"/>
        </w:rPr>
        <w:t>shares of our Class A common stock,</w:t>
      </w:r>
    </w:p>
    <w:p>
      <w:pPr>
        <w:spacing w:after="0" w:line="27" w:lineRule="exact"/>
        <w:rPr>
          <w:sz w:val="20"/>
          <w:szCs w:val="20"/>
          <w:color w:val="auto"/>
        </w:rPr>
      </w:pPr>
    </w:p>
    <w:p>
      <w:pPr>
        <w:spacing w:after="0"/>
        <w:tabs>
          <w:tab w:leader="none" w:pos="3240" w:val="left"/>
          <w:tab w:leader="none" w:pos="9820" w:val="left"/>
        </w:tabs>
        <w:rPr>
          <w:sz w:val="20"/>
          <w:szCs w:val="20"/>
          <w:color w:val="auto"/>
        </w:rPr>
      </w:pPr>
      <w:r>
        <w:rPr>
          <w:rFonts w:ascii="Arial" w:cs="Arial" w:eastAsia="Arial" w:hAnsi="Arial"/>
          <w:sz w:val="18"/>
          <w:szCs w:val="18"/>
          <w:color w:val="auto"/>
        </w:rPr>
        <w:t>$0.00000625 par value per share,</w:t>
      </w:r>
      <w:r>
        <w:rPr>
          <w:sz w:val="20"/>
          <w:szCs w:val="20"/>
          <w:color w:val="auto"/>
        </w:rPr>
        <w:tab/>
      </w:r>
      <w:r>
        <w:rPr>
          <w:rFonts w:ascii="Arial" w:cs="Arial" w:eastAsia="Arial" w:hAnsi="Arial"/>
          <w:sz w:val="18"/>
          <w:szCs w:val="18"/>
          <w:color w:val="auto"/>
        </w:rPr>
        <w:t>shares of our Class B common stock, $0.00000625 par value per share, and</w:t>
      </w:r>
      <w:r>
        <w:rPr>
          <w:sz w:val="20"/>
          <w:szCs w:val="20"/>
          <w:color w:val="auto"/>
        </w:rPr>
        <w:tab/>
      </w:r>
      <w:r>
        <w:rPr>
          <w:rFonts w:ascii="Arial" w:cs="Arial" w:eastAsia="Arial" w:hAnsi="Arial"/>
          <w:sz w:val="17"/>
          <w:szCs w:val="17"/>
          <w:color w:val="auto"/>
        </w:rPr>
        <w:t>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undesignated preferred stock, $0.00000625 par value per share.</w:t>
      </w:r>
    </w:p>
    <w:p>
      <w:pPr>
        <w:spacing w:after="0" w:line="153"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Assuming the occurrence of the Capital Stock Conversion, the Note Conversion, the SAFE Conversion, and the RSU Net Settlement, there were outstanding:</w:t>
      </w:r>
    </w:p>
    <w:p>
      <w:pPr>
        <w:sectPr>
          <w:pgSz w:w="11900" w:h="16838" w:orient="portrait"/>
          <w:cols w:equalWidth="0" w:num="1">
            <w:col w:w="11220"/>
          </w:cols>
          <w:pgMar w:left="320" w:top="1440" w:right="359" w:bottom="1440" w:gutter="0" w:footer="0" w:header="0"/>
        </w:sectPr>
      </w:pPr>
    </w:p>
    <w:p>
      <w:pPr>
        <w:spacing w:after="0" w:line="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A common stock, held by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w:t>
      </w:r>
    </w:p>
    <w:p>
      <w:pPr>
        <w:spacing w:after="0" w:line="183" w:lineRule="exact"/>
        <w:rPr>
          <w:sz w:val="20"/>
          <w:szCs w:val="20"/>
          <w:color w:val="auto"/>
        </w:rPr>
      </w:pPr>
    </w:p>
    <w:p>
      <w:pPr>
        <w:sectPr>
          <w:pgSz w:w="11900" w:h="16838" w:orient="portrait"/>
          <w:cols w:equalWidth="0" w:num="3">
            <w:col w:w="440" w:space="720"/>
            <w:col w:w="3600" w:space="460"/>
            <w:col w:w="6000"/>
          </w:cols>
          <w:pgMar w:left="320" w:top="1440"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our Class B common stock, held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stockholders of record;</w:t>
      </w:r>
    </w:p>
    <w:p>
      <w:pPr>
        <w:spacing w:after="0" w:line="183" w:lineRule="exact"/>
        <w:rPr>
          <w:sz w:val="20"/>
          <w:szCs w:val="20"/>
          <w:color w:val="auto"/>
        </w:rPr>
      </w:pPr>
    </w:p>
    <w:p>
      <w:pPr>
        <w:sectPr>
          <w:pgSz w:w="11900" w:h="16838" w:orient="portrait"/>
          <w:cols w:equalWidth="0" w:num="3">
            <w:col w:w="440" w:space="720"/>
            <w:col w:w="3600" w:space="460"/>
            <w:col w:w="6000"/>
          </w:cols>
          <w:pgMar w:left="320" w:top="1440"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40" w:firstLine="495"/>
        <w:spacing w:after="0" w:line="287" w:lineRule="auto"/>
        <w:rPr>
          <w:sz w:val="20"/>
          <w:szCs w:val="20"/>
          <w:color w:val="auto"/>
        </w:rPr>
      </w:pPr>
      <w:r>
        <w:rPr>
          <w:rFonts w:ascii="Arial" w:cs="Arial" w:eastAsia="Arial" w:hAnsi="Arial"/>
          <w:sz w:val="18"/>
          <w:szCs w:val="18"/>
          <w:color w:val="auto"/>
        </w:rPr>
        <w:t>shares of our Class A common stock issuable upon the exercise of stock options, of which shares will be exchangeable for an equal number of shares of Class B common stock at the election of our co-founders upon exercise;</w:t>
      </w:r>
    </w:p>
    <w:p>
      <w:pPr>
        <w:spacing w:after="0" w:line="99" w:lineRule="exact"/>
        <w:rPr>
          <w:sz w:val="20"/>
          <w:szCs w:val="20"/>
          <w:color w:val="auto"/>
        </w:rPr>
      </w:pPr>
    </w:p>
    <w:p>
      <w:pPr>
        <w:sectPr>
          <w:pgSz w:w="11900" w:h="16838" w:orient="portrait"/>
          <w:cols w:equalWidth="0" w:num="2">
            <w:col w:w="400" w:space="260"/>
            <w:col w:w="10560"/>
          </w:cols>
          <w:pgMar w:left="320" w:top="1440" w:right="359" w:bottom="1440" w:gutter="0" w:footer="0" w:header="0"/>
          <w:type w:val="continuous"/>
        </w:sectPr>
      </w:pPr>
    </w:p>
    <w:p>
      <w:pPr>
        <w:ind w:left="1160" w:hanging="828"/>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vesting and settlement of RSUs; and</w:t>
      </w:r>
    </w:p>
    <w:p>
      <w:pPr>
        <w:spacing w:after="0" w:line="171" w:lineRule="exact"/>
        <w:rPr>
          <w:sz w:val="20"/>
          <w:szCs w:val="20"/>
          <w:color w:val="auto"/>
        </w:rPr>
      </w:pPr>
    </w:p>
    <w:p>
      <w:pPr>
        <w:ind w:left="340"/>
        <w:spacing w:after="0"/>
        <w:tabs>
          <w:tab w:leader="none" w:pos="1140" w:val="left"/>
          <w:tab w:leader="none" w:pos="8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our Class A common stock issuable upon the exercise of warrants to purchase</w:t>
      </w:r>
      <w:r>
        <w:rPr>
          <w:sz w:val="20"/>
          <w:szCs w:val="20"/>
          <w:color w:val="auto"/>
        </w:rPr>
        <w:tab/>
      </w:r>
      <w:r>
        <w:rPr>
          <w:rFonts w:ascii="Arial" w:cs="Arial" w:eastAsia="Arial" w:hAnsi="Arial"/>
          <w:sz w:val="18"/>
          <w:szCs w:val="18"/>
          <w:color w:val="auto"/>
        </w:rPr>
        <w:t>shares of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69" w:lineRule="exact"/>
        <w:rPr>
          <w:sz w:val="20"/>
          <w:szCs w:val="20"/>
          <w:color w:val="auto"/>
        </w:rPr>
      </w:pPr>
    </w:p>
    <w:p>
      <w:pPr>
        <w:ind w:right="200" w:firstLine="324"/>
        <w:spacing w:after="0" w:line="291" w:lineRule="auto"/>
        <w:rPr>
          <w:sz w:val="20"/>
          <w:szCs w:val="20"/>
          <w:color w:val="auto"/>
        </w:rPr>
      </w:pPr>
      <w:r>
        <w:rPr>
          <w:rFonts w:ascii="Arial" w:cs="Arial" w:eastAsia="Arial" w:hAnsi="Arial"/>
          <w:sz w:val="17"/>
          <w:szCs w:val="17"/>
          <w:color w:val="auto"/>
        </w:rPr>
        <w:t>Subject to preferences that may apply to any shares of convertible preferred stock outstanding at the time, the holders of shares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shares of our Class A common stock are entitled to one vote for each share of Class A common stock held on all matters</w:t>
      </w:r>
    </w:p>
    <w:p>
      <w:pPr>
        <w:spacing w:after="0" w:line="27"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submitted to a vote of stockholders and holders of our Class B common stock are entitled to votes for each share of Class B common stock held on all matters submitted to a vote of stockholders. Following this offering, the holders of our outstanding Class B common stock</w:t>
      </w:r>
    </w:p>
    <w:p>
      <w:pPr>
        <w:spacing w:after="0" w:line="1" w:lineRule="exact"/>
        <w:rPr>
          <w:sz w:val="20"/>
          <w:szCs w:val="20"/>
          <w:color w:val="auto"/>
        </w:rPr>
      </w:pPr>
    </w:p>
    <w:p>
      <w:pPr>
        <w:jc w:val="both"/>
        <w:ind w:right="160"/>
        <w:spacing w:after="0" w:line="250" w:lineRule="auto"/>
        <w:rPr>
          <w:sz w:val="20"/>
          <w:szCs w:val="20"/>
          <w:color w:val="auto"/>
        </w:rPr>
      </w:pPr>
      <w:r>
        <w:rPr>
          <w:rFonts w:ascii="Arial" w:cs="Arial" w:eastAsia="Arial" w:hAnsi="Arial"/>
          <w:sz w:val="18"/>
          <w:szCs w:val="18"/>
          <w:color w:val="auto"/>
        </w:rPr>
        <w:t>will hold % of the voting power of our outstanding capital stock, with our directors, executive officers, and beneficial owners of 5% or greater of our outstanding capital stock and their respective affiliates holding % of the voting power in the aggregate. Holders of shares</w:t>
      </w:r>
    </w:p>
    <w:p>
      <w:pPr>
        <w:spacing w:after="0" w:line="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of our Class A common stock and Class B common stock vote together as a single class on all matters (including the election of directors) submitted to a vote of stockholders, unless, otherwise required by Delaware law. Delaware law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1440" w:right="359" w:bottom="1440" w:gutter="0" w:footer="0" w:header="0"/>
          <w:type w:val="continuous"/>
        </w:sectPr>
      </w:pPr>
    </w:p>
    <w:bookmarkStart w:id="187" w:name="page188"/>
    <w:bookmarkEnd w:id="187"/>
    <w:p>
      <w:pPr>
        <w:spacing w:after="0" w:line="247"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require either holders of our Class A common stock or Class B common stock to vote separately as a single class in the following circumstances:</w:t>
      </w:r>
    </w:p>
    <w:p>
      <w:pPr>
        <w:spacing w:after="0" w:line="99" w:lineRule="exact"/>
        <w:rPr>
          <w:sz w:val="20"/>
          <w:szCs w:val="20"/>
          <w:color w:val="auto"/>
        </w:rPr>
      </w:pPr>
    </w:p>
    <w:p>
      <w:pPr>
        <w:ind w:left="660" w:right="20" w:hanging="328"/>
        <w:spacing w:after="0" w:line="28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98"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our amended and restated certificate of incorporation will provide that a separate vote of the holders of our Class B common stock will be required in connection with any amendment to the Certificate of Incorporation that would alter the rights of the Class B common stock, reclassify any shares of Class A common stock into shares senior to the Class B common stock, or authorize the issuance of any shares of capital stock with voting rights greater than one vote per share (other than the Class B common stock). We have not provided for cumulative voting for the election of directors in our amended and restated certificate of incorporation that will become effective immediately prior to the completion of this offering.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6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completion of this offering, each share of our Class B common stock will be convertible into one share of our Class A</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common stock at any time and will convert automatically upon certain transfers and upon the earlier of . Our amended and restated certificate of incorporation will also provide for certain permitted transfers by holders of shares of Class B common stock which will not trigger conversion to Class A common stock, including transfers to certain family members, trusts and certain entities owned exclusively by such 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provisions of our currently in effect amended and restated certificate of incorporation, each currently outstanding share of redeemable convertible preferred stock will automatically be converted into one share of Class A common stock in connection with the closing of this offering. Following this offering, no shares of redeemable convertible preferred stock will be outstanding.</w:t>
      </w:r>
    </w:p>
    <w:p>
      <w:pPr>
        <w:spacing w:after="0" w:line="117"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The number of authorized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preferred stock may be increased or decreased (but not below the number of shares thereof then outstanding) by the affirmative vote of the holders of a majority of the voting stock, without a separate vote of the holders of the preferred stock, irrespective of the provisions of Section 242(b)(2) of the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Class A common stock and the voting and other rights of the holders of our Class A common stock and Class B common stock. We have no current plan to issue any shares of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of , 2025, we had outstanding options to purchase an aggregate of shares of our Class A common stock under our 2015 Plan, with a weighted-average exercise price of $ per share, of which shares will be exchangeable for an equal number of shares of Class B common stock at the election of our co-founders upon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1" w:lineRule="exact"/>
        <w:rPr>
          <w:sz w:val="20"/>
          <w:szCs w:val="20"/>
          <w:color w:val="auto"/>
        </w:rPr>
      </w:pPr>
    </w:p>
    <w:p>
      <w:pPr>
        <w:ind w:right="120" w:firstLine="324"/>
        <w:spacing w:after="0" w:line="265" w:lineRule="auto"/>
        <w:rPr>
          <w:sz w:val="20"/>
          <w:szCs w:val="20"/>
          <w:color w:val="auto"/>
        </w:rPr>
      </w:pPr>
      <w:r>
        <w:rPr>
          <w:rFonts w:ascii="Arial" w:cs="Arial" w:eastAsia="Arial" w:hAnsi="Arial"/>
          <w:sz w:val="18"/>
          <w:szCs w:val="18"/>
          <w:color w:val="auto"/>
        </w:rPr>
        <w:t>As of , 2025, we had an aggregate of shares of our Class A common stock outstanding subject to RSUs, pursuant to our 2015 Plan, of which shares will be exchangeable for an equal number of shares of Class B common stock at the election of our co-founders. Subsequent to , 2025, we have granted an aggregate of shares of our Class A common stock subject to RSUs, pursuant to our 2015 Plan.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2025, we had warrants outstanding to purchase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A common stock at an exercise price of</w:t>
      </w:r>
    </w:p>
    <w:p>
      <w:pPr>
        <w:spacing w:after="0" w:line="43" w:lineRule="exact"/>
        <w:rPr>
          <w:sz w:val="20"/>
          <w:szCs w:val="20"/>
          <w:color w:val="auto"/>
        </w:rPr>
      </w:pPr>
    </w:p>
    <w:p>
      <w:pPr>
        <w:sectPr>
          <w:pgSz w:w="11900" w:h="16838" w:orient="portrait"/>
          <w:cols w:equalWidth="0" w:num="3">
            <w:col w:w="780" w:space="720"/>
            <w:col w:w="3880" w:space="400"/>
            <w:col w:w="5460"/>
          </w:cols>
          <w:pgMar w:left="320" w:top="1440" w:right="339" w:bottom="1440" w:gutter="0" w:footer="0" w:header="0"/>
          <w:type w:val="continuous"/>
        </w:sect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Cohen Voting Proxy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August 2024, Ariel Cohen, our co-founder and Chief Executive Officer and chairperson of our board of directors, entered into an irrevocable proxy agreement with his former spouse, pursuant to which Mr. Cohen holds sole voting authority over the shares of our common stock beneficially owned by, or to be issued in the future to, her. Under the terms of the agreement, Mr. Cohen may vote these shares in his sole discretion on all matters submitted to a vote of our stockholders, for so long as he remains our employee, director, other service provider or stockholder. The proxy is irrevocable and is intended to remain in effect unless terminated upon Mr. Cohen’s death or disability, our dissolution, or Mr. Cohen’s written consent.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Following the completion of this offering, certain holders of shares of our Class A common stock or their permitted transferees will be entitled to rights with respect to the registration of their shares under the Securities Act. These rights are provided under the terms of our IRA, which was entered into in connection with our redeemable convertible preferred stock financings, and include demand registration rights, Form S-3 registration rights and piggyback registration rights. In any registration made pursuant to our IRA, all fees, costs and expenses of underwritten registrations will be borne by us and all selling expenses, including underwriting discounts, selling commissions, stock transfer taxes, and fees and disbursements of counsel for any holder will be borne by the holders of the shares being registered, provided, however, that we will pay the reasonable fees and disbursements of one counsel to any selling holders not to exceed $30,000.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type w:val="continuous"/>
        </w:sectPr>
      </w:pPr>
    </w:p>
    <w:bookmarkStart w:id="189" w:name="page190"/>
    <w:bookmarkEnd w:id="189"/>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registration rights terminate (i) five years following the completion of this offering, (ii) upon a deemed liquidation event or a stock sale (both as defined in our IRA) or (iii) with respect to any particular stockholder, at the time that such stockholder can sell all of its registrable securities (as defined in our IRA) without any restriction on volume or manner of sale in any three-month period pursuant to Rule 144 of the Securities Act or any successor rule thereto.</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6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Following the completion of this offering, holders of shares of our Class A common stock, including holders of shares of Class A common stock issuable upon conversion of the Convertible Notes, will be entitled to demand registration rights at any time after 180 days after the effective date of the registration statement of which this prospectus forms a part. Under the terms of our IRA, we will be required, upon the request of holders of a majority of the shares that are entitled to registration rights under our IRA, to file a registration statement on Form S-1 to register, as soon as practicable and in any event within 90 days of the date of the request, all or a portion of these shares for public resale, if the aggregate price to the public of the shares offered is at least $25.0 million, net of selling expenses. We are required to effect only two registrations pursuant to this provision of the IRA. We may postpone the filing of a registration statement no more than once during any 12-month period for a period of not more than 90 days if our board of directors determines that the filing would be materially detrimental to us. We are not required to effect a demand registration under certain additional circumstances specified in our IRA.</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69" w:lineRule="exact"/>
        <w:rPr>
          <w:sz w:val="20"/>
          <w:szCs w:val="20"/>
          <w:color w:val="auto"/>
        </w:rPr>
      </w:pPr>
    </w:p>
    <w:p>
      <w:pPr>
        <w:ind w:left="340"/>
        <w:spacing w:after="0"/>
        <w:tabs>
          <w:tab w:leader="none" w:pos="5200" w:val="left"/>
        </w:tabs>
        <w:rPr>
          <w:sz w:val="20"/>
          <w:szCs w:val="20"/>
          <w:color w:val="auto"/>
        </w:rPr>
      </w:pPr>
      <w:r>
        <w:rPr>
          <w:rFonts w:ascii="Arial" w:cs="Arial" w:eastAsia="Arial" w:hAnsi="Arial"/>
          <w:sz w:val="18"/>
          <w:szCs w:val="18"/>
          <w:color w:val="auto"/>
        </w:rPr>
        <w:t>Following the completion of this offering, holders of</w:t>
      </w:r>
      <w:r>
        <w:rPr>
          <w:sz w:val="20"/>
          <w:szCs w:val="20"/>
          <w:color w:val="auto"/>
        </w:rPr>
        <w:tab/>
      </w:r>
      <w:r>
        <w:rPr>
          <w:rFonts w:ascii="Arial" w:cs="Arial" w:eastAsia="Arial" w:hAnsi="Arial"/>
          <w:sz w:val="18"/>
          <w:szCs w:val="18"/>
          <w:color w:val="auto"/>
        </w:rPr>
        <w:t>shares of our Class A common stock, including holders of shares of Class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common stock issuable upon conversion of the Convertible Notes, will be entitled to Form S-3 registration rights. The holders representing at least 25% of the then-outstanding shares having registration rights can request that we register all or part of their shares on Form S-3 if we are eligible to file a registration statement on Form S-3 and if the aggregate price to the public of the shares offered is at least $5.0 million, net of selling expenses. The holders may only require us to effect at most two registration statements on Form S-3 in any 12-month period. We may postpone the filing of a registration statement on Form S-3 no more than once during any 12-month period for a period of not more than 90 days if our board of directors determines that the filing would be materially detrimental to 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69" w:lineRule="exact"/>
        <w:rPr>
          <w:sz w:val="20"/>
          <w:szCs w:val="20"/>
          <w:color w:val="auto"/>
        </w:rPr>
      </w:pPr>
    </w:p>
    <w:p>
      <w:pPr>
        <w:ind w:left="340"/>
        <w:spacing w:after="0"/>
        <w:tabs>
          <w:tab w:leader="none" w:pos="6700" w:val="left"/>
        </w:tabs>
        <w:rPr>
          <w:sz w:val="20"/>
          <w:szCs w:val="20"/>
          <w:color w:val="auto"/>
        </w:rPr>
      </w:pPr>
      <w:r>
        <w:rPr>
          <w:rFonts w:ascii="Arial" w:cs="Arial" w:eastAsia="Arial" w:hAnsi="Arial"/>
          <w:sz w:val="18"/>
          <w:szCs w:val="18"/>
          <w:color w:val="auto"/>
        </w:rPr>
        <w:t>If we propose to register any of our securities for public sale, holders of</w:t>
      </w:r>
      <w:r>
        <w:rPr>
          <w:sz w:val="20"/>
          <w:szCs w:val="20"/>
          <w:color w:val="auto"/>
        </w:rPr>
        <w:tab/>
      </w:r>
      <w:r>
        <w:rPr>
          <w:rFonts w:ascii="Arial" w:cs="Arial" w:eastAsia="Arial" w:hAnsi="Arial"/>
          <w:sz w:val="17"/>
          <w:szCs w:val="17"/>
          <w:color w:val="auto"/>
        </w:rPr>
        <w:t>shares of our Class A common stock, including holders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shares of Class A common stock issuable upon conversion of the Convertible Notes,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our Class A common stock, or a registration in which the only Class A common stock being registered is Class A common stock issuable upon conversion of debt securities that 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entitled to be included by each holder. However, the number of shares to be registered by these holders cannot be reduced (i) unless all other securities (other than securities to be sold by us) are first excluded from the offering or (ii) below 30% of the total shares covered by the registration statement, other than in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provisions of the DGCL, our amended and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25" w:lineRule="exact"/>
        <w:rPr>
          <w:sz w:val="20"/>
          <w:szCs w:val="20"/>
          <w:color w:val="auto"/>
        </w:rPr>
      </w:pPr>
    </w:p>
    <w:p>
      <w:pPr>
        <w:ind w:left="660" w:right="60" w:hanging="328"/>
        <w:spacing w:after="0" w:line="28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98"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22" w:lineRule="exact"/>
        <w:rPr>
          <w:rFonts w:ascii="Arial" w:cs="Arial" w:eastAsia="Arial" w:hAnsi="Arial"/>
          <w:sz w:val="18"/>
          <w:szCs w:val="18"/>
          <w:color w:val="auto"/>
        </w:rPr>
      </w:pPr>
    </w:p>
    <w:p>
      <w:pPr>
        <w:jc w:val="both"/>
        <w:ind w:left="660" w:right="260" w:hanging="328"/>
        <w:spacing w:after="0" w:line="268"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203 defines a business combination to include:</w:t>
      </w:r>
    </w:p>
    <w:p>
      <w:pPr>
        <w:spacing w:after="0" w:line="171"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71"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98"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98"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98"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99"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Restated Bylaw Provisions</w:t>
      </w:r>
    </w:p>
    <w:p>
      <w:pPr>
        <w:spacing w:after="0" w:line="169"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Our amended and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17" w:lineRule="exact"/>
        <w:rPr>
          <w:sz w:val="20"/>
          <w:szCs w:val="20"/>
          <w:color w:val="auto"/>
        </w:rPr>
      </w:pPr>
    </w:p>
    <w:p>
      <w:pPr>
        <w:ind w:left="660" w:hanging="328"/>
        <w:spacing w:after="0" w:line="25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Dual Class Common Stock</w:t>
      </w:r>
      <w:r>
        <w:rPr>
          <w:rFonts w:ascii="Arial" w:cs="Arial" w:eastAsia="Arial" w:hAnsi="Arial"/>
          <w:sz w:val="18"/>
          <w:szCs w:val="18"/>
          <w:color w:val="auto"/>
        </w:rPr>
        <w:t>. As described above in the section titled “—Class A Common Stock and Class B Common Stock—Voting</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our amended and restated certificate of incorporation will provide for a dual class common stock structure pursuant to which our co-founders, as holders of our Class B common stock, may have significant influence over the outcome of matters requiring stockholder approval, even if they own significantly less than a majority of the shares of our outstanding Class A common stock and Class B common stock, including the election of directors and significant corporate transactions, such as a merger or other sale of our company or its assets.</w:t>
      </w:r>
    </w:p>
    <w:p>
      <w:pPr>
        <w:spacing w:after="0" w:line="12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amended and restated certificate of incorporation and our restated bylaws will authorize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25"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our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The existence of a classified board of directors could delay a successful tender offeror from obtaining majority control of our board of directors, and the prospect of that delay might deter a potential offeror. For additional information, see the section titled “Management—Classified Board of Directors.”</w:t>
      </w:r>
    </w:p>
    <w:p>
      <w:pPr>
        <w:spacing w:after="0" w:line="122"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will provide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 and only by the affirmative vote of the holders of at least two-thirds of the voting power of the then-outstanding capital stock.</w:t>
      </w:r>
    </w:p>
    <w:p>
      <w:pPr>
        <w:spacing w:after="0" w:line="116" w:lineRule="exact"/>
        <w:rPr>
          <w:rFonts w:ascii="Arial" w:cs="Arial" w:eastAsia="Arial" w:hAnsi="Arial"/>
          <w:sz w:val="18"/>
          <w:szCs w:val="18"/>
          <w:color w:val="auto"/>
        </w:rPr>
      </w:pPr>
    </w:p>
    <w:p>
      <w:pPr>
        <w:ind w:left="660" w:right="100" w:hanging="328"/>
        <w:spacing w:after="0" w:line="276" w:lineRule="auto"/>
        <w:tabs>
          <w:tab w:leader="none" w:pos="655"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Supermajority Requirements for Amendments of Our Amended and Restated Certificate of Incorporation and Restated Bylaws. </w:t>
      </w:r>
      <w:r>
        <w:rPr>
          <w:rFonts w:ascii="Arial" w:cs="Arial" w:eastAsia="Arial" w:hAnsi="Arial"/>
          <w:sz w:val="17"/>
          <w:szCs w:val="17"/>
          <w:color w:val="auto"/>
        </w:rPr>
        <w:t>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further provide that the affirmative vote of holders of at least two-thirds of the</w:t>
      </w:r>
    </w:p>
    <w:p>
      <w:pPr>
        <w:ind w:left="660" w:right="60"/>
        <w:spacing w:after="0" w:line="251" w:lineRule="auto"/>
        <w:rPr>
          <w:sz w:val="20"/>
          <w:szCs w:val="20"/>
          <w:color w:val="auto"/>
        </w:rPr>
      </w:pPr>
      <w:r>
        <w:rPr>
          <w:rFonts w:ascii="Arial" w:cs="Arial" w:eastAsia="Arial" w:hAnsi="Arial"/>
          <w:sz w:val="18"/>
          <w:szCs w:val="18"/>
          <w:color w:val="auto"/>
        </w:rPr>
        <w:t>voting power of all of the then outstanding shares of capital stock will be required to amend certain provisions of our amended and restated certificate of incorporation, including provisions relating to the classified board, the size of our board of directors, removal of directors, special meetings, actions by written consent and designation of our preferred stock. In addition, the affirmative vote of holders of % of the voting power of each of our Class A common stock and Class B common stock, voting separately by class, will be required to amend the provisions of our amended and restated certificate of incorporation relating to the terms of our Class A common stock or Class B common stock. The affirmative vote of holders of at least two-thirds of the voting power of all of the then outstanding shares of capital stock will be required to amend or repeal our restated bylaws, although our restated bylaws may be amended by a simple majority vote of our board of directors. Additionally, in the case of any proposed adoption, amendment, or repeal of any provisions of the restated bylaws that is approved by our board of directors and submitted to the stockholders for adoption, if two-thirds of our board of directors has approved such adoption, amendment, or repeal of any provisions of our restated bylaws, then only the affirmative vote of a majority of the voting power of all of the then outstanding shares of capital stock shall be required to adopt, amend, or repeal any provision of our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320" w:top="1440" w:right="379" w:bottom="1440" w:gutter="0" w:footer="0" w:header="0"/>
        </w:sectPr>
      </w:pPr>
    </w:p>
    <w:bookmarkStart w:id="192" w:name="page193"/>
    <w:bookmarkEnd w:id="192"/>
    <w:p>
      <w:pPr>
        <w:spacing w:after="0" w:line="247" w:lineRule="exact"/>
        <w:rPr>
          <w:sz w:val="20"/>
          <w:szCs w:val="20"/>
          <w:color w:val="auto"/>
        </w:rPr>
      </w:pPr>
    </w:p>
    <w:p>
      <w:pPr>
        <w:ind w:left="328" w:hanging="328"/>
        <w:spacing w:after="0" w:line="255" w:lineRule="auto"/>
        <w:tabs>
          <w:tab w:leader="none" w:pos="323"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will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30" w:lineRule="exact"/>
        <w:rPr>
          <w:rFonts w:ascii="Arial" w:cs="Arial" w:eastAsia="Arial" w:hAnsi="Arial"/>
          <w:sz w:val="18"/>
          <w:szCs w:val="18"/>
          <w:color w:val="auto"/>
        </w:rPr>
      </w:pPr>
    </w:p>
    <w:p>
      <w:pPr>
        <w:ind w:left="328" w:right="60" w:hanging="328"/>
        <w:spacing w:after="0" w:line="256" w:lineRule="auto"/>
        <w:tabs>
          <w:tab w:leader="none" w:pos="323"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28" w:lineRule="exact"/>
        <w:rPr>
          <w:rFonts w:ascii="Arial" w:cs="Arial" w:eastAsia="Arial" w:hAnsi="Arial"/>
          <w:sz w:val="18"/>
          <w:szCs w:val="18"/>
          <w:color w:val="auto"/>
        </w:rPr>
      </w:pPr>
    </w:p>
    <w:p>
      <w:pPr>
        <w:ind w:left="328" w:right="60" w:hanging="328"/>
        <w:spacing w:after="0" w:line="268" w:lineRule="auto"/>
        <w:tabs>
          <w:tab w:leader="none" w:pos="323"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and restated bylaws will not provide for cumulative voting.</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We anticipate that after the filing of our amended and restated certificate of incorporation,</w:t>
      </w:r>
    </w:p>
    <w:p>
      <w:pPr>
        <w:spacing w:after="0" w:line="27" w:lineRule="exact"/>
        <w:rPr>
          <w:sz w:val="20"/>
          <w:szCs w:val="20"/>
          <w:color w:val="auto"/>
        </w:rPr>
      </w:pPr>
    </w:p>
    <w:p>
      <w:pPr>
        <w:ind w:left="328"/>
        <w:spacing w:after="0" w:line="255" w:lineRule="auto"/>
        <w:rPr>
          <w:sz w:val="20"/>
          <w:szCs w:val="20"/>
          <w:color w:val="auto"/>
        </w:rPr>
      </w:pPr>
      <w:r>
        <w:rPr>
          <w:rFonts w:ascii="Arial" w:cs="Arial" w:eastAsia="Arial" w:hAnsi="Arial"/>
          <w:sz w:val="18"/>
          <w:szCs w:val="18"/>
          <w:color w:val="auto"/>
        </w:rPr>
        <w:t>our board of directors will have the authority, 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28" w:lineRule="exact"/>
        <w:rPr>
          <w:sz w:val="20"/>
          <w:szCs w:val="20"/>
          <w:color w:val="auto"/>
        </w:rPr>
      </w:pPr>
    </w:p>
    <w:p>
      <w:pPr>
        <w:ind w:left="328" w:right="20" w:hanging="328"/>
        <w:spacing w:after="0" w:line="253" w:lineRule="auto"/>
        <w:tabs>
          <w:tab w:leader="none" w:pos="323"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In addition, our amended and restated certificate of incorporation will provide that, to the fullest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restated bylaws; any action asserting a claim against us that is governed by the internal affairs doctrine; or any to interpret, apply, enforce, or determine the validity of the amended and restated certificate of incorporation or restated bylaws.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contain a Federal Forum Provision. While there can be no assurance that federal or state courts will follow the holding of the Supreme Court of the State of Delaware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As Section 22 of the Securities Act creates concurrent jurisdiction for federal and state courts over all suits brought to enforce any duty or liability created by the Securities Act or the rules and regulations thereunder, there 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908"/>
          </w:cols>
          <w:pgMar w:left="652" w:top="1440" w:right="339" w:bottom="1440" w:gutter="0" w:footer="0" w:header="0"/>
        </w:sectPr>
      </w:pPr>
    </w:p>
    <w:bookmarkStart w:id="193" w:name="page194"/>
    <w:bookmarkEnd w:id="193"/>
    <w:p>
      <w:pPr>
        <w:spacing w:after="0" w:line="247"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as to whether a court would enforce such provision. Further,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If a court were to find the Federal 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1"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and Class B common stock will be Computershare Trust Company, N.A. The transfer agent’s address is 150 Royall Street, Canton, Massachusetts 02021.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apply to list our Class A common stock on Nasdaq under the symbol “NAVN.”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320" w:top="1440" w:right="379" w:bottom="1440" w:gutter="0" w:footer="0" w:header="0"/>
        </w:sectPr>
      </w:pPr>
    </w:p>
    <w:bookmarkStart w:id="194" w:name="page195"/>
    <w:bookmarkEnd w:id="194"/>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1"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Before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w:t>
      </w:r>
    </w:p>
    <w:p>
      <w:pPr>
        <w:spacing w:after="0" w:line="117"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Nevertheless, sales of substantial amounts of our Class A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Upon the completion of this offering, based on the shares of our capital stock outstanding as of , 2025, we will have a total of shares of our Class A common stock outstanding and shares of our Class B common stock outstanding, assuming (i) the Capital Stock Conversion, the Note Conversion, and the SAFE Conversion, (ii) the net issuance of shares of Class A common stock in connection with the RSU Net Settlement, after withholding shares to satisfy estimated tax withholding and remittance obligations (based</w:t>
      </w:r>
    </w:p>
    <w:p>
      <w:pPr>
        <w:spacing w:after="0" w:line="2"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on the assumed initial public offering price of $</w:t>
      </w:r>
      <w:r>
        <w:rPr>
          <w:sz w:val="20"/>
          <w:szCs w:val="20"/>
          <w:color w:val="auto"/>
        </w:rPr>
        <w:tab/>
      </w:r>
      <w:r>
        <w:rPr>
          <w:rFonts w:ascii="Arial" w:cs="Arial" w:eastAsia="Arial" w:hAnsi="Arial"/>
          <w:sz w:val="18"/>
          <w:szCs w:val="18"/>
          <w:color w:val="auto"/>
        </w:rPr>
        <w:t>per share, the midpoint of the price range set forth on the cover page of this prospectus,</w:t>
      </w:r>
    </w:p>
    <w:p>
      <w:pPr>
        <w:spacing w:after="0" w:line="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and an assumed % tax withholding rate), and (iii) the issuance of shares of common stock in this offering. Of these outstanding shares, all of the shares of Class A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128"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The remaining outstanding shares of our Class A common stock and Class B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a result of the lock-up agreements described below and the provisions of our IRA described in the section titled “Description of Capital Stock—Registration Rights,” and subject to the provisions of Rule 144 or Rule 701, shares of our common stock will be available for sale in the public market as follows:</w:t>
      </w:r>
    </w:p>
    <w:p>
      <w:pPr>
        <w:sectPr>
          <w:pgSz w:w="11900" w:h="16838" w:orient="portrait"/>
          <w:cols w:equalWidth="0" w:num="1">
            <w:col w:w="11220"/>
          </w:cols>
          <w:pgMar w:left="320" w:top="1440" w:right="35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hanging="4"/>
        <w:spacing w:after="0" w:line="318" w:lineRule="auto"/>
        <w:rPr>
          <w:sz w:val="20"/>
          <w:szCs w:val="20"/>
          <w:color w:val="auto"/>
        </w:rPr>
      </w:pPr>
      <w:r>
        <w:rPr>
          <w:rFonts w:ascii="Arial" w:cs="Arial" w:eastAsia="Arial" w:hAnsi="Arial"/>
          <w:sz w:val="17"/>
          <w:szCs w:val="17"/>
          <w:color w:val="auto"/>
        </w:rPr>
        <w:t>beginning on the date of this prospectus, all available for sale in the public market; 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A common stock sold in this offering will be immediately</w:t>
      </w:r>
    </w:p>
    <w:p>
      <w:pPr>
        <w:spacing w:after="0" w:line="398" w:lineRule="exact"/>
        <w:rPr>
          <w:sz w:val="20"/>
          <w:szCs w:val="20"/>
          <w:color w:val="auto"/>
        </w:rPr>
      </w:pPr>
    </w:p>
    <w:p>
      <w:pPr>
        <w:sectPr>
          <w:pgSz w:w="11900" w:h="16838" w:orient="portrait"/>
          <w:cols w:equalWidth="0" w:num="3">
            <w:col w:w="400" w:space="260"/>
            <w:col w:w="3640" w:space="720"/>
            <w:col w:w="6200"/>
          </w:cols>
          <w:pgMar w:left="320" w:top="1440" w:right="359" w:bottom="1440" w:gutter="0" w:footer="0" w:header="0"/>
          <w:type w:val="continuous"/>
        </w:sectPr>
      </w:pPr>
    </w:p>
    <w:p>
      <w:pPr>
        <w:ind w:left="660" w:hanging="328"/>
        <w:spacing w:after="0"/>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extension as described in the section titled “Underwriting”</w:t>
      </w:r>
    </w:p>
    <w:p>
      <w:pPr>
        <w:sectPr>
          <w:pgSz w:w="11900" w:h="16838" w:orient="portrait"/>
          <w:cols w:equalWidth="0" w:num="1">
            <w:col w:w="11220"/>
          </w:cols>
          <w:pgMar w:left="320" w:top="1440" w:right="359" w:bottom="1440" w:gutter="0" w:footer="0" w:header="0"/>
          <w:type w:val="continuous"/>
        </w:sectPr>
      </w:pPr>
    </w:p>
    <w:p>
      <w:pPr>
        <w:spacing w:after="0" w:line="43" w:lineRule="exact"/>
        <w:rPr>
          <w:sz w:val="20"/>
          <w:szCs w:val="20"/>
          <w:color w:val="auto"/>
        </w:rPr>
      </w:pPr>
    </w:p>
    <w:p>
      <w:pPr>
        <w:ind w:left="660" w:right="60"/>
        <w:spacing w:after="0" w:line="260" w:lineRule="auto"/>
        <w:rPr>
          <w:sz w:val="20"/>
          <w:szCs w:val="20"/>
          <w:color w:val="auto"/>
        </w:rPr>
      </w:pPr>
      <w:r>
        <w:rPr>
          <w:rFonts w:ascii="Arial" w:cs="Arial" w:eastAsia="Arial" w:hAnsi="Arial"/>
          <w:sz w:val="18"/>
          <w:szCs w:val="18"/>
          <w:color w:val="auto"/>
        </w:rPr>
        <w:t>below, additional shares will become eligible for sale in the public market, of which shares will be held by affiliates and subject to the volume and other restrictions of Rule 144, as described below.</w:t>
      </w:r>
    </w:p>
    <w:p>
      <w:pPr>
        <w:sectPr>
          <w:pgSz w:w="11900" w:h="16838" w:orient="portrait"/>
          <w:cols w:equalWidth="0" w:num="1">
            <w:col w:w="11220"/>
          </w:cols>
          <w:pgMar w:left="320" w:top="1440" w:right="35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“Underwriting” for a description of the lock-up agreements applicable to our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320" w:top="1440" w:right="359" w:bottom="1440" w:gutter="0" w:footer="0" w:header="0"/>
          <w:type w:val="continuous"/>
        </w:sectPr>
      </w:pPr>
    </w:p>
    <w:bookmarkStart w:id="195" w:name="page196"/>
    <w:bookmarkEnd w:id="195"/>
    <w:p>
      <w:pPr>
        <w:spacing w:after="0" w:line="24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117" w:lineRule="exact"/>
        <w:rPr>
          <w:sz w:val="20"/>
          <w:szCs w:val="20"/>
          <w:color w:val="auto"/>
        </w:rPr>
      </w:pPr>
    </w:p>
    <w:p>
      <w:pPr>
        <w:ind w:left="660" w:right="40" w:hanging="328"/>
        <w:spacing w:after="0" w:line="28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shares immediately after this offering; or</w:t>
      </w:r>
    </w:p>
    <w:p>
      <w:pPr>
        <w:spacing w:after="0" w:line="98"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99"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w:t>
      </w:r>
    </w:p>
    <w:p>
      <w:pPr>
        <w:spacing w:after="0" w:line="1" w:lineRule="exact"/>
        <w:rPr>
          <w:sz w:val="20"/>
          <w:szCs w:val="20"/>
          <w:color w:val="auto"/>
        </w:rPr>
      </w:pPr>
    </w:p>
    <w:p>
      <w:pPr>
        <w:ind w:right="160" w:firstLine="8"/>
        <w:spacing w:after="0" w:line="258" w:lineRule="auto"/>
        <w:tabs>
          <w:tab w:leader="none" w:pos="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RSUs</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soon as practicable after the completion of this offering, we intend to file one or more registration statements on Form S-8 under the Securities Act covering all of the shares of our common stock subject to outstanding options and RSUs and the shares of our Class A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1"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320" w:top="1440" w:right="379" w:bottom="1440" w:gutter="0" w:footer="0" w:header="0"/>
        </w:sectPr>
      </w:pPr>
    </w:p>
    <w:bookmarkStart w:id="196" w:name="page197"/>
    <w:bookmarkEnd w:id="196"/>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Class A common stock acquired in this offering by Non-U.S. Holders (as defined below). This discussion does not address all aspects of U.S. federal income taxes, does not discuss the potential application of any alternative minimum tax, the special tax accounting rules under Section 451(b) of the Code, or the Medicare contribution tax on net investment income, and does not deal with state or local taxes, U.S. federal gift or estate tax laws, or any non-U.S. tax consequences that may be relevant to Non-U.S. Holders in light of their particular circumstances.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Code, such as:</w:t>
      </w:r>
    </w:p>
    <w:p>
      <w:pPr>
        <w:spacing w:after="0" w:line="153"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71"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non-U.S. governments and international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dealers and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Class A common stock or any shares of our Class B common stock;</w:t>
      </w:r>
    </w:p>
    <w:p>
      <w:pPr>
        <w:spacing w:after="0" w:line="171"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“controlled foreign corporations,” as defined in Section 957 of the Code, “passive foreign investment companies,” as defined in Section 1297 of the Code, and corporations that accumulate earnings to avoid U.S. federal income tax;</w:t>
      </w:r>
    </w:p>
    <w:p>
      <w:pPr>
        <w:spacing w:after="0" w:line="98"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that hold our Class A common stock as part of a “straddle,” “hedge,” “conversion transaction,” “synthetic security,” or integrated investment or other risk reduction strategy;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71"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 (generally, for investment purposes); and</w:t>
      </w:r>
    </w:p>
    <w:p>
      <w:pPr>
        <w:spacing w:after="0" w:line="98"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(regardless of their places of organization or formation).</w:t>
      </w:r>
    </w:p>
    <w:p>
      <w:pPr>
        <w:spacing w:after="0" w:line="99" w:lineRule="exact"/>
        <w:rPr>
          <w:sz w:val="20"/>
          <w:szCs w:val="20"/>
          <w:color w:val="auto"/>
        </w:rPr>
      </w:pPr>
    </w:p>
    <w:p>
      <w:pPr>
        <w:ind w:right="1120" w:firstLine="324"/>
        <w:spacing w:after="0" w:line="287"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 of the ownership or disposition of our Class A common stock.</w:t>
      </w:r>
    </w:p>
    <w:p>
      <w:pPr>
        <w:spacing w:after="0" w:line="9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Furthermore, the discussion below is based upon the provisions of the Code, Treasury Regulations promulgated thereunder, rulings and administrative pronouncements of the Internal Revenue Service, or the IRS, and judicial decisions thereunder, all as of the date hereof, and such authorities may be repealed, revoked, or modified, possibly retroactively, and are subject to differing interpretations which could result in U.S. federal income tax consequences different from those discussed below.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legislation currently proposed in the U.S. Congress could affect the tax treatment of certain Non-U.S. Holders in respect of U.S.-source income and income effectively connected with a U.S. trade or business. We have not 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12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PERSONS CONSIDERING THE PURCHASE OF OUR CLASS A COMMON STOCK PURSUANT TO THIS OFFERING SHOULD CONSULT THEIR OWN TAX ADVISORS CONCERNING THE U.S. FEDERAL INCOME TAX CONSEQUENCES OF ACQUIRING, OWNING, AND DISPOSING OF OUR CLASS A COMMON STOCK IN 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purposes of this discussion, a “Non-U.S. Holder” is a beneficial owner of our Class A common stock that is not a U.S. Holder or an entity or arrangement treated as a partnership or other pass-through entity for U.S. federal income tax purposes. A “U.S. Holder” is a beneficial owner of our Class A common stock that is,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if it (A) is subject to the primary supervision of a court within the United States and one or more United States persons (within the meaning of Section 7701(a)(30) of the Code) have the authority to control all substantial decisions of the trust or (B) has a valid election in effect under applicable U.S. Treasury Regulations to be treated as a United States person.</w:t>
      </w:r>
    </w:p>
    <w:p>
      <w:pPr>
        <w:spacing w:after="0" w:line="1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you are an individual who is not a U.S. citizen, you may be deemed to be a resident of the United States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Class A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do not anticipate paying any dividends on our Class A common stock in the foreseeable future. If we do make distributions on our Class A common stock, however, such distributions made to a Non-U.S. Holder will constitute dividends for U.S. federal income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Class A common stock. Any remaining excess will be treated as capital gain realized on the sale or exchange of our Class A common stock as described below under the section titled “—Gain on Disposition of Our Class A Common Stock.”</w:t>
      </w:r>
    </w:p>
    <w:p>
      <w:pPr>
        <w:spacing w:after="0" w:line="1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Any distribution on our Class A common stock that is treated as a dividend paid to a Non-U.S. Holder that is not effectively connected with the holder’s conduct of a trade or business in the United States generally will be subject to withholding tax at a 30% rate or such lower rate as may be specified by an applicable income tax treaty between the United States and the Non-U.S. Holder’s country of residence. To obtain a reduced rate of withholding tax under an applicable income tax treaty, a Non-U.S. Holder generally will be required to provide the applicable withholding agent with a properly executed IRS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W-8BEN, IRS Form W-8BEN-E, or other appropriate form, certifying the Non-U.S. Holder’s entitlement to benefits under that income tax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will then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If you are eligible for a reduced rate of U.S. withholding tax under an income tax treaty, you should consult with your own tax advisor to determine if you are able to obtain a refund or credit of any excess amounts withheld.</w:t>
      </w:r>
    </w:p>
    <w:p>
      <w:pPr>
        <w:spacing w:after="0" w:line="13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U.S. federal income tax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31"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See also the section titled “—Foreign Accounts” for additional withholding rules that may apply to dividends paid to certain foreign financial institutions or non-financial foreign entities.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Subject to the discussions below under the sections titled “—Backup Withholding and Information Reporting” and “—Foreign Accounts,” a Non-U.S. Holder generally will not be subject to U.S. federal income or withholding tax with respect to gain realized on a sale or other taxable disposition of our Class A common stock unless (i) the gain is effectively connected with a trade or business of the Non-U.S. Holder in the United States (and, if required by an applicable income tax treaty, is attributable to a permanent establishment or fixed base that the Non-U.S. Holder maintains in the United States), (ii) the Non-U.S. Holder is a nonresident alien individual and is present in the United States for 183 or more days in the taxable year of the disposition and certain other conditions are met, or (iii) we are or have been a “United States real property holding corporation” within the meaning of Section 897(c)(2) of the Code at any time within the shorter of the five-year period preceding such disposition or the Non-U.S. Holder’s holding period in the Class A common stock.</w:t>
      </w:r>
    </w:p>
    <w:p>
      <w:pPr>
        <w:spacing w:after="0" w:line="13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If you are a Non-U.S. Holder, gain described in (i) above will be subject to U.S. federal income tax on the net gain derived from the sale at the regular U.S. federal income tax rates applicable to U.S. persons. If you are a corporate Non-U.S. Holder, gain described in (i) above may also be subject to the additional branch profits tax at a 30% rate or such lower rate as may be specified by an applicable income tax treaty. If you are an individual Non-U.S. Holder described in (ii) above, you will be required to pay a flat 30% tax on the gain derived from the sale (or such lower rate as may be specified by an applicable income tax treaty), which gain may be offset by certain U.S. source capital losses (even though you are not considered a resident of the United States), provided you have timely filed U.S. federal income tax returns with respect to such losses. With respect to (iii) above, in general, we would be a United States real property holding corporation if United States real property interests (as defined in the Code and the Treasury Regulations) comprised (by fair market value) at least half of our worldwide real property and our other assets which are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80"/>
          </w:cols>
          <w:pgMar w:left="320" w:top="1440" w:right="399" w:bottom="1440" w:gutter="0" w:footer="0" w:header="0"/>
        </w:sectPr>
      </w:pPr>
    </w:p>
    <w:bookmarkStart w:id="199" w:name="page200"/>
    <w:bookmarkEnd w:id="199"/>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 disposition of our Class A common stock will not be subject to U.S. federal income tax so long as (i) the Non-U.S. Holder owned, directly, indirectly, and constructively, no more than five percent of our Class A common stock at all times within the shorter of (A) the five-year period preceding the disposition or (B) the Non-U.S. Holder’s holding period and (ii) our Class A common stock is regularly traded on an established securities market for purposes of the relevant rules. There can be no assurance that our Class A common stock will qualify as regularly traded on an established securities market for this purpose. If we are treated as a United States real property holding corporation and the exception described in the previous two sentences does not apply, gain realized by a Non-U.S. Holder on a disposition of our Class A common stock generally will be subject to U.S. federal income tax at the regular U.S. federal income tax rates applicable to U.S. persons.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Generally, we or an applicable withholding agent must report information to the IRS with respect to any distributions we pay on our Class A common stock, including the amount of any such distributions,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2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2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Class A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only, certain brokers with substantial U.S. ownership or operations will generally be treated in a manner similar to U.S. brokers.</w:t>
      </w:r>
    </w:p>
    <w:p>
      <w:pPr>
        <w:spacing w:after="0" w:line="127"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own tax advisor to determine whether you are able to obtain a tax refund or credit of any overpaid amount.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U.S. federal withholding taxes may apply under the Foreign Account Tax Compliance Act, or FATCA, on certain types of payments, including dividends on our Class A common stock, made to non-U.S. financial institutions and certain other non-U.S. entities. Specifically, a 30% withholding tax may be imposed on dividends on our Class A common stock paid to a “foreign financial institution” or a “non-financial foreign entity” (each as defined in the Code), unless (i) the foreign financial institution agrees to undertake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requirements in (i)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tax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Although the Code provides that FATCA withholding generally also will apply to payments of gross proceeds from the sale or other disposition of our Class A common stock, proposed U.S. Treasury Regulations have been released that, if finalized in their present form, would eliminate the FATCA withholding of 30% applicable to gross proceeds from sales or other dispositions of our Class A common stock (other than amounts treated dividends). The preamble to the proposed U.S. Treasury Regulations states that taxpayers generally may rely on them until final U.S. Treasury Regulations are issued.</w:t>
      </w:r>
    </w:p>
    <w:p>
      <w:pPr>
        <w:spacing w:after="0" w:line="125"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taxes under FATCA to their investment in our Class A common stock.</w:t>
      </w:r>
    </w:p>
    <w:p>
      <w:pPr>
        <w:spacing w:after="0" w:line="99" w:lineRule="exact"/>
        <w:rPr>
          <w:sz w:val="20"/>
          <w:szCs w:val="20"/>
          <w:color w:val="auto"/>
        </w:rPr>
      </w:pPr>
    </w:p>
    <w:p>
      <w:pPr>
        <w:ind w:right="40" w:firstLine="324"/>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TAX CONSEQUENCES OF ACQUIRING, OWNING, AND DISPOSING OF OUR CLASS A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the selling stockholders and the underwriters named below will enter into an underwriting agreement with respect to the shares of Class A common stock being offered. Subject to certain conditions, each underwriter will severally agree to purchase the number of shares of Class A common stock indicated in the following table. Goldman Sachs &amp; Co. LLC and Citigroup Global Markets Inc. are the representatives of the underwriters.</w:t>
      </w:r>
    </w:p>
    <w:p>
      <w:pPr>
        <w:spacing w:after="0" w:line="186"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Citizens 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Oppenheimer &amp; Co.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MUFG Securities Americas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20320</wp:posOffset>
            </wp:positionV>
            <wp:extent cx="9944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63"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The underwriters will be committed to take and pay for all of the shares of Class A common stock being offered, if any are taken, other than the shares of Class A common stock covered by the option described below unless and until this option is exercised.</w:t>
      </w:r>
    </w:p>
    <w:p>
      <w:pPr>
        <w:spacing w:after="0" w:line="9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underwriters will have an option to buy up to an additional shares of Class A common stock from us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spacing w:after="0" w:line="2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additional shares of our Class A common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4"/>
        </w:trPr>
        <w:tc>
          <w:tcPr>
            <w:tcW w:w="8020" w:type="dxa"/>
            <w:vAlign w:val="bottom"/>
            <w:tcBorders>
              <w:top w:val="single" w:sz="8" w:color="CCEEFF"/>
            </w:tcBorders>
            <w:shd w:val="clear" w:color="auto" w:fill="CCEEFF"/>
          </w:tcPr>
          <w:p>
            <w:pPr>
              <w:jc w:val="center"/>
              <w:ind w:right="7070"/>
              <w:spacing w:after="0"/>
              <w:rPr>
                <w:sz w:val="20"/>
                <w:szCs w:val="20"/>
                <w:color w:val="auto"/>
              </w:rPr>
            </w:pPr>
            <w:r>
              <w:rPr>
                <w:rFonts w:ascii="Arial" w:cs="Arial" w:eastAsia="Arial" w:hAnsi="Arial"/>
                <w:sz w:val="18"/>
                <w:szCs w:val="18"/>
                <w:color w:val="auto"/>
              </w:rPr>
              <w:t>Per Share</w:t>
            </w: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9"/>
        </w:trPr>
        <w:tc>
          <w:tcPr>
            <w:tcW w:w="8020" w:type="dxa"/>
            <w:vAlign w:val="bottom"/>
          </w:tcPr>
          <w:p>
            <w:pPr>
              <w:jc w:val="center"/>
              <w:ind w:right="7070"/>
              <w:spacing w:after="0"/>
              <w:rPr>
                <w:sz w:val="20"/>
                <w:szCs w:val="20"/>
                <w:color w:val="auto"/>
              </w:rPr>
            </w:pPr>
            <w:r>
              <w:rPr>
                <w:rFonts w:ascii="Arial" w:cs="Arial" w:eastAsia="Arial" w:hAnsi="Arial"/>
                <w:sz w:val="18"/>
                <w:szCs w:val="18"/>
                <w:color w:val="auto"/>
                <w:w w:val="94"/>
              </w:rPr>
              <w:t>Total</w:t>
            </w: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 discount of</w:t>
      </w:r>
    </w:p>
    <w:p>
      <w:pPr>
        <w:ind w:right="640"/>
        <w:spacing w:after="0" w:line="258" w:lineRule="auto"/>
        <w:rPr>
          <w:sz w:val="20"/>
          <w:szCs w:val="20"/>
          <w:color w:val="auto"/>
        </w:rPr>
      </w:pPr>
      <w:r>
        <w:rPr>
          <w:rFonts w:ascii="Arial" w:cs="Arial" w:eastAsia="Arial" w:hAnsi="Arial"/>
          <w:sz w:val="18"/>
          <w:szCs w:val="18"/>
          <w:color w:val="auto"/>
        </w:rPr>
        <w:t>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all of our directors, executive officers, the selling stockholders, and holders of substantially all of our common stock and securities exercisable for or convertible into shares of our common stock outstanding immediately prior to the completion of this offering have agreed or will agree with the underwriters, subject to certain exceptions, not to dispose of or hedge any shares of our common stock, or any securities convertible into, exchangeable for or that represent the right to receive shares of our common stock during the period from the date of this prospectus through and including the 180th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4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after the date of this prospectus, or the Lock-Up Period, except with the prior written consent of the representatives. See the section title “Shares Eligible for Future Sale” for a discussion of certain transfer restrictions.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Subject to certain additional limitations, including those relating to public filings required to be or voluntarily made in connection with a</w:t>
      </w:r>
    </w:p>
    <w:p>
      <w:pPr>
        <w:spacing w:after="0" w:line="27" w:lineRule="exact"/>
        <w:rPr>
          <w:sz w:val="20"/>
          <w:szCs w:val="20"/>
          <w:color w:val="auto"/>
        </w:rPr>
      </w:pPr>
    </w:p>
    <w:p>
      <w:pPr>
        <w:spacing w:after="0"/>
        <w:tabs>
          <w:tab w:leader="none" w:pos="7280" w:val="left"/>
        </w:tabs>
        <w:rPr>
          <w:sz w:val="20"/>
          <w:szCs w:val="20"/>
          <w:color w:val="auto"/>
        </w:rPr>
      </w:pPr>
      <w:r>
        <w:rPr>
          <w:rFonts w:ascii="Arial" w:cs="Arial" w:eastAsia="Arial" w:hAnsi="Arial"/>
          <w:sz w:val="18"/>
          <w:szCs w:val="18"/>
          <w:color w:val="auto"/>
        </w:rPr>
        <w:t>transfer, the restrictions contained in the lock-up agreements do not apply to:</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The representatives may, in their discretion, release any of the securities subject to these lockup agreements at any time, subject to applicable notice requirements.</w:t>
      </w:r>
    </w:p>
    <w:p>
      <w:pPr>
        <w:spacing w:after="0" w:line="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Prior to the offering, there has been no public market for the shares of our Class A common stock. The initial public offering price will be negotiated between us, the selling stockholders and the representatives. Among the factors to be considered in determining the initial public offering price of the shares of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apply to list our Class A common stock on Nasdaq under the symbol “NAVN.”</w:t>
      </w:r>
    </w:p>
    <w:p>
      <w:pPr>
        <w:spacing w:after="0" w:line="17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31"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28"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We will agree to reimburse the underwriters for expenses in an amount not to exceed $ . We and the selling stockholders will also agree to indemnify the several underwriters against certain liabilities, including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320" w:top="1440" w:right="359" w:bottom="1440" w:gutter="0" w:footer="0" w:header="0"/>
        </w:sectPr>
      </w:pPr>
    </w:p>
    <w:bookmarkStart w:id="203" w:name="page204"/>
    <w:bookmarkEnd w:id="203"/>
    <w:p>
      <w:pPr>
        <w:spacing w:after="0" w:line="2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Goldman Sachs Bank USA, an affiliate of Goldman Sachs &amp; Co. LLC, is the administrative agent and a lender under the Warehouse Credit Agreement. Citibank, an affiliate of Citigroup Global Markets Inc., is the administrative agent and a lender under the ABL Facility. In addition, affiliates of BNP Paribas Securities Corp. and Citizens JMP Securities, LLC are lenders under the ABL Facility. Certain of the underwriters and their respective affiliates are our customers or have been customers from time to time and may be customers in the future in arm’s length transactions on market competitive terms.</w:t>
      </w:r>
    </w:p>
    <w:p>
      <w:pPr>
        <w:spacing w:after="0" w:line="12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71"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 relation to each Member State of the European Economic Area, each, a Relevant Member State, an offer to the public of any Class A common stock may not be made in that Relevant Member State, except that an offer to the public in that Relevant Member State of any Class A common stock may be made at any time under the following exemptions under the EU Prospectus Regulation:</w:t>
      </w:r>
    </w:p>
    <w:p>
      <w:pPr>
        <w:spacing w:after="0" w:line="117"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joint book-running managers for any such offer; or</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171"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provided that no such offer of the shares of Class A common stock shall require us or any underwriter to publish a prospectus pursuant to Article 3 of the Prospectus Regulation or a supplemental prospectus pursuant to Article 23 of the Prospectus Regulation.</w:t>
      </w:r>
    </w:p>
    <w:p>
      <w:pPr>
        <w:spacing w:after="0" w:line="99"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Each person in a Relevant Member State who initially acquires any shares of Class A common stock or to whom any offer is made will be deemed to have represented, warranted and agreed to and with each of the underwriters and their affiliates and us that:</w:t>
      </w:r>
    </w:p>
    <w:p>
      <w:pPr>
        <w:spacing w:after="0" w:line="99"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is a qualified investor within the meaning of Article 2 of the EU Prospectus Regulation.</w:t>
      </w:r>
    </w:p>
    <w:p>
      <w:pPr>
        <w:spacing w:after="0" w:line="171" w:lineRule="exact"/>
        <w:rPr>
          <w:rFonts w:ascii="Arial" w:cs="Arial" w:eastAsia="Arial" w:hAnsi="Arial"/>
          <w:sz w:val="18"/>
          <w:szCs w:val="18"/>
          <w:color w:val="auto"/>
        </w:rPr>
      </w:pPr>
    </w:p>
    <w:p>
      <w:pPr>
        <w:ind w:left="660" w:hanging="328"/>
        <w:spacing w:after="0" w:line="257" w:lineRule="auto"/>
        <w:tabs>
          <w:tab w:leader="none" w:pos="6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case of any shares of Class A common stock being offered to a financial intermediary, as that term is used in Article 5(1) of the EU Prospectus Regulation, (i) the shares of Class A common stock acquired by it in the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Prospectus Regulation and the prior consent of the underwriters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320" w:top="1440" w:right="379" w:bottom="1440" w:gutter="0" w:footer="0" w:header="0"/>
        </w:sectPr>
      </w:pPr>
    </w:p>
    <w:bookmarkStart w:id="204" w:name="page205"/>
    <w:bookmarkEnd w:id="204"/>
    <w:p>
      <w:pPr>
        <w:spacing w:after="0" w:line="247" w:lineRule="exact"/>
        <w:rPr>
          <w:sz w:val="20"/>
          <w:szCs w:val="20"/>
          <w:color w:val="auto"/>
        </w:rPr>
      </w:pPr>
    </w:p>
    <w:p>
      <w:pPr>
        <w:ind w:left="660" w:right="120"/>
        <w:spacing w:after="0" w:line="268" w:lineRule="auto"/>
        <w:rPr>
          <w:sz w:val="20"/>
          <w:szCs w:val="20"/>
          <w:color w:val="auto"/>
        </w:rPr>
      </w:pPr>
      <w:r>
        <w:rPr>
          <w:rFonts w:ascii="Arial" w:cs="Arial" w:eastAsia="Arial" w:hAnsi="Arial"/>
          <w:sz w:val="18"/>
          <w:szCs w:val="18"/>
          <w:color w:val="auto"/>
        </w:rPr>
        <w:t>been given to the offer or resale; or (ii) where the shares of Class A common stock have been acquired by it on behalf of persons in any Relevant Member State other than qualified investors, the offer of those shares of Class A common stock to it is not treated under the Prospectus Regulation as having been made to such persons.</w:t>
      </w:r>
    </w:p>
    <w:p>
      <w:pPr>
        <w:spacing w:after="0" w:line="11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joint book-running managers of such fact in writing may, with the prior consent of the joint book-running managers, be permitted to acquire shares of Class A common stock in this offering.</w:t>
      </w:r>
    </w:p>
    <w:p>
      <w:pPr>
        <w:spacing w:after="0" w:line="122"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shared of Class A common stock to be offered so as to enable an investor to decide to purchase or subscribe for any shares of Class A common stock, and the expression "EU Prospectus Regulation" means Regulation (EU) 2017/1129.</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71"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An offer to the public of any Class A common stock may not be made in the United Kingdom, except that an offer to the public in the United Kingdom of any Class A common stock may be made at any time under the following exemptions under the UK Prospectus Regulation:</w:t>
      </w:r>
    </w:p>
    <w:p>
      <w:pPr>
        <w:spacing w:after="0" w:line="117"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71" w:lineRule="exact"/>
        <w:rPr>
          <w:rFonts w:ascii="Arial" w:cs="Arial" w:eastAsia="Arial" w:hAnsi="Arial"/>
          <w:sz w:val="18"/>
          <w:szCs w:val="18"/>
          <w:color w:val="auto"/>
        </w:rPr>
      </w:pPr>
    </w:p>
    <w:p>
      <w:pPr>
        <w:ind w:left="660" w:right="140" w:hanging="328"/>
        <w:spacing w:after="0" w:line="287" w:lineRule="auto"/>
        <w:tabs>
          <w:tab w:leader="none" w:pos="6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or, as amended, the FSMA,</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provided that no such offer of the shares of Class A common stock shall require us and/or any underwriter or any of their affiliates to publish a prospectus pursuant to section 85 of the FSMA or supplement a prospectus pursuant to Article 23 of the UK Prospectus Regulation and each person who initially acquires any shares of Class A common stock or to whom any offer is made will be deemed to have represented, warranted and agreed to and with us and each of the underwriters and their affiliates that it is a qualified investor within the meaning of Article 2 of the UK Prospectus Regulation.</w:t>
      </w:r>
    </w:p>
    <w:p>
      <w:pPr>
        <w:spacing w:after="0" w:line="1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2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We, the underwriters and their affiliates will rely upon the truth and accuracy of the foregoing representations, acknowledgements, and agreements. Notwithstanding the above, a person who is not a "qualified investor" and who has notified the underwriters of such fact in writing may, with the prior consent of the underwriters, be permitted to acquire shares in the offer.</w:t>
      </w:r>
    </w:p>
    <w:p>
      <w:pPr>
        <w:spacing w:after="0" w:line="117"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the United Kingdom means the communication in any form and by any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1440" w:right="359" w:bottom="1440" w:gutter="0" w:footer="0" w:header="0"/>
        </w:sectPr>
      </w:pPr>
    </w:p>
    <w:bookmarkStart w:id="205" w:name="page206"/>
    <w:bookmarkEnd w:id="205"/>
    <w:p>
      <w:pPr>
        <w:spacing w:after="0" w:line="2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 sufficient information on the terms of the offering and any shares of Class A common stock to be offered so as to enable an investor to decide to purchase or subscribe for any such shares, and the expression “UK Prospectus Regulation” means Regulation (EU) 2017/1129 as it forms part of domestic law by virtue of the European Union (Withdrawal) Act 2018.</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(A) qualified investors who are also (i) persons having professional experience in matters relating to investments who fall within the definition of investment professionals in Article 19(5) of the Financial Services and Markets Act 2000 (Financial Promotion) Order 2005, or the FPO; or (ii) high net worth entities falling within Article 49(2)(a) to (d) of the FPO; (B) persons who are outside the United Kingdom; or (C)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at, or the contents of which are likely to be accessed or read by, the public in Hong Kong (except if permitted to do so under the securities laws of Hong Kong) other than with respect to shares of Class A common stock which are or are intended to be disposed of only to persons outside Hong Kong or only to “professional investors” in Hong Kong as defined in the Securities and Futures Ordinance and any rules made thereunder.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2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shares of Class A common stock have not been and will not be registered under the Financial Instruments and Exchange Act of Japan (Act No. 25 of 1948, as amended), or the FIEA. The shares of Class A common stock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80"/>
          </w:cols>
          <w:pgMar w:left="320" w:top="1440" w:right="399" w:bottom="1440" w:gutter="0" w:footer="0" w:header="0"/>
        </w:sectPr>
      </w:pPr>
    </w:p>
    <w:bookmarkStart w:id="207" w:name="page208"/>
    <w:bookmarkEnd w:id="207"/>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7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and the offer of shares of Class A common stock has not been and will not be authorized under the Swiss Federal Act on Collective Investment Schemes, or the CISA. The investor protection afforded to acquirers of interests in collective investment schemes under the CISA does not extend to acquirers of shares of Class A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71"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22" w:lineRule="exact"/>
        <w:rPr>
          <w:sz w:val="20"/>
          <w:szCs w:val="20"/>
          <w:color w:val="auto"/>
        </w:rPr>
      </w:pPr>
    </w:p>
    <w:p>
      <w:pPr>
        <w:ind w:right="140" w:firstLine="324"/>
        <w:spacing w:after="0" w:line="282" w:lineRule="auto"/>
        <w:rPr>
          <w:sz w:val="20"/>
          <w:szCs w:val="20"/>
          <w:color w:val="auto"/>
        </w:rPr>
      </w:pPr>
      <w:r>
        <w:rPr>
          <w:rFonts w:ascii="Arial" w:cs="Arial" w:eastAsia="Arial" w:hAnsi="Arial"/>
          <w:sz w:val="17"/>
          <w:szCs w:val="17"/>
          <w:color w:val="auto"/>
        </w:rPr>
        <w:t>Any offer in Australia of the shares of Class A common stock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0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Class A common stock must observe such Australian on-sale restrictions.</w:t>
      </w:r>
    </w:p>
    <w:p>
      <w:pPr>
        <w:spacing w:after="0" w:line="12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71"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Exempt Offers. The DFSA has not approved this prospectus nor taken steps to verify the information set forth herein and has no responsibility for the prospectus. The shares of Class A common stock to which this prospectus relates may be illiquid and/or subject to restrictions on their resale. Prospective purchasers of the shares of Class A common stock should conduct their own due diligence on such shares. If you do not understand the contents of this prospectus, you should consult an authorized financial advisor.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State of Israel this prospectus shall not be regarded as an offer to the public to purchase shares of our Class A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We have not and will not distribute this prospectus or make, distribute or direct an offer to subscribe for our shares of Class A common stock to any person within the State of Israel, other than to Qualified Investors and up to 35 Addressed Investors.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In particular, we may request, as a condition to be offered shares of our Class A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Class A common stock; (iv) that the shares of our Class A common stock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Cooley LLP, Palo Alto, California, which has acted as our counsel in connection with this offering, will pass upon the validity of the issuance of the shares of our Class A common stock offered by this prospectus. Fenwick &amp; West LLP, Mountain View, California is acting as counsel to the underwriters. As of the date of this prospectus, individuals and entities associated with Fenwick &amp; West LLP beneficially own an aggregate of 864,048 shares of our Class A common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financial statements as of January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INDEPENDENT REGISTERED PUBLIC ACCOUNTING FIRM</w:t>
      </w:r>
    </w:p>
    <w:p>
      <w:pPr>
        <w:spacing w:after="0" w:line="171" w:lineRule="exact"/>
        <w:rPr>
          <w:sz w:val="20"/>
          <w:szCs w:val="20"/>
          <w:color w:val="auto"/>
        </w:rPr>
      </w:pPr>
    </w:p>
    <w:p>
      <w:pPr>
        <w:jc w:val="both"/>
        <w:ind w:right="780" w:firstLine="324"/>
        <w:spacing w:after="0" w:line="268" w:lineRule="auto"/>
        <w:rPr>
          <w:sz w:val="20"/>
          <w:szCs w:val="20"/>
          <w:color w:val="auto"/>
        </w:rPr>
      </w:pPr>
      <w:r>
        <w:rPr>
          <w:rFonts w:ascii="Arial" w:cs="Arial" w:eastAsia="Arial" w:hAnsi="Arial"/>
          <w:sz w:val="18"/>
          <w:szCs w:val="18"/>
          <w:color w:val="auto"/>
        </w:rPr>
        <w:t>On August 5, 2024, we dismissed Deloitte &amp; Touche LLP, or Deloitte, as our independent auditors. On September 18, 2024, we appointed PricewaterhouseCoopers LLP, or PwC, as our independent registered public accounting firm. The decision to change our independent registered public accounting firm was approved by our audit committee of our board of directors.</w:t>
      </w:r>
    </w:p>
    <w:p>
      <w:pPr>
        <w:spacing w:after="0" w:line="117"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Deloitte’s report on our consolidated financial statements as of and for the fiscal year ended January 31, 2023 did not contain any adverse opinion or disclaimer of opinion, nor was it qualified or modified as to uncertainty, audit scope, or accounting principles. Deloitte did not issue a report on our audited financial statements for the fiscal year ended January 31, 2024.</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fiscal years ended January 31, 2023 and January 31, 2024 and the subsequent interim period through August 5, 2024, we had no disagreements with Deloitte on any matter of accounting principles or practices, financial statement disclosure, or auditing scope or procedure, which disagreements, if not resolved to its satisfaction, would have caused Deloitte to make reference in connection with its opinion to the subject matter of the disagreement. During the fiscal years ended January 31, 2023 and January 31, 2024 and the subsequent interim period through August 5, 2024, there were no “reportable events” as such term is defined in Item 304(a)(1)(v) of Regulation S-K, except that Deloitte advised us of the following material weakness: the lack of established internal controls and procedures and an insufficient number of accounting and finance personnel possessing the necessary GAAP technical expertise at our R&amp;M subsidiary, including controls and procedures to ensure (1) journal entries are properly reviewed and approved, and (2) compliance with GAAP, specifically as it relates to accounting for revenue.</w:t>
      </w:r>
    </w:p>
    <w:p>
      <w:pPr>
        <w:spacing w:after="0" w:line="12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This reportable event was discussed between our audit committee and Deloitte. Deloitte has been authorized by us to respond fully to the inquiries of PwC concerning these reportable events. For additional details regarding this material weakness, including its remediation, and risks relating to our internal control over financial reporting, refer to the section titled “Risk Factors—Risks Related to Financial and Accounting Matters—The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29"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8"/>
          <w:szCs w:val="18"/>
          <w:color w:val="auto"/>
        </w:rPr>
        <w:t>We provided Deloitte with a copy of the foregoing disclosures and requested that Deloitte furnish a letter addressed to the SEC stating whether or not Deloitte agrees with the statements made herein, as specified by Item 304(a)(3) of Regulation S-K. See Exhibit 16.1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4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the fiscal years ended January 31, 2023 and January 31, 2024 and subsequent interim period through September 18, 2024, neither we, nor anyone acting on our behalf, consulted with PwC on matters that involved the application of accounting principles to a specified transaction, either completed or proposed, the type of audit opinion that might be rendered on our financial statements,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filed therewith. For further information about us and our Class A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w:t>
      </w:r>
    </w:p>
    <w:p>
      <w:pPr>
        <w:spacing w:after="0" w:line="12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w:t>
      </w:r>
    </w:p>
    <w:p>
      <w:pPr>
        <w:spacing w:after="0" w:line="117"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We also maintain a website at www.navan.com. Upon the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180" w:type="dxa"/>
            <w:vAlign w:val="bottom"/>
            <w:gridSpan w:val="2"/>
          </w:tcPr>
          <w:p>
            <w:pPr>
              <w:jc w:val="center"/>
              <w:ind w:right="3340"/>
              <w:spacing w:after="0"/>
              <w:rPr>
                <w:sz w:val="20"/>
                <w:szCs w:val="20"/>
                <w:color w:val="auto"/>
              </w:rPr>
            </w:pPr>
            <w:r>
              <w:rPr>
                <w:rFonts w:ascii="Arial" w:cs="Arial" w:eastAsia="Arial" w:hAnsi="Arial"/>
                <w:sz w:val="18"/>
                <w:szCs w:val="18"/>
                <w:b w:val="1"/>
                <w:bCs w:val="1"/>
                <w:color w:val="auto"/>
                <w:w w:val="98"/>
              </w:rPr>
              <w:t>NAVAN, INC. AND SUBSIDIARIES</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gridSpan w:val="6"/>
          </w:tcPr>
          <w:p>
            <w:pPr>
              <w:jc w:val="center"/>
              <w:ind w:right="18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36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Navan, Inc. and Subsidiaries</w:t>
            </w: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360" w:type="dxa"/>
            <w:vAlign w:val="bottom"/>
            <w:gridSpan w:val="9"/>
            <w:vMerge w:val="continue"/>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360" w:type="dxa"/>
            <w:vAlign w:val="bottom"/>
            <w:gridSpan w:val="9"/>
          </w:tcPr>
          <w:p>
            <w:pPr>
              <w:spacing w:after="0"/>
              <w:rPr>
                <w:sz w:val="20"/>
                <w:szCs w:val="20"/>
                <w:color w:val="auto"/>
              </w:rPr>
            </w:pPr>
            <w:r>
              <w:rPr>
                <w:rFonts w:ascii="Arial" w:cs="Arial" w:eastAsia="Arial" w:hAnsi="Arial"/>
                <w:sz w:val="18"/>
                <w:szCs w:val="18"/>
                <w:color w:val="auto"/>
              </w:rPr>
              <w:t>Consolidated Financial Statements as of and for the Years Ended January 31, 2025 and 2024</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140" w:type="dxa"/>
            <w:vAlign w:val="bottom"/>
            <w:gridSpan w:val="8"/>
          </w:tcPr>
          <w:p>
            <w:pPr>
              <w:spacing w:after="0" w:line="195" w:lineRule="exact"/>
              <w:rPr>
                <w:sz w:val="20"/>
                <w:szCs w:val="20"/>
                <w:color w:val="auto"/>
              </w:rPr>
            </w:pPr>
            <w:r>
              <w:rPr>
                <w:rFonts w:ascii="Arial" w:cs="Arial" w:eastAsia="Arial" w:hAnsi="Arial"/>
                <w:sz w:val="18"/>
                <w:szCs w:val="18"/>
                <w:color w:val="0000FF"/>
              </w:rPr>
              <w:t>Report of Independent Auditors</w:t>
            </w:r>
          </w:p>
        </w:tc>
        <w:tc>
          <w:tcPr>
            <w:tcW w:w="860" w:type="dxa"/>
            <w:vAlign w:val="bottom"/>
            <w:gridSpan w:val="3"/>
          </w:tcPr>
          <w:p>
            <w:pPr>
              <w:ind w:left="580"/>
              <w:spacing w:after="0" w:line="195" w:lineRule="exact"/>
              <w:rPr>
                <w:sz w:val="20"/>
                <w:szCs w:val="20"/>
                <w:color w:val="auto"/>
              </w:rPr>
            </w:pPr>
            <w:r>
              <w:rPr>
                <w:rFonts w:ascii="Arial" w:cs="Arial" w:eastAsia="Arial" w:hAnsi="Arial"/>
                <w:sz w:val="18"/>
                <w:szCs w:val="18"/>
                <w:color w:val="0000FF"/>
                <w:w w:val="96"/>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0000FF"/>
              </w:rPr>
              <w:t>Consolidated Balance Sheets</w:t>
            </w:r>
          </w:p>
        </w:tc>
        <w:tc>
          <w:tcPr>
            <w:tcW w:w="7640" w:type="dxa"/>
            <w:vAlign w:val="bottom"/>
            <w:gridSpan w:val="6"/>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960" w:type="dxa"/>
            <w:vAlign w:val="bottom"/>
            <w:gridSpan w:val="6"/>
          </w:tcPr>
          <w:p>
            <w:pPr>
              <w:spacing w:after="0"/>
              <w:rPr>
                <w:sz w:val="20"/>
                <w:szCs w:val="20"/>
                <w:color w:val="auto"/>
              </w:rPr>
            </w:pPr>
            <w:r>
              <w:rPr>
                <w:rFonts w:ascii="Arial" w:cs="Arial" w:eastAsia="Arial" w:hAnsi="Arial"/>
                <w:sz w:val="18"/>
                <w:szCs w:val="18"/>
                <w:color w:val="0000FF"/>
                <w:w w:val="99"/>
              </w:rPr>
              <w:t>Consolidated Statements of Comprehensive Loss</w:t>
            </w:r>
          </w:p>
        </w:tc>
        <w:tc>
          <w:tcPr>
            <w:tcW w:w="6180" w:type="dxa"/>
            <w:vAlign w:val="bottom"/>
            <w:gridSpan w:val="2"/>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Redeemable Convertible Preferred Stock and Stockholders’ Deficit</w:t>
            </w:r>
          </w:p>
        </w:tc>
        <w:tc>
          <w:tcPr>
            <w:tcW w:w="2560" w:type="dxa"/>
            <w:vAlign w:val="bottom"/>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2560" w:type="dxa"/>
            <w:vAlign w:val="bottom"/>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860" w:type="dxa"/>
            <w:vAlign w:val="bottom"/>
            <w:gridSpan w:val="3"/>
          </w:tcPr>
          <w:p>
            <w:pPr>
              <w:ind w:left="580"/>
              <w:spacing w:after="0"/>
              <w:rPr>
                <w:sz w:val="20"/>
                <w:szCs w:val="20"/>
                <w:color w:val="auto"/>
              </w:rPr>
            </w:pPr>
            <w:r>
              <w:rPr>
                <w:rFonts w:ascii="Arial" w:cs="Arial" w:eastAsia="Arial" w:hAnsi="Arial"/>
                <w:sz w:val="18"/>
                <w:szCs w:val="18"/>
                <w:color w:val="0000FF"/>
                <w:w w:val="96"/>
              </w:rPr>
              <w:t>F-8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212" w:name="page213"/>
    <w:bookmarkEnd w:id="212"/>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Navan, Inc.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audited the accompanying consolidated balance sheets of Navan, Inc. and its subsidiaries (the “Company”) as of January 31, 2025 and 2024, and the related consolidated statements of operations, of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2025 and 2024, and the results of its operations and its cash flows for the years then ended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166,421</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Restricted cash, 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148,157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95,961</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158,355</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Corporate card receivables,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157,755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224,278</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Contract acquisition costs, 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688,852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682,563</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acquisition costs, non-current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48,006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45,877</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equipment and software,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31,183</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61,012</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220,541</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19,794</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1,083,954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1,066,017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42,829</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24,320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127,242</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Notes payable, 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175,913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loan facility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 current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27,794</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446,026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187,684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45,258</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Convertible notes,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182,394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154,687</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 liability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72,150</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Warehouse credit facility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214,238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206,404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non-current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159,170</w:t>
            </w:r>
          </w:p>
        </w:tc>
        <w:tc>
          <w:tcPr>
            <w:tcW w:w="0" w:type="dxa"/>
            <w:vAlign w:val="bottom"/>
          </w:tcPr>
          <w:p>
            <w:pPr>
              <w:spacing w:after="0"/>
              <w:rPr>
                <w:sz w:val="1"/>
                <w:szCs w:val="1"/>
                <w:color w:val="auto"/>
              </w:rPr>
            </w:pP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21,184</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969,732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846,867</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line="162" w:lineRule="exact"/>
              <w:rPr>
                <w:sz w:val="20"/>
                <w:szCs w:val="20"/>
                <w:color w:val="auto"/>
              </w:rPr>
            </w:pPr>
            <w:r>
              <w:rPr>
                <w:rFonts w:ascii="Arial" w:cs="Arial" w:eastAsia="Arial" w:hAnsi="Arial"/>
                <w:sz w:val="16"/>
                <w:szCs w:val="16"/>
                <w:color w:val="auto"/>
              </w:rPr>
              <w:t>Redeemable convertible preferred stock, par value $0.00000625; 471,082,741 shares authorized; 439,080,808</w:t>
            </w: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1,301,121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1,301,121</w:t>
            </w:r>
          </w:p>
        </w:tc>
        <w:tc>
          <w:tcPr>
            <w:tcW w:w="0" w:type="dxa"/>
            <w:vAlign w:val="bottom"/>
          </w:tcPr>
          <w:p>
            <w:pPr>
              <w:spacing w:after="0"/>
              <w:rPr>
                <w:sz w:val="1"/>
                <w:szCs w:val="1"/>
                <w:color w:val="auto"/>
              </w:rPr>
            </w:pPr>
          </w:p>
        </w:tc>
      </w:tr>
      <w:tr>
        <w:trPr>
          <w:trHeight w:val="215"/>
        </w:trPr>
        <w:tc>
          <w:tcPr>
            <w:tcW w:w="7980" w:type="dxa"/>
            <w:vAlign w:val="bottom"/>
          </w:tcPr>
          <w:p>
            <w:pPr>
              <w:ind w:left="260"/>
              <w:spacing w:after="0"/>
              <w:rPr>
                <w:sz w:val="20"/>
                <w:szCs w:val="20"/>
                <w:color w:val="auto"/>
              </w:rPr>
            </w:pPr>
            <w:r>
              <w:rPr>
                <w:rFonts w:ascii="Arial" w:cs="Arial" w:eastAsia="Arial" w:hAnsi="Arial"/>
                <w:sz w:val="16"/>
                <w:szCs w:val="16"/>
                <w:color w:val="auto"/>
              </w:rPr>
              <w:t>issued and outstanding (aggregate liquidation preference of $1,301,402)</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deficit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60"/>
              <w:spacing w:after="0" w:line="162" w:lineRule="exact"/>
              <w:rPr>
                <w:sz w:val="20"/>
                <w:szCs w:val="20"/>
                <w:color w:val="auto"/>
              </w:rPr>
            </w:pPr>
            <w:r>
              <w:rPr>
                <w:rFonts w:ascii="Arial" w:cs="Arial" w:eastAsia="Arial" w:hAnsi="Arial"/>
                <w:sz w:val="16"/>
                <w:szCs w:val="16"/>
                <w:color w:val="auto"/>
              </w:rPr>
              <w:t>Common stock, par value $0.00000625 per share; 761,757,000 shares authorized, 137,352,259 and</w:t>
            </w: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7980" w:type="dxa"/>
            <w:vAlign w:val="bottom"/>
          </w:tcPr>
          <w:p>
            <w:pPr>
              <w:ind w:left="520"/>
              <w:spacing w:after="0"/>
              <w:rPr>
                <w:sz w:val="20"/>
                <w:szCs w:val="20"/>
                <w:color w:val="auto"/>
              </w:rPr>
            </w:pPr>
            <w:r>
              <w:rPr>
                <w:rFonts w:ascii="Arial" w:cs="Arial" w:eastAsia="Arial" w:hAnsi="Arial"/>
                <w:sz w:val="16"/>
                <w:szCs w:val="16"/>
                <w:color w:val="auto"/>
              </w:rPr>
              <w:t>135,354,278 shares issued and outstanding as of January 31, 2025 and 2024, respectively</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467,835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382,356</w:t>
            </w:r>
          </w:p>
        </w:tc>
        <w:tc>
          <w:tcPr>
            <w:tcW w:w="0" w:type="dxa"/>
            <w:vAlign w:val="bottom"/>
          </w:tcPr>
          <w:p>
            <w:pPr>
              <w:spacing w:after="0"/>
              <w:rPr>
                <w:sz w:val="1"/>
                <w:szCs w:val="1"/>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(1,617,113)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(1,436,035)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(28,293)</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deficit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(1,186,899)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(1,081,971)</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1,083,954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1,066,017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2"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239,634</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220,511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485,976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(75,997)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Gain (loss) on fair value adjustments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Weighted-average shares outstanding used to compute net loss per share attributable to common</w:t>
            </w:r>
          </w:p>
        </w:tc>
        <w:tc>
          <w:tcPr>
            <w:tcW w:w="3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135,818,454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133,754,772</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2"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(324,941)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2"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2"/>
                <w:szCs w:val="12"/>
                <w:color w:val="auto"/>
              </w:rPr>
            </w:pPr>
          </w:p>
        </w:tc>
        <w:tc>
          <w:tcPr>
            <w:tcW w:w="760" w:type="dxa"/>
            <w:vAlign w:val="bottom"/>
          </w:tcPr>
          <w:p>
            <w:pPr>
              <w:jc w:val="center"/>
              <w:ind w:right="5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820" w:type="dxa"/>
            <w:vAlign w:val="bottom"/>
            <w:gridSpan w:val="4"/>
          </w:tcPr>
          <w:p>
            <w:pPr>
              <w:jc w:val="right"/>
              <w:spacing w:after="0" w:line="122" w:lineRule="exact"/>
              <w:rPr>
                <w:sz w:val="20"/>
                <w:szCs w:val="20"/>
                <w:color w:val="auto"/>
              </w:rPr>
            </w:pPr>
            <w:r>
              <w:rPr>
                <w:rFonts w:ascii="Arial" w:cs="Arial" w:eastAsia="Arial" w:hAnsi="Arial"/>
                <w:sz w:val="11"/>
                <w:szCs w:val="11"/>
                <w:b w:val="1"/>
                <w:bCs w:val="1"/>
                <w:color w:val="auto"/>
                <w:w w:val="98"/>
              </w:rPr>
              <w:t>Redeemable Convertible Preferred</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3"/>
            <w:vMerge w:val="restart"/>
          </w:tcPr>
          <w:p>
            <w:pPr>
              <w:jc w:val="right"/>
              <w:ind w:right="21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4"/>
              </w:rPr>
              <w:t>paid-in</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Stock</w:t>
            </w:r>
          </w:p>
        </w:tc>
        <w:tc>
          <w:tcPr>
            <w:tcW w:w="70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5"/>
              <w:spacing w:after="0"/>
              <w:rPr>
                <w:sz w:val="20"/>
                <w:szCs w:val="20"/>
                <w:color w:val="auto"/>
              </w:rPr>
            </w:pPr>
            <w:r>
              <w:rPr>
                <w:rFonts w:ascii="Arial" w:cs="Arial" w:eastAsia="Arial" w:hAnsi="Arial"/>
                <w:sz w:val="11"/>
                <w:szCs w:val="11"/>
                <w:b w:val="1"/>
                <w:bCs w:val="1"/>
                <w:color w:val="auto"/>
                <w:w w:val="97"/>
              </w:rPr>
              <w:t>capital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w w:val="98"/>
              </w:rPr>
              <w:t>deficit</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8"/>
              </w:rPr>
              <w:t>income (loss)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98"/>
              </w:rPr>
              <w:t>deficit</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31, 2023</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439,080,808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132,888,550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298,663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(1,104,483)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(840,723)</w:t>
            </w:r>
          </w:p>
        </w:tc>
        <w:tc>
          <w:tcPr>
            <w:tcW w:w="0" w:type="dxa"/>
            <w:vAlign w:val="bottom"/>
          </w:tcPr>
          <w:p>
            <w:pPr>
              <w:spacing w:after="0"/>
              <w:rPr>
                <w:sz w:val="1"/>
                <w:szCs w:val="1"/>
                <w:color w:val="auto"/>
              </w:rPr>
            </w:pPr>
          </w:p>
        </w:tc>
      </w:tr>
      <w:tr>
        <w:trPr>
          <w:trHeight w:val="183"/>
        </w:trPr>
        <w:tc>
          <w:tcPr>
            <w:tcW w:w="3620" w:type="dxa"/>
            <w:vAlign w:val="bottom"/>
          </w:tcPr>
          <w:p>
            <w:pPr>
              <w:ind w:left="24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(331,552)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(331,552)</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6,611</w:t>
            </w:r>
          </w:p>
        </w:tc>
        <w:tc>
          <w:tcPr>
            <w:tcW w:w="0" w:type="dxa"/>
            <w:vAlign w:val="bottom"/>
          </w:tcPr>
          <w:p>
            <w:pPr>
              <w:spacing w:after="0"/>
              <w:rPr>
                <w:sz w:val="1"/>
                <w:szCs w:val="1"/>
                <w:color w:val="auto"/>
              </w:rPr>
            </w:pPr>
          </w:p>
        </w:tc>
      </w:tr>
      <w:tr>
        <w:trPr>
          <w:trHeight w:val="136"/>
        </w:trPr>
        <w:tc>
          <w:tcPr>
            <w:tcW w:w="3620" w:type="dxa"/>
            <w:vAlign w:val="bottom"/>
          </w:tcPr>
          <w:p>
            <w:pPr>
              <w:ind w:left="240"/>
              <w:spacing w:after="0" w:line="136" w:lineRule="exact"/>
              <w:rPr>
                <w:sz w:val="20"/>
                <w:szCs w:val="20"/>
                <w:color w:val="auto"/>
              </w:rPr>
            </w:pPr>
            <w:r>
              <w:rPr>
                <w:rFonts w:ascii="Arial" w:cs="Arial" w:eastAsia="Arial" w:hAnsi="Arial"/>
                <w:sz w:val="13"/>
                <w:szCs w:val="13"/>
                <w:color w:val="auto"/>
              </w:rPr>
              <w:t>Issuance of common stock upon exercise of stock</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2,465,728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6,400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6,400</w:t>
            </w:r>
          </w:p>
        </w:tc>
        <w:tc>
          <w:tcPr>
            <w:tcW w:w="0" w:type="dxa"/>
            <w:vAlign w:val="bottom"/>
          </w:tcPr>
          <w:p>
            <w:pPr>
              <w:spacing w:after="0"/>
              <w:rPr>
                <w:sz w:val="1"/>
                <w:szCs w:val="1"/>
                <w:color w:val="auto"/>
              </w:rPr>
            </w:pPr>
          </w:p>
        </w:tc>
      </w:tr>
      <w:tr>
        <w:trPr>
          <w:trHeight w:val="182"/>
        </w:trPr>
        <w:tc>
          <w:tcPr>
            <w:tcW w:w="3620" w:type="dxa"/>
            <w:vAlign w:val="bottom"/>
          </w:tcPr>
          <w:p>
            <w:pPr>
              <w:ind w:left="240"/>
              <w:spacing w:after="0"/>
              <w:rPr>
                <w:sz w:val="20"/>
                <w:szCs w:val="20"/>
                <w:color w:val="auto"/>
              </w:rPr>
            </w:pPr>
            <w:r>
              <w:rPr>
                <w:rFonts w:ascii="Arial" w:cs="Arial" w:eastAsia="Arial" w:hAnsi="Arial"/>
                <w:sz w:val="13"/>
                <w:szCs w:val="13"/>
                <w:color w:val="auto"/>
              </w:rPr>
              <w:t>options</w:t>
            </w: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Stock-based compensation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76,981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76,981</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31, 2024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439,080,808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135,354,278</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382,356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(1,436,035)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(28,293)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(1,081,971)</w:t>
            </w:r>
          </w:p>
        </w:tc>
        <w:tc>
          <w:tcPr>
            <w:tcW w:w="0" w:type="dxa"/>
            <w:vAlign w:val="bottom"/>
          </w:tcPr>
          <w:p>
            <w:pPr>
              <w:spacing w:after="0"/>
              <w:rPr>
                <w:sz w:val="1"/>
                <w:szCs w:val="1"/>
                <w:color w:val="auto"/>
              </w:rPr>
            </w:pPr>
          </w:p>
        </w:tc>
      </w:tr>
      <w:tr>
        <w:trPr>
          <w:trHeight w:val="176"/>
        </w:trPr>
        <w:tc>
          <w:tcPr>
            <w:tcW w:w="3620" w:type="dxa"/>
            <w:vAlign w:val="bottom"/>
          </w:tcPr>
          <w:p>
            <w:pPr>
              <w:ind w:left="24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(181,078)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(181,078)</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(9,329)</w:t>
            </w:r>
          </w:p>
        </w:tc>
        <w:tc>
          <w:tcPr>
            <w:tcW w:w="0" w:type="dxa"/>
            <w:vAlign w:val="bottom"/>
          </w:tcPr>
          <w:p>
            <w:pPr>
              <w:spacing w:after="0"/>
              <w:rPr>
                <w:sz w:val="1"/>
                <w:szCs w:val="1"/>
                <w:color w:val="auto"/>
              </w:rPr>
            </w:pPr>
          </w:p>
        </w:tc>
      </w:tr>
      <w:tr>
        <w:trPr>
          <w:trHeight w:val="136"/>
        </w:trPr>
        <w:tc>
          <w:tcPr>
            <w:tcW w:w="3620" w:type="dxa"/>
            <w:vAlign w:val="bottom"/>
          </w:tcPr>
          <w:p>
            <w:pPr>
              <w:ind w:left="240"/>
              <w:spacing w:after="0" w:line="136" w:lineRule="exact"/>
              <w:rPr>
                <w:sz w:val="20"/>
                <w:szCs w:val="20"/>
                <w:color w:val="auto"/>
              </w:rPr>
            </w:pPr>
            <w:r>
              <w:rPr>
                <w:rFonts w:ascii="Arial" w:cs="Arial" w:eastAsia="Arial" w:hAnsi="Arial"/>
                <w:sz w:val="13"/>
                <w:szCs w:val="13"/>
                <w:color w:val="auto"/>
              </w:rPr>
              <w:t>Issuance of common stock upon exercise of stock</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1,997,981</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4,521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4,521</w:t>
            </w:r>
          </w:p>
        </w:tc>
        <w:tc>
          <w:tcPr>
            <w:tcW w:w="0" w:type="dxa"/>
            <w:vAlign w:val="bottom"/>
          </w:tcPr>
          <w:p>
            <w:pPr>
              <w:spacing w:after="0"/>
              <w:rPr>
                <w:sz w:val="1"/>
                <w:szCs w:val="1"/>
                <w:color w:val="auto"/>
              </w:rPr>
            </w:pPr>
          </w:p>
        </w:tc>
      </w:tr>
      <w:tr>
        <w:trPr>
          <w:trHeight w:val="182"/>
        </w:trPr>
        <w:tc>
          <w:tcPr>
            <w:tcW w:w="3620" w:type="dxa"/>
            <w:vAlign w:val="bottom"/>
          </w:tcPr>
          <w:p>
            <w:pPr>
              <w:ind w:left="360"/>
              <w:spacing w:after="0"/>
              <w:rPr>
                <w:sz w:val="20"/>
                <w:szCs w:val="20"/>
                <w:color w:val="auto"/>
              </w:rPr>
            </w:pPr>
            <w:r>
              <w:rPr>
                <w:rFonts w:ascii="Arial" w:cs="Arial" w:eastAsia="Arial" w:hAnsi="Arial"/>
                <w:sz w:val="13"/>
                <w:szCs w:val="13"/>
                <w:color w:val="auto"/>
              </w:rPr>
              <w:t>options</w:t>
            </w: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Vesting of early exercised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Stock-based compensation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79,300</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31, 2025</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439,080,808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1,301,121</w:t>
            </w:r>
          </w:p>
        </w:tc>
        <w:tc>
          <w:tcPr>
            <w:tcW w:w="100" w:type="dxa"/>
            <w:vAlign w:val="bottom"/>
            <w:tcBorders>
              <w:right w:val="single" w:sz="8" w:color="auto"/>
            </w:tcBorders>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137,352,259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(1,617,113)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(1,186,899)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2"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NAVAN,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2024</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(331,552)</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Stock-based compensation, net of amounts capitalized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75,851</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interest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44,647</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26,864</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Amortization of contract acquisition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7,033</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for doubtful accounts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Loss (gain) on fair value adjustments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26,594</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176"/>
        </w:trPr>
        <w:tc>
          <w:tcPr>
            <w:tcW w:w="7980" w:type="dxa"/>
            <w:vAlign w:val="bottom"/>
          </w:tcPr>
          <w:p>
            <w:pPr>
              <w:ind w:left="480"/>
              <w:spacing w:after="0" w:line="176" w:lineRule="exact"/>
              <w:rPr>
                <w:sz w:val="20"/>
                <w:szCs w:val="20"/>
                <w:color w:val="auto"/>
              </w:rPr>
            </w:pPr>
            <w:r>
              <w:rPr>
                <w:rFonts w:ascii="Arial" w:cs="Arial" w:eastAsia="Arial" w:hAnsi="Arial"/>
                <w:sz w:val="18"/>
                <w:szCs w:val="18"/>
                <w:color w:val="auto"/>
              </w:rPr>
              <w:t>Changes in operating assets and liabilities, net of effect of business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1"/>
        </w:trPr>
        <w:tc>
          <w:tcPr>
            <w:tcW w:w="7980" w:type="dxa"/>
            <w:vAlign w:val="bottom"/>
          </w:tcPr>
          <w:p>
            <w:pPr>
              <w:ind w:left="480"/>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w:t>
            </w: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Contract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(6,933)</w:t>
            </w: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r>
      <w:tr>
        <w:trPr>
          <w:trHeight w:val="230"/>
        </w:trPr>
        <w:tc>
          <w:tcPr>
            <w:tcW w:w="7980" w:type="dxa"/>
            <w:vAlign w:val="bottom"/>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33,170</w:t>
            </w: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r>
      <w:tr>
        <w:trPr>
          <w:trHeight w:val="230"/>
        </w:trPr>
        <w:tc>
          <w:tcPr>
            <w:tcW w:w="7980" w:type="dxa"/>
            <w:vAlign w:val="bottom"/>
          </w:tcPr>
          <w:p>
            <w:pPr>
              <w:ind w:left="680"/>
              <w:spacing w:after="0"/>
              <w:rPr>
                <w:sz w:val="20"/>
                <w:szCs w:val="20"/>
                <w:color w:val="auto"/>
              </w:rPr>
            </w:pPr>
            <w:r>
              <w:rPr>
                <w:rFonts w:ascii="Arial" w:cs="Arial" w:eastAsia="Arial" w:hAnsi="Arial"/>
                <w:sz w:val="18"/>
                <w:szCs w:val="18"/>
                <w:color w:val="auto"/>
              </w:rPr>
              <w:t>Operating lease right-of-use asset and operating lease liabilities,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w:t>
            </w:r>
          </w:p>
        </w:tc>
      </w:tr>
      <w:tr>
        <w:trPr>
          <w:trHeight w:val="223"/>
        </w:trPr>
        <w:tc>
          <w:tcPr>
            <w:tcW w:w="79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(166,363)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Capitalized software development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(16,743)</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7980" w:type="dxa"/>
            <w:vAlign w:val="bottom"/>
          </w:tcPr>
          <w:p>
            <w:pPr>
              <w:ind w:left="480"/>
              <w:spacing w:after="0"/>
              <w:rPr>
                <w:sz w:val="20"/>
                <w:szCs w:val="20"/>
                <w:color w:val="auto"/>
              </w:rPr>
            </w:pPr>
            <w:r>
              <w:rPr>
                <w:rFonts w:ascii="Arial" w:cs="Arial" w:eastAsia="Arial" w:hAnsi="Arial"/>
                <w:sz w:val="18"/>
                <w:szCs w:val="18"/>
                <w:color w:val="auto"/>
              </w:rPr>
              <w:t>Cash consideration paid for business acquisition, net of cash acquired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(7,026)</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(Increase) decrease in corporate card receivables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(84,449)</w:t>
            </w:r>
          </w:p>
        </w:tc>
      </w:tr>
      <w:tr>
        <w:trPr>
          <w:trHeight w:val="223"/>
        </w:trPr>
        <w:tc>
          <w:tcPr>
            <w:tcW w:w="79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(108,779)</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480"/>
              <w:spacing w:after="0"/>
              <w:rPr>
                <w:sz w:val="20"/>
                <w:szCs w:val="20"/>
                <w:color w:val="auto"/>
              </w:rPr>
            </w:pPr>
            <w:r>
              <w:rPr>
                <w:rFonts w:ascii="Arial" w:cs="Arial" w:eastAsia="Arial" w:hAnsi="Arial"/>
                <w:sz w:val="18"/>
                <w:szCs w:val="18"/>
                <w:color w:val="auto"/>
              </w:rPr>
              <w:t>Proceeds from issuance of common stock from exercise of stock-based awards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9,059</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borrowings of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206,419</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Payments of borrowings of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Payments for debt issuance cost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Payments of deferred consideration in business combinations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r>
      <w:tr>
        <w:trPr>
          <w:trHeight w:val="223"/>
        </w:trPr>
        <w:tc>
          <w:tcPr>
            <w:tcW w:w="7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212,620</w:t>
            </w:r>
          </w:p>
        </w:tc>
      </w:tr>
      <w:tr>
        <w:trPr>
          <w:trHeight w:val="223"/>
        </w:trPr>
        <w:tc>
          <w:tcPr>
            <w:tcW w:w="7980" w:type="dxa"/>
            <w:vAlign w:val="bottom"/>
          </w:tcPr>
          <w:p>
            <w:pPr>
              <w:ind w:left="88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7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267,382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330,318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267,382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Cash paid for interest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29,547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18,634</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paid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r>
      <w:tr>
        <w:trPr>
          <w:trHeight w:val="270"/>
        </w:trPr>
        <w:tc>
          <w:tcPr>
            <w:tcW w:w="7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Vesting of early exercised stock options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share-based compensation for internal-use software development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39"/>
        </w:trPr>
        <w:tc>
          <w:tcPr>
            <w:tcW w:w="7980" w:type="dxa"/>
            <w:vAlign w:val="bottom"/>
          </w:tcPr>
          <w:p>
            <w:pPr>
              <w:ind w:left="460"/>
              <w:spacing w:after="0"/>
              <w:rPr>
                <w:sz w:val="20"/>
                <w:szCs w:val="20"/>
                <w:color w:val="auto"/>
              </w:rPr>
            </w:pPr>
            <w:r>
              <w:rPr>
                <w:rFonts w:ascii="Arial" w:cs="Arial" w:eastAsia="Arial" w:hAnsi="Arial"/>
                <w:sz w:val="18"/>
                <w:szCs w:val="18"/>
                <w:color w:val="auto"/>
              </w:rPr>
              <w:t>Amounts unpaid for purchases of property and equipment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556</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2" w:right="33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2" w:right="339" w:bottom="1109" w:gutter="0" w:footer="0" w:header="0"/>
          <w:type w:val="continuous"/>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t>NAVAN,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6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(“GAAP”). We consolidate our wholly-owned subsidiaries over which we exercise control, and variable interest entities (“VIEs”) where we are deemed to be the primary beneficiary. See Note 9 — Variable Interest Entities for further detail.</w:t>
      </w:r>
    </w:p>
    <w:p>
      <w:pPr>
        <w:spacing w:after="0" w:line="117"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entities in which it has a controlling financial interest in accordance with the consolidation accounting principles guidance. All intercompany profits, transactions, and balances have been eliminated in consolidation.</w:t>
      </w:r>
    </w:p>
    <w:p>
      <w:pPr>
        <w:spacing w:after="0" w:line="117"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Company’s fiscal year ends on January 31. References made to “fiscal 2025” and “fiscal 2024” refer to the Company’s fiscal years ended January 31, 2025 and 2024, respectively.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judgments and assumptions that affect the reported amounts in the consolidated financial statements and accompanying notes. Estimates and judgments are 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embedded derivatives and redeemable convertible preferred stock warrant liabilities; fair values of stock-based awards issued; the incremental borrowing rate used for operating lease liabilities; and assumptions used in accounting for income taxes. These estimates are inherently subject to judgment and actual results could differ from those estimates.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restricted cash and accounts receivable. The Company’s cash and cash equivalents and restricted cash are on deposit with high-quality financial institutions that exceed federally insured limits. The Company regularly monitors the composition and maturities of cash and cash equivalent and restricted cash balances. The Company has not experienced any losses due to institutional failure or bankruptcy. The Company performs credit evaluations of its customers and generally does not require collateral for sales on credit. In certain cases, based on the Company’s credit evaluations, collateral, primarily in the form of cash deposits, is required to mitigate corporate card receivable collection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1417" w:right="359" w:bottom="1440" w:gutter="0" w:footer="0" w:header="0"/>
        </w:sectPr>
      </w:pPr>
    </w:p>
    <w:bookmarkStart w:id="219" w:name="page220"/>
    <w:bookmarkEnd w:id="219"/>
    <w:p>
      <w:pPr>
        <w:ind w:firstLine="324"/>
        <w:spacing w:after="0" w:line="262" w:lineRule="auto"/>
        <w:rPr>
          <w:sz w:val="20"/>
          <w:szCs w:val="20"/>
          <w:color w:val="auto"/>
        </w:rPr>
      </w:pPr>
      <w:r>
        <w:rPr>
          <w:rFonts w:ascii="Arial" w:cs="Arial" w:eastAsia="Arial" w:hAnsi="Arial"/>
          <w:sz w:val="18"/>
          <w:szCs w:val="18"/>
          <w:color w:val="auto"/>
        </w:rPr>
        <w:t>One payment partner customer accounted for 11.2% and 11.5% of the Company’s revenue during the years ended January 31, 2025 and 2024, respectively. One platform customer accounted for 12% and 14% of accounts receivable as of January 31, 2025 and 2024, respectively. The Company did not have any customers that accounted for 10% or more of corporate card receivables as of January 31, 2025 and 2024.</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functional currency of the Company’s foreign subsidiaries is the local currency or U.S. dollar, depending on the primary economic environment in which the subsidiary operates. Transactions denominated in currencies other than the functional currency are remeasured to the functional currency at the exchange rate in effect on the date of the transaction and are recorded in the current period consolidated statements of operations. Monetary assets and liabilities denominated in currencies other than the functional currency are remeasured monthly using the month-end exchange rate. Gains and losses resulting from such remeasurements are recorded in other expense, net in the consolidated statements of operations. Subsidiary assets and liabilities with non-U.S. dollar functional currencies are translated at the month-end exchange rate, accumulated deficit and other equity items are translated at historical exchange rates, and revenue and expenses are translated at average exchange rates during the year. Cumulative translation adjustments are recorded within accumulated other comprehensive income (loss), a separate component of stockholders’ deficit.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Cash and cash equivalents consists of funds deposited with banks, funds available for use held with our corporate card payment processing partner which are not earmarked to collateralize corporate card spend by our customers, and money market funds with original or remaining maturities of three months or less at the time of purchase.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69"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Restricted cash consists of (i) a portion of the balance held with our payment processing partners to fund transactions charged by our corporate card users, (ii) cash balances held at our consolidated VIE, and (iii) cash used as collateral for the letters of credit for lease agreements that have lease terms that extend beyond 12 months from the balance sheet date.</w:t>
      </w:r>
    </w:p>
    <w:p>
      <w:pPr>
        <w:spacing w:after="0" w:line="117"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such amounts in the consolidated statements of cash flows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166,421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95,961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cash and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310,595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267,382</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Fair value is defined as the price that would be received to sell an asset or paid to transfer a liability in an orderly transaction between market participants at the measurement date.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establishes a framework for measuring fair value and requires disclosure about the fair value measurements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17" w:right="339" w:bottom="1440" w:gutter="0" w:footer="0" w:header="0"/>
        </w:sectPr>
      </w:pPr>
    </w:p>
    <w:bookmarkStart w:id="220" w:name="page221"/>
    <w:bookmarkEnd w:id="220"/>
    <w:p>
      <w:pPr>
        <w:ind w:right="320" w:firstLine="324"/>
        <w:spacing w:after="0" w:line="287" w:lineRule="auto"/>
        <w:rPr>
          <w:sz w:val="20"/>
          <w:szCs w:val="20"/>
          <w:color w:val="auto"/>
        </w:rPr>
      </w:pPr>
      <w:r>
        <w:rPr>
          <w:rFonts w:ascii="Arial" w:cs="Arial" w:eastAsia="Arial" w:hAnsi="Arial"/>
          <w:sz w:val="18"/>
          <w:szCs w:val="18"/>
          <w:color w:val="auto"/>
        </w:rPr>
        <w:t>In accordance with ASC 820, we use the fair value hierarchy, which maximizes the use of observable inputs and minimizes the use of unobservable inputs. The three levels of the fair value hierarchy are set forth below: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such as quoted prices in active markets for identical assets or liabilities.</w:t>
      </w:r>
    </w:p>
    <w:p>
      <w:pPr>
        <w:spacing w:after="0" w:line="171"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Observable inputs other than Level 1 prices such as quoted prices for similar assets or liabilities in active markets, quoted</w:t>
      </w:r>
      <w:r>
        <w:rPr>
          <w:rFonts w:ascii="Arial" w:cs="Arial" w:eastAsia="Arial" w:hAnsi="Arial"/>
          <w:sz w:val="18"/>
          <w:szCs w:val="18"/>
          <w:b w:val="1"/>
          <w:bCs w:val="1"/>
          <w:color w:val="auto"/>
        </w:rPr>
        <w:t xml:space="preserve"> </w:t>
      </w:r>
      <w:r>
        <w:rPr>
          <w:rFonts w:ascii="Arial" w:cs="Arial" w:eastAsia="Arial" w:hAnsi="Arial"/>
          <w:sz w:val="18"/>
          <w:szCs w:val="18"/>
          <w:color w:val="auto"/>
        </w:rPr>
        <w:t>prices in markets that are not active, or inputs other than quoted prices that are observable either directly or indirectly for the full term of the assets or liabilities.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in which there is little or no market data and that are significant to the fair value of the assets or liabilities.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primary financial instruments include cash and cash equivalents, restricted cash, accounts receivable, corporate card receivables, accounts payable, accrued expenses, debt, convertible debt, embedded derivatives and redeemable convertible preferred stock warrants. The estimated fair value of cash and cash equivalents, restricted cash, accounts receivable, corporate card receivables, accounts payable and accrued expenses approximate their carrying value due to the short-term maturities of these instruments. For further information, refer to Note 3 — Fair Value Measurements and Note 8 — Debt.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Expected Credit Losses</w:t>
      </w:r>
    </w:p>
    <w:p>
      <w:pPr>
        <w:spacing w:after="0" w:line="16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Accounts receivable are generally due within thirty days and are recorded net of an allowance for estimated uncollectible amounts. We estimate expected credit losses based on various factors, including the age of the receivable balance, credit quality of the customer, past collection experience with the customer, as well as current market conditions and customer financial conditions. Long-aged balances and other higher risk amounts are reviewed individually for collectability. We recognize estimated credit losses through the income statement, and the allowance for estimated credit losses is recorded in accounts receivable, net on the consolidated balance sheets.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allowance for expected credit losses as of January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7"/>
              </w:rPr>
              <w:t>2,270</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Provision for expected credit losses</w:t>
            </w:r>
          </w:p>
        </w:tc>
        <w:tc>
          <w:tcPr>
            <w:tcW w:w="98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center"/>
              <w:ind w:left="314"/>
              <w:spacing w:after="0"/>
              <w:rPr>
                <w:sz w:val="20"/>
                <w:szCs w:val="20"/>
                <w:color w:val="auto"/>
              </w:rPr>
            </w:pPr>
            <w:r>
              <w:rPr>
                <w:rFonts w:ascii="Arial" w:cs="Arial" w:eastAsia="Arial" w:hAnsi="Arial"/>
                <w:sz w:val="18"/>
                <w:szCs w:val="18"/>
                <w:color w:val="auto"/>
                <w:w w:val="97"/>
              </w:rPr>
              <w:t>4,488</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written off, recoveries and other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rPr>
              <w:t>(2,488)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7"/>
              </w:rPr>
              <w:t>4,270</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Card Receivables and Allowance for Expected Credit Losses</w:t>
      </w:r>
    </w:p>
    <w:p>
      <w:pPr>
        <w:spacing w:after="0" w:line="16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provide virtual and physical corporate credit cards to customers of our expense management offering through issuing bank partners. Under our payment partner arrangements, we are required to prefund spend on these credit cards. We recognize a receivable for each transaction, and receivables are generally due within ten days.</w:t>
      </w:r>
    </w:p>
    <w:p>
      <w:pPr>
        <w:spacing w:after="0" w:line="117"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Corporate card receivables are recorded net of an allowance for expected credit losses. The allowance for expected credit losses is based on our assessment of the collectability of these receivables. We consider the following factors when determining the collectability of specific customer accounts: age of the receivable balance, credit quality of the customer, past collection experience with the customer, as well as current market conditions and customer financial conditions. We recognize estimated credit losses through the income statement, and the allowance for estimated credit losses is recorded in corporate card receivables,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17" w:right="339" w:bottom="1440" w:gutter="0" w:footer="0" w:header="0"/>
        </w:sectPr>
      </w:pPr>
    </w:p>
    <w:bookmarkStart w:id="221" w:name="page222"/>
    <w:bookmarkEnd w:id="221"/>
    <w:p>
      <w:pPr>
        <w:ind w:left="340"/>
        <w:spacing w:after="0"/>
        <w:rPr>
          <w:sz w:val="20"/>
          <w:szCs w:val="20"/>
          <w:color w:val="auto"/>
        </w:rPr>
      </w:pPr>
      <w:r>
        <w:rPr>
          <w:rFonts w:ascii="Arial" w:cs="Arial" w:eastAsia="Arial" w:hAnsi="Arial"/>
          <w:sz w:val="18"/>
          <w:szCs w:val="18"/>
          <w:color w:val="auto"/>
        </w:rPr>
        <w:t>The following table summarizes the corporate card receivables allowance for expected credit losses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Provision for expected credit losses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written off, recoveries and other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1"/>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69"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the entity in the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w:t>
      </w:r>
    </w:p>
    <w:p>
      <w:pPr>
        <w:spacing w:after="0" w:line="114"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We evaluate our relationship with our VIEs on an ongoing basis to determine whether we are the primary beneficiary. If we are not deemed to be the primary beneficiary in a VIE, we account for the investment or other variable interests in a VIE in accordance with applicable GAAP. Refer to Note 9 — Variable Interest Entities for further information.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6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determine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Lease liabilities and their corresponding right-of-use (“ROU”) assets are recognized at commencement date and recorded based on the present value of lease payments over the expected lease term. The implicit rates within our operating leases are generally not determinable and therefore we use the incremental borrowing rate at the lease commencement date to determine the present value of lease payments. The determination of the incremental borrowing rate requires judgment. We determine the incremental borrowing rate for each lease using our estimated borrowing rate, adjusted for various factors including level of collateralization, term and currency to align with the terms of the lease. The ROU asset also might include lease prepayments, offset by lease incentives. Certain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17" w:right="339" w:bottom="1440" w:gutter="0" w:footer="0" w:header="0"/>
        </w:sectPr>
      </w:pPr>
    </w:p>
    <w:bookmarkStart w:id="222" w:name="page223"/>
    <w:bookmarkEnd w:id="222"/>
    <w:p>
      <w:pPr>
        <w:ind w:right="200"/>
        <w:spacing w:after="0" w:line="287" w:lineRule="auto"/>
        <w:rPr>
          <w:sz w:val="20"/>
          <w:szCs w:val="20"/>
          <w:color w:val="auto"/>
        </w:rPr>
      </w:pPr>
      <w:r>
        <w:rPr>
          <w:rFonts w:ascii="Arial" w:cs="Arial" w:eastAsia="Arial" w:hAnsi="Arial"/>
          <w:sz w:val="18"/>
          <w:szCs w:val="18"/>
          <w:color w:val="auto"/>
        </w:rPr>
        <w:t>include options to extend or terminate the lease. Lease terms include options to extend or terminate the lease when it is reasonably certain we will exercise that option.</w:t>
      </w:r>
    </w:p>
    <w:p>
      <w:pPr>
        <w:spacing w:after="0" w:line="9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Company has made accounting policy elections to (i) not recognize ROU assets or lease liabilities for short-term leases (leases with lease terms of 12 months or less); and (ii) combine lease and non-lease components. Variable lease payments are recognized in the consolidated statements of operations when incurred and include certain non-lease components, such as maintenance and other services provided by the lessor to the extent the charges are variable.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69" w:lineRule="exact"/>
        <w:rPr>
          <w:sz w:val="20"/>
          <w:szCs w:val="20"/>
          <w:color w:val="auto"/>
        </w:rPr>
      </w:pPr>
    </w:p>
    <w:p>
      <w:pPr>
        <w:jc w:val="both"/>
        <w:ind w:right="460" w:firstLine="324"/>
        <w:spacing w:after="0" w:line="282" w:lineRule="auto"/>
        <w:rPr>
          <w:sz w:val="20"/>
          <w:szCs w:val="20"/>
          <w:color w:val="auto"/>
        </w:rPr>
      </w:pPr>
      <w:r>
        <w:rPr>
          <w:rFonts w:ascii="Arial" w:cs="Arial" w:eastAsia="Arial" w:hAnsi="Arial"/>
          <w:sz w:val="17"/>
          <w:szCs w:val="17"/>
          <w:color w:val="auto"/>
        </w:rPr>
        <w:t>Property, equipment and software, net are stated at cost, less accumulated depreciation and amortization. Major improvements that extend the life, capacity or efficiency, or improve the safety of an asset, are capitalized, while maintenance and repairs are expensed as incurred. When assets are retired or disposed of, the cost and related accumulated depreciation and amortization are removed from the related accounts and the resulting gain or loss is reflected in the consolidated statements of operations in the period realized.</w:t>
      </w:r>
    </w:p>
    <w:p>
      <w:pPr>
        <w:spacing w:after="0" w:line="10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capitalize certain internal-use software development costs incurred during the application development stage. Such costs are amortized on a straight-line basis over the estimated useful life. Costs related to preliminary project activities and post-implementation activities are expensed as incurred. Costs incurred for enhancements that are expected to result in additional functionality are also capitalized and expensed over the estimated useful life of the upgrades. Capitalized internal-use software development costs are included in property, equipment and software, net on the consolidated balance sheets.</w:t>
      </w:r>
    </w:p>
    <w:p>
      <w:pPr>
        <w:spacing w:after="0" w:line="85" w:lineRule="exact"/>
        <w:rPr>
          <w:sz w:val="20"/>
          <w:szCs w:val="20"/>
          <w:color w:val="auto"/>
        </w:rPr>
      </w:pPr>
    </w:p>
    <w:p>
      <w:pPr>
        <w:ind w:right="640" w:firstLine="324"/>
        <w:spacing w:after="0" w:line="247" w:lineRule="exact"/>
        <w:rPr>
          <w:sz w:val="20"/>
          <w:szCs w:val="20"/>
          <w:color w:val="auto"/>
        </w:rPr>
      </w:pPr>
      <w:r>
        <w:rPr>
          <w:rFonts w:ascii="Arial" w:cs="Arial" w:eastAsia="Arial" w:hAnsi="Arial"/>
          <w:sz w:val="18"/>
          <w:szCs w:val="18"/>
          <w:color w:val="auto"/>
        </w:rPr>
        <w:t>Depreciation and amortization expense is recorded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Property, Equipment and Software</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224"/>
        </w:trPr>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Internal-use software</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 years</w:t>
            </w:r>
          </w:p>
        </w:tc>
      </w:tr>
      <w:tr>
        <w:trPr>
          <w:trHeight w:val="230"/>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Computers and equipment</w:t>
            </w:r>
          </w:p>
        </w:tc>
        <w:tc>
          <w:tcPr>
            <w:tcW w:w="5580" w:type="dxa"/>
            <w:vAlign w:val="bottom"/>
          </w:tcPr>
          <w:p>
            <w:pPr>
              <w:jc w:val="center"/>
              <w:spacing w:after="0"/>
              <w:rPr>
                <w:sz w:val="20"/>
                <w:szCs w:val="20"/>
                <w:color w:val="auto"/>
              </w:rPr>
            </w:pPr>
            <w:r>
              <w:rPr>
                <w:rFonts w:ascii="Arial" w:cs="Arial" w:eastAsia="Arial" w:hAnsi="Arial"/>
                <w:sz w:val="18"/>
                <w:szCs w:val="18"/>
                <w:color w:val="auto"/>
                <w:w w:val="99"/>
              </w:rPr>
              <w:t>3 to 5 years</w:t>
            </w:r>
          </w:p>
        </w:tc>
      </w:tr>
      <w:tr>
        <w:trPr>
          <w:trHeight w:val="229"/>
        </w:trPr>
        <w:tc>
          <w:tcPr>
            <w:tcW w:w="5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Fixtures and fittings</w:t>
            </w: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 to 5 years</w:t>
            </w:r>
          </w:p>
        </w:tc>
      </w:tr>
      <w:tr>
        <w:trPr>
          <w:trHeight w:val="239"/>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rPr>
              <w:t>Leasehold improvements</w:t>
            </w:r>
          </w:p>
        </w:tc>
        <w:tc>
          <w:tcPr>
            <w:tcW w:w="5580" w:type="dxa"/>
            <w:vAlign w:val="bottom"/>
          </w:tcPr>
          <w:p>
            <w:pPr>
              <w:jc w:val="center"/>
              <w:spacing w:after="0"/>
              <w:rPr>
                <w:sz w:val="20"/>
                <w:szCs w:val="20"/>
                <w:color w:val="auto"/>
              </w:rPr>
            </w:pPr>
            <w:r>
              <w:rPr>
                <w:rFonts w:ascii="Arial" w:cs="Arial" w:eastAsia="Arial" w:hAnsi="Arial"/>
                <w:sz w:val="18"/>
                <w:szCs w:val="18"/>
                <w:color w:val="auto"/>
                <w:w w:val="99"/>
              </w:rPr>
              <w:t>Shorter of useful life or remaining lease term</w:t>
            </w:r>
          </w:p>
        </w:tc>
      </w:tr>
    </w:tbl>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color w:val="auto"/>
        </w:rPr>
        <w:t>Goodwill represents the excess of the purchase price of the acquisition over the net fair value of identifiable assets acquired and liabilities assumed. Goodwill amounts are not amortized.</w:t>
      </w:r>
    </w:p>
    <w:p>
      <w:pPr>
        <w:spacing w:after="0" w:line="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test goodwill for impairment at least annually, in the fourth fiscal quarter, or more frequently if facts or changes in circumstances indicate the carrying amount of goodwill may not be recoverable. We have one reporting unit; therefore, goodwill is tested at the enterprise level. In testing goodwill for impairment, we have the option to first perform a qualitative assessment to determine whether it is more likely than not that the fair value of the reporting units is less than the carrying amount, including goodwill. If it is determined that it is more likely than not that the fair value of the reporting unit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impairments of goodwill were recognized during the years ended January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17" w:right="339" w:bottom="1440" w:gutter="0" w:footer="0" w:header="0"/>
        </w:sectPr>
      </w:pPr>
    </w:p>
    <w:bookmarkStart w:id="223" w:name="page224"/>
    <w:bookmarkEnd w:id="223"/>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acquisition, identifiable intangible assets are recorded at fair value and are carried at cost less accumulated amortization.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with finite lives are amortized on a straight-line basis over their estimated useful lives.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Intangible Assets</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224"/>
        </w:trPr>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3-19 years</w:t>
            </w:r>
          </w:p>
        </w:tc>
      </w:tr>
      <w:tr>
        <w:trPr>
          <w:trHeight w:val="230"/>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rPr>
              <w:t>Domain names</w:t>
            </w:r>
          </w:p>
        </w:tc>
        <w:tc>
          <w:tcPr>
            <w:tcW w:w="5580" w:type="dxa"/>
            <w:vAlign w:val="bottom"/>
          </w:tcPr>
          <w:p>
            <w:pPr>
              <w:jc w:val="center"/>
              <w:spacing w:after="0"/>
              <w:rPr>
                <w:sz w:val="20"/>
                <w:szCs w:val="20"/>
                <w:color w:val="auto"/>
              </w:rPr>
            </w:pPr>
            <w:r>
              <w:rPr>
                <w:rFonts w:ascii="Arial" w:cs="Arial" w:eastAsia="Arial" w:hAnsi="Arial"/>
                <w:sz w:val="18"/>
                <w:szCs w:val="18"/>
                <w:color w:val="auto"/>
              </w:rPr>
              <w:t>15 years</w:t>
            </w:r>
          </w:p>
        </w:tc>
      </w:tr>
      <w:tr>
        <w:trPr>
          <w:trHeight w:val="229"/>
        </w:trPr>
        <w:tc>
          <w:tcPr>
            <w:tcW w:w="5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Customer relationships</w:t>
            </w:r>
          </w:p>
        </w:tc>
        <w:tc>
          <w:tcPr>
            <w:tcW w:w="5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5-13 years</w:t>
            </w:r>
          </w:p>
        </w:tc>
      </w:tr>
      <w:tr>
        <w:trPr>
          <w:trHeight w:val="239"/>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Developed technology</w:t>
            </w:r>
          </w:p>
        </w:tc>
        <w:tc>
          <w:tcPr>
            <w:tcW w:w="5580" w:type="dxa"/>
            <w:vAlign w:val="bottom"/>
          </w:tcPr>
          <w:p>
            <w:pPr>
              <w:jc w:val="center"/>
              <w:spacing w:after="0"/>
              <w:rPr>
                <w:sz w:val="20"/>
                <w:szCs w:val="20"/>
                <w:color w:val="auto"/>
              </w:rPr>
            </w:pPr>
            <w:r>
              <w:rPr>
                <w:rFonts w:ascii="Arial" w:cs="Arial" w:eastAsia="Arial" w:hAnsi="Arial"/>
                <w:sz w:val="18"/>
                <w:szCs w:val="18"/>
                <w:color w:val="auto"/>
                <w:w w:val="98"/>
              </w:rPr>
              <w:t>1-2 years</w:t>
            </w:r>
          </w:p>
        </w:tc>
      </w:tr>
    </w:tbl>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The valuation of long-lived assets, including intangible assets, property, equipment and software, and operating lease ROU assets are reviewed for impairment whenever events or changes in circumstances indicate that the carrying amount of the asset may not be recoverable. The recoverability of long-lived assets or asset groups is calculated based on the estimated undiscounted future cash flows expected to result from the use and eventual disposition of the asset. Impairment testing is performed at the asset group level.</w:t>
      </w:r>
    </w:p>
    <w:p>
      <w:pPr>
        <w:spacing w:after="0" w:line="122"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No impairment losses on intangible assets or other long-lived assets were recognized during the years ended January 31, 2025 and 2024.</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payment partners are generally earned on a per transaction basis or based on cumulative actual booking or transaction dollar volume relative to minimum contractual targets. Our travel supply partners include airlines, hotels, car rental companies, rail carriers, and providers of Global Distribution Systems. Our payment partners primarily include our corporate card payment processors.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Platform Customers</w:t>
      </w:r>
    </w:p>
    <w:p>
      <w:pPr>
        <w:spacing w:after="0" w:line="171"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12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Travel Supply and Payment Partner Fees</w:t>
      </w:r>
    </w:p>
    <w:p>
      <w:pPr>
        <w:spacing w:after="0" w:line="171"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Our primary performance obligation to our travel supply partners is to connect them to user bookings made on our cloud-based travel management platform or through our on-demand travel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224" w:name="page225"/>
    <w:bookmarkEnd w:id="224"/>
    <w:p>
      <w:pPr>
        <w:ind w:right="260"/>
        <w:spacing w:after="0" w:line="268" w:lineRule="auto"/>
        <w:rPr>
          <w:sz w:val="20"/>
          <w:szCs w:val="20"/>
          <w:color w:val="auto"/>
        </w:rPr>
      </w:pPr>
      <w:r>
        <w:rPr>
          <w:rFonts w:ascii="Arial" w:cs="Arial" w:eastAsia="Arial" w:hAnsi="Arial"/>
          <w:sz w:val="18"/>
          <w:szCs w:val="18"/>
          <w:color w:val="auto"/>
        </w:rPr>
        <w:t>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11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6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Revenue is deferred when we have the right to invoice in advance of performance under a customer contract. We typically invoice platform customers for access to our cloud-based travel and expense management platforms annually in advance, upon execution of the initial contract or subsequent renewal. Invoices are generally payable within 30 to 60 days. The current portion of deferred revenue balances will be recognized during the following 12-month period. The non-current portion of deferred revenue balances will be recognized beyond the next 12-month period.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6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capitalize incremental costs of obtaining a contract with a customer if the costs are recoverable. These costs, which primarily consist of sales commissions, are deferred and amortized on a straight-line basis over the period of benefit, which we have estimated to be five years. We estimate the period of benefit by primarily taking into consideration the average customer life, among other factors. During fiscal 2025, we capitalized $23.7 million of contract acquisition costs and recognized related amortization expense of $5.6 million. During fiscal 2024, no contract acquisition costs were capitalized and we recognized amortization expense of $7.0 million. Amortization expense is included in sales and marketing expense in the consolidated statements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indirect operating costs and depreciation on property and equipment, and the allocation of certain corporate costs.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69"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The Company expenses certain sales and marketing costs, including promotional expenses,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17" w:right="339" w:bottom="1440" w:gutter="0" w:footer="0" w:header="0"/>
        </w:sectPr>
      </w:pPr>
    </w:p>
    <w:bookmarkStart w:id="225" w:name="page226"/>
    <w:bookmarkEnd w:id="225"/>
    <w:p>
      <w:pPr>
        <w:ind w:right="120" w:firstLine="324"/>
        <w:spacing w:after="0" w:line="287" w:lineRule="auto"/>
        <w:rPr>
          <w:sz w:val="20"/>
          <w:szCs w:val="20"/>
          <w:color w:val="auto"/>
        </w:rPr>
      </w:pPr>
      <w:r>
        <w:rPr>
          <w:rFonts w:ascii="Arial" w:cs="Arial" w:eastAsia="Arial" w:hAnsi="Arial"/>
          <w:sz w:val="18"/>
          <w:szCs w:val="18"/>
          <w:color w:val="auto"/>
        </w:rPr>
        <w:t>Advertising costs are expensed as incurred in sales and marketing expense in the consolidated statements of operations and amounted to $22.3 million and $12.4 million for the years ended January 31, 2025 and 2024, respectively.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the allocation of certain corporate costs, and bad debt expenses. General and administrative expenses are expensed as incurred.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Stock-based compensation expense is recognized over the requisite service period, which is generally over the vesting term of four years, on a straight-line basis for all stock-based payments that are granted to employees, non-employees and directors, including grants of employee stock options and other stock-based awards, that vest based on time-based service vesting conditions. Equity-classified awards issued to employees, non-employees such as consultants and non-employee directors are measured at the grant-date fair value of the award. Forfeitures are recognized as they occur. We estimate the grant-date fair value of stock options using the Black-Scholes option pricing model. The Black-Scholes option pricing model requires the input of highly subjective assumptions, including the fair value of the underlying common stock, the expected term of the option and the expected volatility of the price of the Company’s common stock.</w:t>
      </w:r>
    </w:p>
    <w:p>
      <w:pPr>
        <w:spacing w:after="0" w:line="1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Restricted stock units (“RSUs”) are subject to both time-based service and performance-based vesting conditions, which may be satisfied by either a sale of the company or following the effective date of an initial public offering, neither of which, for accounting purposes, are considered probable until they occur. The fair value of new or modified RSU awards is equal to the grant date fair value of the Company’s common stock. These RSUs generally vest over a four-year period based on the achievement of specified qualifying events and subject to continued service through the applicable vesting dates. Compensation cost is recognized over the requisite service period when it is probable that the performance condition will be satisfied. In the period in which the performance-based condition becomes probable, we will record cumulative stock-based compensation expense for the service period completed to such date and will begin recording stock-based compensation expense using the accelerated attribution method based on the grant-date fair value of the RSUs for awards where the service period is not complete.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Other Related Taxes</w:t>
      </w:r>
    </w:p>
    <w:p>
      <w:pPr>
        <w:spacing w:after="0" w:line="169"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Amounts collected from customers and remitted to governmental authorities, which primarily comprise value added taxes in foreign jurisdictions and sales tax in domestic jurisdictions, are presented on a net basis in the consolidated statements of operations in that taxes billed to customers are not included as a component of revenue.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(Loss) on Fair Value Adjustments</w:t>
      </w:r>
    </w:p>
    <w:p>
      <w:pPr>
        <w:spacing w:after="0" w:line="169"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Gain (loss) on fair value adjustments consists of gains and losses as a result of recording our embedded derivative and warrant liabilities at fair value at the end of each reporting period.</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Other income (expense), net consists of interest income earned on cash and cash equivalents, foreign exchange gains and losses, and other non-operating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17" w:right="339" w:bottom="1440" w:gutter="0" w:footer="0" w:header="0"/>
        </w:sectPr>
      </w:pPr>
    </w:p>
    <w:bookmarkStart w:id="226" w:name="page227"/>
    <w:bookmarkEnd w:id="226"/>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record a provision for income taxes for the anticipated tax consequences of the reported results of operations using the asset and liability method. Deferred tax assets and liabilities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of a change in tax rates on deferred tax assets and liabilities is recognized in income in the period that includes the enactment date. The measurement of deferred tax assets is reduced, if necessary, by a valuation allowance for any tax benefits for which future realization is uncertain. We account for the tax effects of global intangible low tax income as a current period expense.</w:t>
      </w:r>
    </w:p>
    <w:p>
      <w:pPr>
        <w:spacing w:after="0" w:line="1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use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by the taxing authorities, based on the technical merits of the position. The tax benefits recognized in the financial statements from such positions are then measured based on the largest amount of benefit that has a greater than 50% likelihood of being realized upon ultimate settlement. We account for uncertainty in tax positions recognized in the consolidated financial statements by recognizing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 Interest and penalties related to uncertain tax positions are recognized in the provision for income taxes. See Note 12 — Income Taxes for further information regarding income taxes.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companies with participating securities. We consider all series of our redeemable convertible preferred stock, together with warrants to purchase redeemable convertible preferred stock, to be participating securities as the holders of such stock have the right to receive noncumulative dividends on a pari passu basis in the event that a dividend is paid on common stock. Under the two-class method, net losses are not allocated to the participating securities as the participating securities do not have a contractual obligation to share in the Company’s losses.</w:t>
      </w:r>
    </w:p>
    <w:p>
      <w:pPr>
        <w:spacing w:after="0" w:line="12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net loss attributable to common stockholders by the weighted average number of shares of common stock outstanding during the period. Diluted net loss per share attributable to common stockholders adjusts basic earnings per share for the potentially dilutive impact of common stock equivalents to the extent they are dilutive. As the Company has reported losses for all periods presented, all potentially dilutive securities are anti-dilutive, and accordingly, basic net loss per share equals diluted net loss per share.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9"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Comprehensive loss is comprised of net loss and other comprehensive loss. The primary component of other comprehensive loss is foreign currency translation adjustments arising from the consolidation of foreign legal entities.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227" w:name="page228"/>
    <w:bookmarkEnd w:id="227"/>
    <w:p>
      <w:pPr>
        <w:ind w:right="140" w:firstLine="324"/>
        <w:spacing w:after="0" w:line="255" w:lineRule="auto"/>
        <w:rPr>
          <w:sz w:val="20"/>
          <w:szCs w:val="20"/>
          <w:color w:val="auto"/>
        </w:rPr>
      </w:pPr>
      <w:r>
        <w:rPr>
          <w:rFonts w:ascii="Arial" w:cs="Arial" w:eastAsia="Arial" w:hAnsi="Arial"/>
          <w:sz w:val="18"/>
          <w:szCs w:val="18"/>
          <w:color w:val="auto"/>
        </w:rPr>
        <w:t>The CODM uses consolidated net loss to measure segment profit or loss in order to assess, manage, and maintain performance of the business based on resource allocations. The CODM also uses consolidated net loss to approve operating budgets and to identify product development and market expansion opportunities. The Company’s objective in making resource allocation decisions is to optimize 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consolidated statements of operations. Other segment items included in consolidated net loss include gain (loss) on fair value adjustments, interest expense, other income (expense), net, and income tax expense, which are presented in the Company’s consolidated statements of operations. The measure of segment assets is reported on the balance sheet as total consolidated assets.</w:t>
      </w:r>
    </w:p>
    <w:p>
      <w:pPr>
        <w:spacing w:after="0" w:line="127"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Revenue by geographical region can be found in Note 2 — Revenue. The following table presents long-lived assets, which includes property, equipment and software, net of depreciation and amortization, and operating lease ROU assets, by geographic region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59,181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10,633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long-lived assets, net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77,544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77,060</w:t>
            </w:r>
          </w:p>
        </w:tc>
      </w:tr>
      <w:tr>
        <w:trPr>
          <w:trHeight w:val="21"/>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June 2016, the Financial Accounting Standards Board (FASB) issued ASU No. 2016-13,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Measurement of Credit Losses on Financial Instruments </w:t>
      </w:r>
      <w:r>
        <w:rPr>
          <w:rFonts w:ascii="Arial" w:cs="Arial" w:eastAsia="Arial" w:hAnsi="Arial"/>
          <w:sz w:val="18"/>
          <w:szCs w:val="18"/>
          <w:color w:val="auto"/>
        </w:rPr>
        <w:t>(“ASU 2016-13”). ASU 2016-13 amends guidance related to impairment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by replacing the incurred loss impairment methodology with an expected credit loss model for which a company recognizes an allowance based on the estimate of expected credit loss. The Company adopted ASU 2016-13 as of February 1, 2023 with no material impact to its consolidated financial statements.</w:t>
      </w:r>
    </w:p>
    <w:p>
      <w:pPr>
        <w:spacing w:after="0" w:line="1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(“ASU 2023-07”), which amends disclosure requirements relating to segment reporting, primarily through enhanced disclosure about significant segment expenses and by requiring disclosure of segment information on an annual and interim basis. The Company adopted ASU 2023-07 as of February 1, 2024 with no material impact on its consolidated financial statements. For further information, refer to Segment Information within Note 1 — Description of Business and Significant Accounting Policies.</w:t>
      </w:r>
    </w:p>
    <w:p>
      <w:pPr>
        <w:spacing w:after="0" w:line="1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Hedging—Contracts in Entity’s Own Equity (Subtopic 815-40) </w:t>
      </w:r>
      <w:r>
        <w:rPr>
          <w:rFonts w:ascii="Arial" w:cs="Arial" w:eastAsia="Arial" w:hAnsi="Arial"/>
          <w:sz w:val="18"/>
          <w:szCs w:val="18"/>
          <w:color w:val="auto"/>
        </w:rPr>
        <w:t>(“ASU 2020-06”). ASU 2020-06 is intended to simplify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by removing certain separation models and to simplify the accounting for contracts in an entity’s own equity by eliminating the settlement criteria to qualify for a scope exception from derivative accounting. ASU 2020-06 also clarifies the diluted earnings per share calculation when convertible instruments and contracts in an entity’s own equity are involved. The Company adopted ASU 2020-06 as of February 1, 2024 with no material impact to its consolidated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entities to annually (1) disclose specific categories in the rate reconciliation and (2) provide additional information for reconciling items that meet a quantitative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17" w:right="339" w:bottom="1440" w:gutter="0" w:footer="0" w:header="0"/>
        </w:sectPr>
      </w:pPr>
    </w:p>
    <w:bookmarkStart w:id="228" w:name="page229"/>
    <w:bookmarkEnd w:id="228"/>
    <w:p>
      <w:pPr>
        <w:ind w:right="180"/>
        <w:spacing w:after="0" w:line="262" w:lineRule="auto"/>
        <w:rPr>
          <w:sz w:val="20"/>
          <w:szCs w:val="20"/>
          <w:color w:val="auto"/>
        </w:rPr>
      </w:pPr>
      <w:r>
        <w:rPr>
          <w:rFonts w:ascii="Arial" w:cs="Arial" w:eastAsia="Arial" w:hAnsi="Arial"/>
          <w:sz w:val="18"/>
          <w:szCs w:val="18"/>
          <w:color w:val="auto"/>
        </w:rPr>
        <w:t>threshold (if the effect of those reconciling items is equal to or greater than 5 percent of the amount computed by multiplying pretax income (loss) by the applicable statutory income tax rate). This standard is effective for public business entities for annual periods beginning after December 15, 2024. For all other entities, the standard is effective for annual periods beginning after December 15, 2025. Early adoption is permitted. The Company is currently evaluating the impact of this standard on its consolidated financial statements.</w:t>
      </w:r>
    </w:p>
    <w:p>
      <w:pPr>
        <w:spacing w:after="0" w:line="1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new guidance requires disaggregated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income statement expense line items on an annual and interim basis. The standard is effective for public business entities for annual periods beginning after December 15, 2026 and interim reporting periods beginning after December 15, 2027. Early adoption is permitted. The Company is currently evaluating the impact of this standard on its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revenue by region based on the billing country of customers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January 31,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96"/>
        </w:trPr>
        <w:tc>
          <w:tcPr>
            <w:tcW w:w="4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4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416"/>
              <w:spacing w:after="0"/>
              <w:rPr>
                <w:sz w:val="20"/>
                <w:szCs w:val="20"/>
                <w:color w:val="auto"/>
              </w:rPr>
            </w:pPr>
            <w:r>
              <w:rPr>
                <w:rFonts w:ascii="Arial" w:cs="Arial" w:eastAsia="Arial" w:hAnsi="Arial"/>
                <w:sz w:val="14"/>
                <w:szCs w:val="14"/>
                <w:b w:val="1"/>
                <w:bCs w:val="1"/>
                <w:color w:val="auto"/>
              </w:rPr>
              <w:t>2024</w:t>
            </w:r>
          </w:p>
        </w:tc>
      </w:tr>
      <w:tr>
        <w:trPr>
          <w:trHeight w:val="196"/>
        </w:trPr>
        <w:tc>
          <w:tcPr>
            <w:tcW w:w="4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Revenue</w:t>
            </w:r>
          </w:p>
        </w:tc>
        <w:tc>
          <w:tcPr>
            <w:tcW w:w="300" w:type="dxa"/>
            <w:vAlign w:val="bottom"/>
          </w:tcPr>
          <w:p>
            <w:pPr>
              <w:spacing w:after="0"/>
              <w:rPr>
                <w:sz w:val="17"/>
                <w:szCs w:val="17"/>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315,807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217,427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129,412</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115,234</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 of World</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91,618</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69,595</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3"/>
        </w:trPr>
        <w:tc>
          <w:tcPr>
            <w:tcW w:w="45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536,837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402,256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individual country within Rest of World comprises more than 10% of total revenue.</w:t>
      </w:r>
    </w:p>
    <w:p>
      <w:pPr>
        <w:spacing w:after="0" w:line="14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Unbilled Receivables</w:t>
      </w:r>
    </w:p>
    <w:p>
      <w:pPr>
        <w:spacing w:after="0" w:line="1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$51.9 million and $38.1 million as of January 31, 2025 and 2024, respectively. Unbilled accounts receivable is recorded within accounts receivable, net on the accompanying consolidated balance sheets.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6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Revenue is deferred when we have the right to invoice in advance of performance under a customer contract. The deferred revenue balance primarily consists of annual subscription payments. The current portion of deferred revenue represents the amounts that are expected to be recognized within one year of the balance sheet date. The non-current portion of deferred revenue represents amounts that are expected to be recognized more than one year from the balance sheet date. For the years ended January 31, 2025 and 2024, revenue recognized from deferred revenue at the beginning of the period was $27.7 million and $18.6 million, respectively.</w:t>
      </w:r>
    </w:p>
    <w:p>
      <w:pPr>
        <w:spacing w:after="0" w:line="1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Remaining performance obligations represent the amount of contracted future revenue that has not yet been recognized. We do not disclose the value of remaining performance obligations for (i) contracts with an original expected length of one year or less, and (ii) contracts for which variable consideration is allocated to an unsatisfied performance obligation. Our remaining performance obligations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17" w:right="339" w:bottom="1440" w:gutter="0" w:footer="0" w:header="0"/>
        </w:sectPr>
      </w:pPr>
    </w:p>
    <w:bookmarkStart w:id="229" w:name="page230"/>
    <w:bookmarkEnd w:id="229"/>
    <w:p>
      <w:pPr>
        <w:ind w:right="100"/>
        <w:spacing w:after="0" w:line="287" w:lineRule="auto"/>
        <w:rPr>
          <w:sz w:val="20"/>
          <w:szCs w:val="20"/>
          <w:color w:val="auto"/>
        </w:rPr>
      </w:pPr>
      <w:r>
        <w:rPr>
          <w:rFonts w:ascii="Arial" w:cs="Arial" w:eastAsia="Arial" w:hAnsi="Arial"/>
          <w:sz w:val="18"/>
          <w:szCs w:val="18"/>
          <w:color w:val="auto"/>
        </w:rPr>
        <w:t>multi-year subscription contracts were $28.2 million as of January 31, 2025, of which we expect to recognize approximately 59% as revenue over the next 12 months, 32% as revenue over the subsequent 13 to 24 months, and the remainder thereafter.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71"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The following table presents our financial assets and liabilities measured at fair value on a recurring basis based on the three-tier fair value hierarchy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Fair value measurements as of January 31, 2025</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11"/>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Embedded derivative liability</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59,820</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60,247</w:t>
            </w:r>
          </w:p>
        </w:tc>
      </w:tr>
      <w:tr>
        <w:trPr>
          <w:trHeight w:val="21"/>
        </w:trPr>
        <w:tc>
          <w:tcPr>
            <w:tcW w:w="4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78"/>
        </w:trPr>
        <w:tc>
          <w:tcPr>
            <w:tcW w:w="46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Fair value measurements as of January 31, 2024</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6"/>
        </w:trPr>
        <w:tc>
          <w:tcPr>
            <w:tcW w:w="4680" w:type="dxa"/>
            <w:vAlign w:val="bottom"/>
          </w:tcPr>
          <w:p>
            <w:pPr>
              <w:spacing w:after="0"/>
              <w:rPr>
                <w:sz w:val="17"/>
                <w:szCs w:val="17"/>
                <w:color w:val="auto"/>
              </w:rPr>
            </w:pP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Embedded derivative liability</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72,150</w:t>
            </w:r>
          </w:p>
        </w:tc>
      </w:tr>
      <w:tr>
        <w:trPr>
          <w:trHeight w:val="223"/>
        </w:trPr>
        <w:tc>
          <w:tcPr>
            <w:tcW w:w="4680" w:type="dxa"/>
            <w:vAlign w:val="bottom"/>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72,447</w:t>
            </w:r>
          </w:p>
        </w:tc>
      </w:tr>
      <w:tr>
        <w:trPr>
          <w:trHeight w:val="20"/>
        </w:trPr>
        <w:tc>
          <w:tcPr>
            <w:tcW w:w="4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There were no transfers between Level 1, Level 2 or Level 3 fair value hierarchy categories of financial instruments during the years ended January 31, 2025 and 2024.</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6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 connection with a loan agreement entered into in December 2015, we issued redeemable convertible preferred stock warrants to purchase 182,272, 90,576, 102,240 and 120,480 shares of Series Seed, Series A, Series A-1 and Series B preferred stock at the stated exercise prices of $0.0823, $0.1656, $0.1951 and $0.6225 per share, respectively. As of January 31, 2025 and 2024, 120,480 Series B redeemable convertible preferred stock warrants remain outstanding and are recorded at a fair value of $0.4 million and $0.3 million, respectively.</w:t>
      </w:r>
    </w:p>
    <w:p>
      <w:pPr>
        <w:spacing w:after="0" w:line="125"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The fair value of the redeemable convertible preferred stock warrant liability was determined using the Black-Scholes option pricing model. The following assumptions were used to calculate the fair value of the redeemable convertible preferred stock warrant liability: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50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74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2024</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55.0 - 65.0%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64.5 - 69.5%</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right"/>
              <w:spacing w:after="0"/>
              <w:rPr>
                <w:sz w:val="20"/>
                <w:szCs w:val="20"/>
                <w:color w:val="auto"/>
              </w:rPr>
            </w:pPr>
            <w:r>
              <w:rPr>
                <w:rFonts w:ascii="Arial" w:cs="Arial" w:eastAsia="Arial" w:hAnsi="Arial"/>
                <w:sz w:val="18"/>
                <w:szCs w:val="18"/>
                <w:color w:val="auto"/>
              </w:rPr>
              <w:t>4.06 - 4.82%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3.61 - 4.86%</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3.9 - 4.4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4.9 - 5.4</w:t>
            </w: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redeemable convertible preferred stock warrant liability is recorded within other non-current liabilities on the consolidated balance sheets. Changes in fair value are recorded in gain (loss) on fair value adjustments on the accompanying consolidated statements of operations for the years ended January 31, 2025 and 2024. We will continue to adjust the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17"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warrant liability for changes in fair value until the earlier of conversion, exercise or expiration of the warrants.</w:t>
      </w:r>
    </w:p>
    <w:p>
      <w:pPr>
        <w:spacing w:after="0" w:line="171"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Fair value measurements are highly sensitive to changes in these inputs; significant changes in these inputs would result in a significantly higher or lower fair value. The change in value of the redeemable convertible preferred stock warrant liability during the years ended January 31, 2025 and 2024 is summarized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9"/>
              </w:rPr>
              <w:t>433</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(136)</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2024</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9"/>
              </w:rPr>
              <w:t>297</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130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2025</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9"/>
              </w:rPr>
              <w:t>427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Embedded Derivative Liability</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embedded derivative liability is bifurcated from the convertible notes issued in June 2020. Refer to Note 8 — Debt for further information regarding the convertible notes.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 involved in this determination. The significant unobservable inputs used in measuring the fair value of the embedded derivative liability include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3960" w:type="dxa"/>
            <w:vAlign w:val="bottom"/>
            <w:tcBorders>
              <w:bottom w:val="single" w:sz="8" w:color="auto"/>
            </w:tcBorders>
            <w:gridSpan w:val="3"/>
          </w:tcPr>
          <w:p>
            <w:pPr>
              <w:jc w:val="right"/>
              <w:ind w:right="1093"/>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2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2024</w:t>
            </w: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to expiration (in years)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0.70 - 1.70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1.17 - 2.17</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Time from conversion to maturity (in years)</w:t>
            </w:r>
          </w:p>
        </w:tc>
        <w:tc>
          <w:tcPr>
            <w:tcW w:w="1940" w:type="dxa"/>
            <w:vAlign w:val="bottom"/>
          </w:tcPr>
          <w:p>
            <w:pPr>
              <w:jc w:val="right"/>
              <w:spacing w:after="0"/>
              <w:rPr>
                <w:sz w:val="20"/>
                <w:szCs w:val="20"/>
                <w:color w:val="auto"/>
              </w:rPr>
            </w:pPr>
            <w:r>
              <w:rPr>
                <w:rFonts w:ascii="Arial" w:cs="Arial" w:eastAsia="Arial" w:hAnsi="Arial"/>
                <w:sz w:val="18"/>
                <w:szCs w:val="18"/>
                <w:color w:val="auto"/>
              </w:rPr>
              <w:t>0.65 - 1.65</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0.19 - 1.19</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factor</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940" w:type="dxa"/>
            <w:vAlign w:val="bottom"/>
          </w:tcPr>
          <w:p>
            <w:pPr>
              <w:jc w:val="right"/>
              <w:spacing w:after="0"/>
              <w:rPr>
                <w:sz w:val="20"/>
                <w:szCs w:val="20"/>
                <w:color w:val="auto"/>
              </w:rPr>
            </w:pPr>
            <w:r>
              <w:rPr>
                <w:rFonts w:ascii="Arial" w:cs="Arial" w:eastAsia="Arial" w:hAnsi="Arial"/>
                <w:sz w:val="18"/>
                <w:szCs w:val="18"/>
                <w:color w:val="auto"/>
              </w:rPr>
              <w:t>57.8% - 72.6%</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66.1% - 85.3%</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 - 4.15%</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- 4.65%</w:t>
            </w:r>
          </w:p>
        </w:tc>
      </w:tr>
    </w:tbl>
    <w:p>
      <w:pPr>
        <w:spacing w:after="0" w:line="224"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The change in value of the embedded derivative liability during the years ended January 31, 2025 and 2024 is summarized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8"/>
              </w:rPr>
              <w:t>45,420</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8"/>
              </w:rPr>
              <w:t>26,730</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2024</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8"/>
              </w:rPr>
              <w:t>72,150</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rPr>
              <w:t>(12,330)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8"/>
              </w:rPr>
              <w:t>59,820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Changes in fair value of the embedded derivative liability are recognized as a component of gain (loss) on fair value adjustments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17" w:right="339" w:bottom="1440" w:gutter="0" w:footer="0" w:header="0"/>
        </w:sectPr>
      </w:pPr>
    </w:p>
    <w:bookmarkStart w:id="231" w:name="page232"/>
    <w:bookmarkEnd w:id="231"/>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69"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fair value of other financial instruments that are not recognized at fair value on the balance sheet are presented below for disclosure purposes only.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7"/>
        </w:trPr>
        <w:tc>
          <w:tcPr>
            <w:tcW w:w="632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 Hierarchy</w:t>
            </w:r>
          </w:p>
        </w:tc>
        <w:tc>
          <w:tcPr>
            <w:tcW w:w="380" w:type="dxa"/>
            <w:vAlign w:val="bottom"/>
          </w:tcPr>
          <w:p>
            <w:pPr>
              <w:spacing w:after="0"/>
              <w:rPr>
                <w:sz w:val="17"/>
                <w:szCs w:val="17"/>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5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Level 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359,200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314,400</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Warehouse credit facility</w:t>
            </w:r>
          </w:p>
        </w:tc>
        <w:tc>
          <w:tcPr>
            <w:tcW w:w="1660" w:type="dxa"/>
            <w:vAlign w:val="bottom"/>
            <w:gridSpan w:val="2"/>
          </w:tcPr>
          <w:p>
            <w:pPr>
              <w:ind w:left="980"/>
              <w:spacing w:after="0"/>
              <w:rPr>
                <w:sz w:val="20"/>
                <w:szCs w:val="20"/>
                <w:color w:val="auto"/>
              </w:rPr>
            </w:pPr>
            <w:r>
              <w:rPr>
                <w:rFonts w:ascii="Arial" w:cs="Arial" w:eastAsia="Arial" w:hAnsi="Arial"/>
                <w:sz w:val="18"/>
                <w:szCs w:val="18"/>
                <w:color w:val="auto"/>
              </w:rPr>
              <w:t>Level 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210,995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200,238</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loan facility</w:t>
            </w:r>
          </w:p>
        </w:tc>
        <w:tc>
          <w:tcPr>
            <w:tcW w:w="16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Level 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2022 promissory note</w:t>
            </w:r>
          </w:p>
        </w:tc>
        <w:tc>
          <w:tcPr>
            <w:tcW w:w="1660" w:type="dxa"/>
            <w:vAlign w:val="bottom"/>
            <w:gridSpan w:val="2"/>
          </w:tcPr>
          <w:p>
            <w:pPr>
              <w:ind w:left="980"/>
              <w:spacing w:after="0"/>
              <w:rPr>
                <w:sz w:val="20"/>
                <w:szCs w:val="20"/>
                <w:color w:val="auto"/>
              </w:rPr>
            </w:pPr>
            <w:r>
              <w:rPr>
                <w:rFonts w:ascii="Arial" w:cs="Arial" w:eastAsia="Arial" w:hAnsi="Arial"/>
                <w:sz w:val="18"/>
                <w:szCs w:val="18"/>
                <w:color w:val="auto"/>
              </w:rPr>
              <w:t>Level 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179,932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161,518</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16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Level 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r>
      <w:tr>
        <w:trPr>
          <w:trHeight w:val="485"/>
        </w:trPr>
        <w:tc>
          <w:tcPr>
            <w:tcW w:w="6320" w:type="dxa"/>
            <w:vAlign w:val="bottom"/>
          </w:tcPr>
          <w:p>
            <w:pPr>
              <w:spacing w:after="0"/>
              <w:rPr>
                <w:sz w:val="20"/>
                <w:szCs w:val="20"/>
                <w:color w:val="auto"/>
              </w:rPr>
            </w:pPr>
            <w:r>
              <w:rPr>
                <w:rFonts w:ascii="Arial" w:cs="Arial" w:eastAsia="Arial" w:hAnsi="Arial"/>
                <w:sz w:val="18"/>
                <w:szCs w:val="18"/>
                <w:b w:val="1"/>
                <w:bCs w:val="1"/>
                <w:color w:val="auto"/>
              </w:rPr>
              <w:t>NOTE 4 – BALANCE SHEET COMPONENTS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63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0"/>
        </w:trPr>
        <w:tc>
          <w:tcPr>
            <w:tcW w:w="7980" w:type="dxa"/>
            <w:vAlign w:val="bottom"/>
            <w:gridSpan w:val="3"/>
          </w:tcPr>
          <w:p>
            <w:pPr>
              <w:ind w:left="340"/>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6"/>
        </w:trPr>
        <w:tc>
          <w:tcPr>
            <w:tcW w:w="6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24"/>
                <w:szCs w:val="24"/>
                <w:color w:val="auto"/>
              </w:rPr>
            </w:pPr>
          </w:p>
        </w:tc>
      </w:tr>
      <w:tr>
        <w:trPr>
          <w:trHeight w:val="196"/>
        </w:trPr>
        <w:tc>
          <w:tcPr>
            <w:tcW w:w="632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44,650</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6,738</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 and fittings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2,422</w:t>
            </w: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(1)</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Property, equipment and software, gross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60,842</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(29,659)</w:t>
            </w: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Property, equipment and software, net</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31,183</w:t>
            </w:r>
          </w:p>
        </w:tc>
      </w:tr>
      <w:tr>
        <w:trPr>
          <w:trHeight w:val="20"/>
        </w:trPr>
        <w:tc>
          <w:tcPr>
            <w:tcW w:w="6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  Construction in progress consists of leasehold improvements and capitalized software development costs that have not been placed into service.</w:t>
      </w:r>
    </w:p>
    <w:p>
      <w:pPr>
        <w:spacing w:after="0" w:line="150"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For the years ended January 31, 2025 and 2024, depreciation and amortization expense related to property, equipment and software was $19.7 million and $20.5 million, respectively. Included in these amounts was amortization expense for capitalized internal-use software costs of approximately $14.9 million and $13.8 million for the years ended January 31, 2025 and 2024, respectively.</w:t>
      </w:r>
    </w:p>
    <w:p>
      <w:pPr>
        <w:spacing w:after="0" w:line="117"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For the year ended January 31, 2024, accelerated depreciation of $3.4 million was recognized on certain of our leasehold improvements due to the early termination of one of our office leases. See Note 5 — Leases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Payment processor advances</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Tax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10,928</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35,628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34,664</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8"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Payment processor advances represent amounts prefunded to and held by payment processors in order to fund future customer spend</w:t>
      </w:r>
      <w:r>
        <w:rPr>
          <w:rFonts w:ascii="Arial" w:cs="Arial" w:eastAsia="Arial" w:hAnsi="Arial"/>
          <w:sz w:val="17"/>
          <w:szCs w:val="17"/>
          <w:color w:val="auto"/>
        </w:rPr>
        <w:t>.</w:t>
      </w:r>
    </w:p>
    <w:p>
      <w:pPr>
        <w:spacing w:after="0" w:line="16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Accrued Expenses and Other Current Liabilities</w:t>
      </w:r>
    </w:p>
    <w:p>
      <w:pPr>
        <w:spacing w:after="0" w:line="16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Accrued expenses and other current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employee benefits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40,922</w:t>
            </w: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Amounts due to travel supply partners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Reward liability</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tax payable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Indirect tax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 liability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accrued expenses and other current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136,798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127,242</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340" w:right="80" w:hanging="332"/>
        <w:spacing w:after="0" w:line="252" w:lineRule="auto"/>
        <w:tabs>
          <w:tab w:leader="none" w:pos="33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This balance represents the timing difference of when the Company charges customers for certain travel booking transactions, and when the balance is remitted to travel supply partners or needs to be refunded.</w:t>
      </w:r>
    </w:p>
    <w:p>
      <w:pPr>
        <w:spacing w:after="0" w:line="1" w:lineRule="exact"/>
        <w:rPr>
          <w:rFonts w:ascii="Arial" w:cs="Arial" w:eastAsia="Arial" w:hAnsi="Arial"/>
          <w:sz w:val="16"/>
          <w:szCs w:val="16"/>
          <w:color w:val="auto"/>
        </w:rPr>
      </w:pPr>
    </w:p>
    <w:p>
      <w:pPr>
        <w:ind w:left="340" w:right="140" w:hanging="332"/>
        <w:spacing w:after="0" w:line="270" w:lineRule="auto"/>
        <w:tabs>
          <w:tab w:leader="none" w:pos="33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This balance represents the vested and unpaid rewards earned by users of our platform. Refer to Revenue Recognition within Note 1 — Description of Business and Significant Accounting Policies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Non-Current Liabilities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Loss contingency reserves</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 for unrecognized tax benefits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NOW Scheme contingency payable</w:t>
            </w:r>
            <w:r>
              <w:rPr>
                <w:rFonts w:ascii="Arial" w:cs="Arial" w:eastAsia="Arial" w:hAnsi="Arial"/>
                <w:sz w:val="23"/>
                <w:szCs w:val="23"/>
                <w:color w:val="auto"/>
                <w:vertAlign w:val="superscript"/>
              </w:rPr>
              <w:t>(2)</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non-current liabilities</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22,949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Loss contingency reserves consist of accruals related primarily to employment taxes.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Refer to Note 13 — Commitments and Contingencies for further information on the NOW Scheme.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71"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Our operating leases primarily include leases for office space in various locations around the world under non-cancellable operating lease arrangements that expire at various dates through fiscal year 2033. Certain leases contain escalation clauses and renewal options. Generally, our leases have no purchase options, residual value guarantees or material covenants. Our leases require us to pay certain operating expenses, such as taxes, repairs and insurance.</w:t>
      </w:r>
    </w:p>
    <w:p>
      <w:pPr>
        <w:spacing w:after="0" w:line="122"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color w:val="auto"/>
        </w:rPr>
        <w:t>The components of lease cost include fixed payments on our operating leases, fixed payments on our short-term leases and variable lease payments. Variable lease payments consist of common area maintenance, utilities reimbursed to the landlord, taxes and other costs and are expensed as incurred. The components of lease cost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15,393</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23"/>
        </w:trPr>
        <w:tc>
          <w:tcPr>
            <w:tcW w:w="7980" w:type="dxa"/>
            <w:vAlign w:val="bottom"/>
          </w:tcPr>
          <w:p>
            <w:pPr>
              <w:ind w:left="260"/>
              <w:spacing w:after="0"/>
              <w:rPr>
                <w:sz w:val="20"/>
                <w:szCs w:val="20"/>
                <w:color w:val="auto"/>
              </w:rPr>
            </w:pPr>
            <w:r>
              <w:rPr>
                <w:rFonts w:ascii="Arial" w:cs="Arial" w:eastAsia="Arial" w:hAnsi="Arial"/>
                <w:sz w:val="18"/>
                <w:szCs w:val="18"/>
                <w:color w:val="auto"/>
              </w:rPr>
              <w:t>Total lease costs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20,420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23,713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color w:val="auto"/>
              </w:rPr>
              <w:t>Supplemental cash flow information related to leases was as follows (dollars in thousands):</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15,518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22,507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of lease liabilities due to lease modifications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Increase (decrease) of right-of-use assets due to lease modifications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 of operating lease liabilities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Termination of operating lease right-of-use assets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8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During the year ended January 31, 2024, we agreed to an early termination of our office lease in Dallas, Texas and paid an aggregate of $5.5 million in early termination fees. The early termination is treated as a lease modification in the supplemental cash flow information included in the above table.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January 31,</w:t>
            </w:r>
          </w:p>
        </w:tc>
        <w:tc>
          <w:tcPr>
            <w:tcW w:w="110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2024</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years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years</w:t>
            </w:r>
          </w:p>
        </w:tc>
      </w:tr>
      <w:tr>
        <w:trPr>
          <w:trHeight w:val="239"/>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467"/>
        </w:trPr>
        <w:tc>
          <w:tcPr>
            <w:tcW w:w="7760" w:type="dxa"/>
            <w:vAlign w:val="bottom"/>
          </w:tcPr>
          <w:p>
            <w:pPr>
              <w:ind w:left="340"/>
              <w:spacing w:after="0"/>
              <w:rPr>
                <w:sz w:val="20"/>
                <w:szCs w:val="20"/>
                <w:color w:val="auto"/>
              </w:rPr>
            </w:pPr>
            <w:r>
              <w:rPr>
                <w:rFonts w:ascii="Arial" w:cs="Arial" w:eastAsia="Arial" w:hAnsi="Arial"/>
                <w:sz w:val="18"/>
                <w:szCs w:val="18"/>
                <w:color w:val="auto"/>
              </w:rPr>
              <w:t>Maturities of lease liabilities as of January 31, 2025 were as follows (in thousands):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6"/>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Amount</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0" w:type="dxa"/>
            <w:vAlign w:val="bottom"/>
            <w:gridSpan w:val="3"/>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2027</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12,977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2029</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9,306</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72,280</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(17,793)</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w:t>
            </w:r>
          </w:p>
        </w:tc>
        <w:tc>
          <w:tcPr>
            <w:tcW w:w="180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BUSINESS COMBINATIONS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Shorebird Technologies Private Limited</w:t>
      </w:r>
    </w:p>
    <w:p>
      <w:pPr>
        <w:spacing w:after="0" w:line="169"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On May 17, 2023, we acquired all of the outstanding stock of Shorebird Technologies Private Limited (Tripeur), an Indian-based travel management company for an aggregate purchase price of $7.2 million paid in cash. The acquisition was accounted for as a business combination and is expected to increase our market share as a provider of travel, corporate card and expense management solutions in India. Acquisition costs related to the Tripeur acquisition were approximately $0.3 million and were expensed as incurred.</w:t>
      </w:r>
    </w:p>
    <w:p>
      <w:pPr>
        <w:spacing w:after="0" w:line="122"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The purchase price was allocated to the following assets and liabilities: $ 6.3 million to goodwill, $0.5 million to intangible assets for acquired developed technology, $0.8 million to current assets, $0.4 million to other assets and $0.8 million to current liabilities.</w:t>
      </w:r>
    </w:p>
    <w:p>
      <w:pPr>
        <w:spacing w:after="0" w:line="9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Goodwill was primarily attributed to the assembled workforce and expanded market opportunities from the Tripeur acquisition. None of the goodwill is deductible for U.S. federal income tax purposes. The acquired developed technology has an estimated useful life of two years.</w:t>
      </w:r>
    </w:p>
    <w:p>
      <w:pPr>
        <w:spacing w:after="0" w:line="9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financial results of Tripeur are included in our consolidated financial statements from the date of acquisition. Tripeur’s financial results have not been material to date. Pro forma results of operations have not been presented because the effect of the acquisition was not material to the consolidated statements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Regent International S.R.L</w:t>
      </w:r>
    </w:p>
    <w:p>
      <w:pPr>
        <w:spacing w:after="0" w:line="169"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On June 4, 2024, the Company acquired all outstanding stock of Regent International S.R.L. (Regent), a travel and expense management company based in Rome, Italy for an aggregate purchase price of $7.9 million in cash. Of the aggregate purchase price, $6.6 million was paid at closing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remaining $1.3 million was deferred. As of January 31, 2025, $0.7 million of cash payments remain unpaid.</w:t>
      </w:r>
    </w:p>
    <w:p>
      <w:pPr>
        <w:spacing w:after="0" w:line="171"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transaction is expected to increase the Company’s market share as a provider of travel, corporate card and expense management solutions in Italy and has been accounted for as a business combination. Acquisition costs related to the Regent acquisition were approximately $0.3 million and were expensed as incurred.</w:t>
      </w:r>
    </w:p>
    <w:p>
      <w:pPr>
        <w:spacing w:after="0" w:line="11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purchase price was allocated to the following assets and liabilities: $11.8 million to current assets, $4.0 million to goodwill, $0.9 million to intangible assets for customer relationships, $0.4 million to other assets, $8.6 million to current liabilities, and $0.6 million to other liabilities.</w:t>
      </w:r>
    </w:p>
    <w:p>
      <w:pPr>
        <w:spacing w:after="0" w:line="117"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Goodwill was primarily attributed to the assembled workforce and expanded market opportunities from the Regent acquisition. $2.9 million of the goodwill from the Regent acquisition is deductible for U.S. federal income tax purposes. The acquired customer relationships have an estimated useful life of eight years.</w:t>
      </w:r>
    </w:p>
    <w:p>
      <w:pPr>
        <w:spacing w:after="0" w:line="117"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financial results of Regent are included in our consolidated financial statements from the date of acquisition. Regent’s financial results have not been material to date. Pro forma results of operations have not been presented because the effect of the acquisition was not material to the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INTANGIBLE ASSETS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goodwill balances as of January 31, 2025 and 2024, and the changes in fiscal 2025 and 2024 are as follows (in thousands):</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Goodwill arising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translation impact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Goodwill arising from acquisitions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translation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82"/>
        <w:spacing w:after="0"/>
        <w:rPr>
          <w:sz w:val="20"/>
          <w:szCs w:val="20"/>
          <w:color w:val="auto"/>
        </w:rPr>
      </w:pPr>
      <w:r>
        <w:rPr>
          <w:rFonts w:ascii="Arial" w:cs="Arial" w:eastAsia="Arial" w:hAnsi="Arial"/>
          <w:sz w:val="14"/>
          <w:szCs w:val="14"/>
          <w:b w:val="1"/>
          <w:bCs w:val="1"/>
          <w:color w:val="auto"/>
        </w:rPr>
        <w:t>Carrying Amount</w:t>
      </w:r>
    </w:p>
    <w:p>
      <w:pPr>
        <w:spacing w:after="0" w:line="45" w:lineRule="exact"/>
        <w:rPr>
          <w:sz w:val="20"/>
          <w:szCs w:val="20"/>
          <w:color w:val="auto"/>
        </w:rPr>
      </w:pPr>
    </w:p>
    <w:p>
      <w:pPr>
        <w:ind w:left="842" w:hanging="842"/>
        <w:spacing w:after="0"/>
        <w:tabs>
          <w:tab w:leader="none" w:pos="84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209,305</w:t>
      </w:r>
    </w:p>
    <w:p>
      <w:pPr>
        <w:spacing w:after="0" w:line="31"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6,288</w:t>
      </w:r>
    </w:p>
    <w:p>
      <w:pPr>
        <w:spacing w:after="0" w:line="22"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4,948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1003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7" w:lineRule="exact"/>
        <w:rPr>
          <w:sz w:val="20"/>
          <w:szCs w:val="20"/>
          <w:color w:val="auto"/>
        </w:rPr>
      </w:pPr>
    </w:p>
    <w:p>
      <w:pPr>
        <w:ind w:left="842" w:hanging="842"/>
        <w:spacing w:after="0"/>
        <w:tabs>
          <w:tab w:leader="none" w:pos="8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220,541</w:t>
      </w:r>
    </w:p>
    <w:p>
      <w:pPr>
        <w:spacing w:after="0" w:line="31"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4,006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(4,819)</w:t>
      </w:r>
    </w:p>
    <w:p>
      <w:pPr>
        <w:spacing w:after="0" w:line="27" w:lineRule="exact"/>
        <w:rPr>
          <w:sz w:val="20"/>
          <w:szCs w:val="20"/>
          <w:color w:val="auto"/>
        </w:rPr>
      </w:pPr>
    </w:p>
    <w:p>
      <w:pPr>
        <w:ind w:left="842" w:hanging="842"/>
        <w:spacing w:after="0"/>
        <w:tabs>
          <w:tab w:leader="none" w:pos="84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219,728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033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58" w:space="720"/>
            <w:col w:w="1542"/>
          </w:cols>
          <w:pgMar w:left="320" w:top="1417" w:right="359" w:bottom="1440" w:gutter="0" w:footer="0" w:header="0"/>
          <w:type w:val="continuous"/>
        </w:sectPr>
      </w:pPr>
    </w:p>
    <w:p>
      <w:pPr>
        <w:spacing w:after="0" w:line="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impairments of goodwill recognized during the years ended January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1417" w:right="359" w:bottom="1440" w:gutter="0" w:footer="0" w:header="0"/>
          <w:type w:val="continuous"/>
        </w:sectPr>
      </w:pPr>
    </w:p>
    <w:bookmarkStart w:id="236" w:name="page237"/>
    <w:bookmarkEnd w:id="236"/>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(in thousands, except years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of January 31, 2025</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6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6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 Life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34,978</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20,068</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Domain names</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intangible assets</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6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of January 31, 2024</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680" w:type="dxa"/>
            <w:vAlign w:val="bottom"/>
          </w:tcPr>
          <w:p>
            <w:pPr>
              <w:spacing w:after="0"/>
              <w:rPr>
                <w:sz w:val="12"/>
                <w:szCs w:val="12"/>
                <w:color w:val="auto"/>
              </w:rPr>
            </w:pPr>
          </w:p>
        </w:tc>
        <w:tc>
          <w:tcPr>
            <w:tcW w:w="16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Remaining Life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22,019</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Domain names</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intangible assets</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During the year ended January 31, 2025, amortization expense related to intangible assets of $5.0 million was recorded in sales and marketing expense, and $0.3 million was recorded in cost of revenue within the consolidated statement of operations.</w:t>
      </w:r>
    </w:p>
    <w:p>
      <w:pPr>
        <w:spacing w:after="0" w:line="99"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During the year ended January 31, 2024, amortization expense related to intangible assets of $4.8 million was recorded in sales and marketing expense, and $1.5 million was recorded in cost of revenue within the consolidated statement of operations.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amortization expenses related to intangible assets as of January 31, 2025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Pr>
          <w:p>
            <w:pPr>
              <w:spacing w:after="0"/>
              <w:rPr>
                <w:sz w:val="17"/>
                <w:szCs w:val="17"/>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w:t>
            </w:r>
          </w:p>
        </w:tc>
      </w:tr>
      <w:tr>
        <w:trPr>
          <w:trHeight w:val="224"/>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4,855</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4,624</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r>
      <w:tr>
        <w:trPr>
          <w:trHeight w:val="229"/>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32,021</w:t>
            </w:r>
          </w:p>
        </w:tc>
      </w:tr>
      <w:tr>
        <w:trPr>
          <w:trHeight w:val="248"/>
        </w:trPr>
        <w:tc>
          <w:tcPr>
            <w:tcW w:w="9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the following debt outstanding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Warehouse credit facility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214,238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206,404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loan facility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 promissory note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 payable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153,439</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principal amount of debt and borrowings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484,843</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unamortized debt discount and issuance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w:t>
            </w:r>
          </w:p>
        </w:tc>
      </w:tr>
      <w:tr>
        <w:trPr>
          <w:trHeight w:val="230"/>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Plus: accrued interest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value of debt and borrowings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6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Interest accrues on the principal amount at an initial rate of 7.5% per annum and is added to the principal as payment in kind (“PIK”) interest and compounded semi-annually. Beginning in June 2022, the stated interest rate escalates 1% biannually to 12.5% per annum through maturity. The interest rate remained unchanged through the extended term. The convertible notes contain certain affirmative or negative covenants applicable to the Company, including, among other things, restrictions on repurchases of stock, dividends and other distributions.</w:t>
      </w:r>
    </w:p>
    <w:p>
      <w:pPr>
        <w:spacing w:after="0" w:line="1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convertible notes also contain embedded features, including conversion options that are exercisable upon the occurrence of various contingencies. The conversion options involve a discount to the conversion price ranging from 20% to 35% that increases with the passage of time. The share-settled redemption features of the convertible notes represent embedded derivatives requiring bifurcation. We recorded the initial fair value of the embedded derivative liability of $43.1 million as a discount on the convertible notes’ face amount. Refer to Note 3</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Fair Value Measurements for additional detail regarding the embedded derivative liability. The debt discount is amortized to interest expense at an effective interest rate of 13.5% through the extended maturity date. If no conversion or settlement event is triggered prior to the notes’ maturity, the convertible notes will be redeemed at a 12.5% internal rate of return (“IRR”). The 12.5% IRR payout at maturity is incorporated into the effective interest rate calculation.</w:t>
      </w:r>
    </w:p>
    <w:p>
      <w:pPr>
        <w:spacing w:after="0" w:line="128"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The convertible notes are presented on the consolidated balance sheets at their original issuance value plus PIK interest, net of the unamortized debt discount and issuance costs, and are not marked to fair value at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38" w:name="page239"/>
    <w:bookmarkEnd w:id="238"/>
    <w:p>
      <w:pPr>
        <w:ind w:left="340"/>
        <w:spacing w:after="0"/>
        <w:rPr>
          <w:sz w:val="20"/>
          <w:szCs w:val="20"/>
          <w:color w:val="auto"/>
        </w:rPr>
      </w:pPr>
      <w:r>
        <w:rPr>
          <w:rFonts w:ascii="Arial" w:cs="Arial" w:eastAsia="Arial" w:hAnsi="Arial"/>
          <w:sz w:val="18"/>
          <w:szCs w:val="18"/>
          <w:color w:val="auto"/>
        </w:rPr>
        <w:t>The net carrying amount of the convertible notes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PIK interest added to principal balance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carrying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154,687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Interest expense related to the convertible notes was as follows (in thousands):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 interest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non-cash interest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26,040</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Credit Facility</w:t>
      </w:r>
    </w:p>
    <w:p>
      <w:pPr>
        <w:spacing w:after="0" w:line="16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November 2022,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or earlier pursuant to the loan agreement, and had a total commitment amount of $ 200.0 million, consisting of a Class A facility and a Class B facility for $171.1 million and $28.9 million, respectively. The Warehouse Credit Facility was established to finance the Company’s expense management offering. Borrowings on the Warehouse Credit Facility bear interest at a floating rate based on SOFR plus an applicable margin, as defined by the loan agreement. The Warehouse Credit Facility has a minimum utilization of 50.0% of the committed amount, and any unused portion of the Warehouse Credit Facility will bear interest at 0.50% per annum. Borrowings under the Warehouse Credit Facility are secured by the corporate card receivables.</w:t>
      </w:r>
    </w:p>
    <w:p>
      <w:pPr>
        <w:spacing w:after="0" w:line="11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Warehouse Credit Facility was amended multiple times during the years ended January 31, 2025 and 2024. As of January 31, 2025, the amended terms of the Warehouse Credit Facility include total available borrowings of $275.0 million, an extended maturity date of February 2026, an expanded borrowing base to include receivables generated in foreign currency, and amendments to certain financial covenants. Subject to the amended terms, the available borrowings will decrease to $250.0 million in April 2025 through the maturity date.</w:t>
      </w:r>
    </w:p>
    <w:p>
      <w:pPr>
        <w:spacing w:after="0" w:line="12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At inception of the Warehouse Credit Facility, and as of January 31, 2025 and 2024, the fair value of the embedded</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liabilities was determined to be immaterial.</w:t>
      </w:r>
    </w:p>
    <w:p>
      <w:pPr>
        <w:spacing w:after="0" w:line="122"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incurred upfront commitment fees of $2.0 million for the Warehouse Credit Facility, which were recorded as a deferred cost asset on the balance sheet and are amortized on a straight-line basis as incremental interest expense. We incurred incremental upfront commitment fees of $1.4 million upon the renewal of the Warehouse Credit Facility during the year ended January 31, 2025.</w:t>
      </w:r>
    </w:p>
    <w:p>
      <w:pPr>
        <w:spacing w:after="0" w:line="117"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During the years ended January 31, 2025 and 2024, we drew down an aggregate of $37.8 million and $206.4 million on the Warehouse Credit Facility. During the year ended January 31, 2025, we repaid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17" w:right="33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color w:val="auto"/>
        </w:rPr>
        <w:t>.0 million of the Warehouse Credit Facility. We did not make any repayments on the Warehouse Credit Facility during the year ended January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31, 2024. The amounts outstanding under the Warehouse Credit Facility are payable in February 2026.</w:t>
      </w:r>
    </w:p>
    <w:p>
      <w:pPr>
        <w:spacing w:after="0" w:line="15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During the years ended January 31, 2025 and 2024, we recognized $22.9 million and $15.0 million of interest expense, respectively. Interest expense recognized during the years ended January 31, 2025 and 2024 is comprised of $21.4 million and $14.0 million of interest paid and payable, and $1.5 million and $1.0 million interest for the amortization of debt issuance costs,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2025, we remain in compliance with the covenants of the loan agreement.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Loan Facility</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June 2024, the Company entered into a loan agreement with Citibank, N.A. (“Citibank”) for an uncommitted revolving line of credit facility (“Trade Loan Facility”), which was subsequently amended in July 2024 with changes to certain legal requirements. The loan agreement provides for a credit facility of up to $45.0 million and will remain effective until 30 days after the Company receives written notice from the lender, or until the date specified in a notice from the Company to the lender, the latter of which may be contingent upon the completion of another transaction. Borrowings under the facility must be repaid subject to the terms of each borrowing request, subject to a maximum term of 90 days. Borrowings on the Trade Loan Facility bear interest on a floating rate based on SOFR plus 2%. Borrowings under the Trade Loan Facility are secured by the Company’s billed accounts receivables. During the year ended January 31, 2025, the Company drew down a total of $45.0 million on the Trade Loan Facility.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Promissory Note and Other Debt</w:t>
      </w:r>
    </w:p>
    <w:p>
      <w:pPr>
        <w:spacing w:after="0" w:line="16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September 2022, the Company issued a promissory note (the “2022 Promissory Note”) to a lender for $150.0 million, which matures on September 26, 2025. In conjunction with the 2022 Promissory Note, the Company issued 1,797,840 common stock warrants. Interest accrues on the principal amount at 11.5% per annum and is comprised of cash interest of 4% and PIK interest of 7.5%. Interest is payable quarterly in arrears and PIK interest is added to the principal balance and compounded on a quarterly basis. The Company may prepay the 2022 Promissory Note at any time. Should the Company prepay the 2022 Promissory Note, the total prepayment amount would be the greater of: (a) 1.3 times the original promissory note amount of $150.0 million, plus any unpaid interest and expenses then accrued and unpaid as of such date, and (b) the aggregate principal amount as of such date, plus any unpaid interest and expenses then accrued and unpaid as of such date.</w:t>
      </w:r>
    </w:p>
    <w:p>
      <w:pPr>
        <w:spacing w:after="0" w:line="13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issuance of the 2022 Promissory Note, the fair value of the common stock warrants was $11.8 million and was recorded as a debt discount. Debt issuance costs were approximately $0.1 million, consisting of advisor fees, legal fees and other related expenses. Both amounts were recorded as a reduction of the carrying amount of the debt liability. The debt discount and debt issuance costs are amortized to interest expense at an effective interest rate of 14.5% over the term of the loan. The common stock warrants were subsequently exercised during the year ended January 31, 2023.</w:t>
      </w:r>
    </w:p>
    <w:p>
      <w:pPr>
        <w:spacing w:after="0" w:line="1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2022 Promissory Note contains certain affirmative or negative covenants including, among other things, restrictions on repurchases of stock, dividends and other distributions. As of January 31, 2025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320" w:top="1417" w:right="3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t>2024, we remain in compliance with all covenants. The net carrying amount of the 2022 Promissory Note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PIK interest added to principal balance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carrying amount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158,325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Interest expense related to the 2022 Promissory Note was as follows (in thousands):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 interest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interest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interest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payments of principal associated with the 2022 Promissory Note and other notes payable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Year Ended January 31,</w:t>
            </w:r>
          </w:p>
        </w:tc>
        <w:tc>
          <w:tcPr>
            <w:tcW w:w="320" w:type="dxa"/>
            <w:vAlign w:val="bottom"/>
          </w:tcPr>
          <w:p>
            <w:pPr>
              <w:spacing w:after="0"/>
              <w:rPr>
                <w:sz w:val="20"/>
                <w:szCs w:val="20"/>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 outstanding</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150,968</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Less: Unamortized issuance costs and debt discounts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29"/>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PIK interest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28,709</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Notes payable, current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(175,913)</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payable, non-current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Credit Agreement</w:t>
      </w:r>
    </w:p>
    <w:p>
      <w:pPr>
        <w:spacing w:after="0" w:line="16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In December 2019, the Company entered into a credit agreement with a group of lenders (the “Credit Agreement”). The Credit Agreement, as amended from time to time, provides for a credit facility of up to $100.0 million and includes a revolving credit facility, as well as a swingline sub-facility with borrowings of up to $20.0 million and a letter of credit sub-facility with borrowings of up to $10.0 million.</w:t>
      </w:r>
    </w:p>
    <w:p>
      <w:pPr>
        <w:spacing w:after="0" w:line="117"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From November 2021 through November 2022, the Company entered into multiple amendments to the Credit Agreement to extend the maturity date, to change the size of the facility, and to change the interest rates applicable to the borrowings.</w:t>
      </w:r>
    </w:p>
    <w:p>
      <w:pPr>
        <w:spacing w:after="0" w:line="99" w:lineRule="exact"/>
        <w:rPr>
          <w:sz w:val="20"/>
          <w:szCs w:val="20"/>
          <w:color w:val="auto"/>
        </w:rPr>
      </w:pPr>
    </w:p>
    <w:p>
      <w:pPr>
        <w:ind w:right="1060" w:firstLine="324"/>
        <w:spacing w:after="0" w:line="287" w:lineRule="auto"/>
        <w:rPr>
          <w:sz w:val="20"/>
          <w:szCs w:val="20"/>
          <w:color w:val="auto"/>
        </w:rPr>
      </w:pPr>
      <w:r>
        <w:rPr>
          <w:rFonts w:ascii="Arial" w:cs="Arial" w:eastAsia="Arial" w:hAnsi="Arial"/>
          <w:sz w:val="18"/>
          <w:szCs w:val="18"/>
          <w:color w:val="auto"/>
        </w:rPr>
        <w:t>Interest expense associated with the Credit Agreement during the year ended January 31, 2024 was $0.6 million for unused commitment, amortization of debt issuance costs and stated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17" w:right="339" w:bottom="1440" w:gutter="0" w:footer="0" w:header="0"/>
        </w:sectPr>
      </w:pPr>
    </w:p>
    <w:bookmarkStart w:id="241" w:name="page242"/>
    <w:bookmarkEnd w:id="241"/>
    <w:p>
      <w:pPr>
        <w:ind w:right="260" w:firstLine="324"/>
        <w:spacing w:after="0" w:line="287" w:lineRule="auto"/>
        <w:rPr>
          <w:sz w:val="20"/>
          <w:szCs w:val="20"/>
          <w:color w:val="auto"/>
        </w:rPr>
      </w:pPr>
      <w:r>
        <w:rPr>
          <w:rFonts w:ascii="Arial" w:cs="Arial" w:eastAsia="Arial" w:hAnsi="Arial"/>
          <w:sz w:val="18"/>
          <w:szCs w:val="18"/>
          <w:color w:val="auto"/>
        </w:rPr>
        <w:t>On April 27, 2023, we entered into an agreement to terminate the Credit Agreement effective May 1, 2023. There were no outstanding balances on the Credit Agreement at the time of termination.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VARIABLE INTEREST ENTITIES</w:t>
      </w:r>
    </w:p>
    <w:p>
      <w:pPr>
        <w:spacing w:after="0" w:line="171"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VIEs are legal entities that lack sufficient equity to finance their activities without future subordinated financial support. We consolidate the assets and liabilities of VIEs in which we hold a variable interest and are the primary beneficiary.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 Labs</w:t>
      </w:r>
    </w:p>
    <w:p>
      <w:pPr>
        <w:spacing w:after="0" w:line="16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8 — Debt for further information on the Warehouse Credit Facility.</w:t>
      </w:r>
    </w:p>
    <w:p>
      <w:pPr>
        <w:spacing w:after="0" w:line="117"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w:t>
      </w:r>
    </w:p>
    <w:p>
      <w:pPr>
        <w:spacing w:after="0" w:line="11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We have determined Liquid Labs is a VIE as the equity at risk is not sufficient to finance Liquid Labs operations. As the sole shareholder and holder of 100% of the equity investment in the entity, we consolidate Liquid Labs as we are the primary beneficiary.</w:t>
      </w:r>
    </w:p>
    <w:p>
      <w:pPr>
        <w:spacing w:after="0" w:line="9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consolidated balance sheets.</w:t>
      </w:r>
    </w:p>
    <w:p>
      <w:pPr>
        <w:spacing w:after="0" w:line="125"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The carrying amounts of Liquid Labs’ assets and liabilities included in our consolidated balance sheets are summarized below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of Liquid Labs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57,535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30,845</w:t>
            </w: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Corporate card receivables</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192,454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 held by VIE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  Corporate card receivables as of January 31, 2025 and 2024 represent pledged customer receivables from Navan, Inc. to Liquid Labs.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INCENTIVE PLAN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6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 2015, the Company’s Board of Directors (the “Board of Directors”) approved the adoption of the 2015 Equity Incentive Plan (the “Plan”). The Plan provides for the grant of incentive and nonstatutory stock options to employees, non-employee directors and consultants of the Company. Options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17" w:right="339" w:bottom="1440" w:gutter="0" w:footer="0" w:header="0"/>
        </w:sectPr>
      </w:pPr>
    </w:p>
    <w:bookmarkStart w:id="242" w:name="page243"/>
    <w:bookmarkEnd w:id="242"/>
    <w:p>
      <w:pPr>
        <w:ind w:right="460"/>
        <w:spacing w:after="0" w:line="287" w:lineRule="auto"/>
        <w:rPr>
          <w:sz w:val="20"/>
          <w:szCs w:val="20"/>
          <w:color w:val="auto"/>
        </w:rPr>
      </w:pPr>
      <w:r>
        <w:rPr>
          <w:rFonts w:ascii="Arial" w:cs="Arial" w:eastAsia="Arial" w:hAnsi="Arial"/>
          <w:sz w:val="18"/>
          <w:szCs w:val="18"/>
          <w:color w:val="auto"/>
        </w:rPr>
        <w:t>under the Plan continue to vest until the last day of employment and generally vest over four years and expire 10 years from the date of grant.</w:t>
      </w:r>
    </w:p>
    <w:p>
      <w:pPr>
        <w:spacing w:after="0" w:line="9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Under the Plan, 761,757,000 shares of common stock have been authorized for issuance and 16,451,535 shares of common stock remain available for issuance as of January 31, 2025. During the year ended January 31, 2025, the Board of Directors approved an increase of 14,300,000 shares reserved for issuance, for a total of 194,135,100 shares reserved under the Plan.</w:t>
      </w:r>
    </w:p>
    <w:p>
      <w:pPr>
        <w:spacing w:after="0" w:line="11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exercise price of options granted under the Plan must be at least equal to 100% of the fair value of the Company’s common stock at the date of grant as determined by the Board of Directors. During the years ended January 31, 2025 and 2024, no options have been granted to purchase stock at a price less than its fair value as determined by the Board of Directors at the time of grant.</w:t>
      </w:r>
    </w:p>
    <w:p>
      <w:pPr>
        <w:spacing w:after="0" w:line="11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b w:val="1"/>
          <w:bCs w:val="1"/>
          <w:u w:val="single" w:color="auto"/>
          <w:color w:val="auto"/>
        </w:rPr>
        <w:t>Early Exercise of Common Stock</w:t>
      </w:r>
      <w:r>
        <w:rPr>
          <w:rFonts w:ascii="Arial" w:cs="Arial" w:eastAsia="Arial" w:hAnsi="Arial"/>
          <w:sz w:val="18"/>
          <w:szCs w:val="18"/>
          <w:b w:val="1"/>
          <w:bCs w:val="1"/>
          <w:color w:val="auto"/>
        </w:rPr>
        <w:t xml:space="preserve"> — </w:t>
      </w:r>
      <w:r>
        <w:rPr>
          <w:rFonts w:ascii="Arial" w:cs="Arial" w:eastAsia="Arial" w:hAnsi="Arial"/>
          <w:sz w:val="18"/>
          <w:szCs w:val="18"/>
          <w:color w:val="auto"/>
        </w:rPr>
        <w:t>Certain stock options granted under the Plan provide option holders the right to elect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unvested options in exchange for shares of common stock. Such unvested shares of common stock are subject to a repurchase right held by the Company at the original issuance price in the event the optionee’s service to the Company is terminated either voluntarily or involuntarily. The repurchase right lapses as the underlying shares vest. The proceeds from the early exercise of stock options are treated as a refundable deposit and are recorded within accrued expenses and other liabilities on the consolidated balance sheets, and reclassified to additional paid-in capital as the Company’s repurchase right lapses. Common stock purchased pursuant to an early exercise of stock options is not deemed to be outstanding for accounting purposes until those shares vest. The Company includes unvested shares subject to repurchase in the number of shares of common stock outstanding in the consolidated balance sheets and statements of redeemable convertible preferred stock and stockholders’ deficit.</w:t>
      </w:r>
    </w:p>
    <w:p>
      <w:pPr>
        <w:spacing w:after="0" w:line="6" w:lineRule="exact"/>
        <w:rPr>
          <w:sz w:val="20"/>
          <w:szCs w:val="20"/>
          <w:color w:val="auto"/>
        </w:rPr>
      </w:pPr>
    </w:p>
    <w:p>
      <w:pPr>
        <w:ind w:right="740" w:firstLine="324"/>
        <w:spacing w:after="0" w:line="266" w:lineRule="auto"/>
        <w:rPr>
          <w:sz w:val="20"/>
          <w:szCs w:val="20"/>
          <w:color w:val="auto"/>
        </w:rPr>
      </w:pPr>
      <w:r>
        <w:rPr>
          <w:rFonts w:ascii="Arial" w:cs="Arial" w:eastAsia="Arial" w:hAnsi="Arial"/>
          <w:sz w:val="18"/>
          <w:szCs w:val="18"/>
          <w:color w:val="auto"/>
        </w:rPr>
        <w:t>As of January 31, 2025 and 2024, there were 149,291 and 400,020 shares subject to repurchase due to early exercises and the corresponding liability was $1.0 million and $2.6 million, respectively.</w:t>
      </w:r>
    </w:p>
    <w:p>
      <w:pPr>
        <w:spacing w:after="0" w:line="117"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 xml:space="preserve"> — </w:t>
      </w:r>
      <w:r>
        <w:rPr>
          <w:rFonts w:ascii="Arial" w:cs="Arial" w:eastAsia="Arial" w:hAnsi="Arial"/>
          <w:sz w:val="18"/>
          <w:szCs w:val="18"/>
          <w:color w:val="auto"/>
        </w:rPr>
        <w:t>The fair value of the stock options granted was estimated using the following assumptions in the Black-Scholes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model:</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Pr>
          <w:p>
            <w:pPr>
              <w:spacing w:after="0"/>
              <w:rPr>
                <w:sz w:val="17"/>
                <w:szCs w:val="17"/>
                <w:color w:val="auto"/>
              </w:rPr>
            </w:pPr>
          </w:p>
        </w:tc>
        <w:tc>
          <w:tcPr>
            <w:tcW w:w="4180" w:type="dxa"/>
            <w:vAlign w:val="bottom"/>
            <w:tcBorders>
              <w:bottom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06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2024</w:t>
            </w: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 - 60.19%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 - 61.13%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jc w:val="right"/>
              <w:spacing w:after="0"/>
              <w:rPr>
                <w:sz w:val="20"/>
                <w:szCs w:val="20"/>
                <w:color w:val="auto"/>
              </w:rPr>
            </w:pPr>
            <w:r>
              <w:rPr>
                <w:rFonts w:ascii="Arial" w:cs="Arial" w:eastAsia="Arial" w:hAnsi="Arial"/>
                <w:sz w:val="18"/>
                <w:szCs w:val="18"/>
                <w:color w:val="auto"/>
              </w:rPr>
              <w:t>3.86% - 4.60%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3.49% - 4.71%</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5.41 - 6.06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5.23 - 6.38</w:t>
            </w:r>
          </w:p>
        </w:tc>
      </w:tr>
      <w:tr>
        <w:trPr>
          <w:trHeight w:val="239"/>
        </w:trPr>
        <w:tc>
          <w:tcPr>
            <w:tcW w:w="70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 %</w:t>
            </w:r>
          </w:p>
        </w:tc>
        <w:tc>
          <w:tcPr>
            <w:tcW w:w="2040" w:type="dxa"/>
            <w:vAlign w:val="bottom"/>
          </w:tcPr>
          <w:p>
            <w:pPr>
              <w:jc w:val="center"/>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Given the absence of a public trading market, the fair value of the Company’s common stock is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Board of Directors based on a number of factors, including contemporaneous valuations of common stock performed by an unrelated valuation specialist, developments in the business and stage of development, the Company’s operational and financial performance and condition, issuances of redeemable convertible preferred stock and the rights and preferences of redeemable convertible preferred stock relative to common stock, current condition of capital markets and the likelihood of achieving a liquidity event, such as an initial public offering or sale of the Company, and the lack of marketability of the Company’s common stock.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17" w:right="339" w:bottom="1440" w:gutter="0" w:footer="0" w:header="0"/>
        </w:sectPr>
      </w:pPr>
    </w:p>
    <w:bookmarkStart w:id="243" w:name="page244"/>
    <w:bookmarkEnd w:id="243"/>
    <w:p>
      <w:pPr>
        <w:ind w:right="60" w:firstLine="324"/>
        <w:spacing w:after="0" w:line="28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applied an expected dividend yield of zero.</w:t>
      </w:r>
    </w:p>
    <w:p>
      <w:pPr>
        <w:spacing w:after="0" w:line="9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yield available on U.S. Treasury zero-coupon issues with a term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term of the option.</w:t>
      </w:r>
    </w:p>
    <w:p>
      <w:pPr>
        <w:spacing w:after="0" w:line="99"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volatility is derived from the average historical stock volatilities of peer group public companies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considers to be comparable to its business over a period equivalent to the expected term of the stock-based grants.</w:t>
      </w:r>
    </w:p>
    <w:p>
      <w:pPr>
        <w:spacing w:after="0" w:line="9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term represents the period that stock-based awards are expected to be outstanding.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did not have sufficient historical information to develop reasonable expectations about future exercise behavior, the expected term for options issued to employees was calculated as the mean of the option vesting period and contractual term (the “Simplified Method”). The expected term for options issued to non-employees is the contractual term.</w:t>
      </w:r>
    </w:p>
    <w:p>
      <w:pPr>
        <w:spacing w:after="0" w:line="12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b w:val="1"/>
          <w:bCs w:val="1"/>
          <w:u w:val="single" w:color="auto"/>
          <w:color w:val="auto"/>
        </w:rPr>
        <w:t>Stock Option Modifications</w:t>
      </w:r>
      <w:r>
        <w:rPr>
          <w:rFonts w:ascii="Arial" w:cs="Arial" w:eastAsia="Arial" w:hAnsi="Arial"/>
          <w:sz w:val="18"/>
          <w:szCs w:val="18"/>
          <w:b w:val="1"/>
          <w:bCs w:val="1"/>
          <w:color w:val="auto"/>
        </w:rPr>
        <w:t xml:space="preserve"> — </w:t>
      </w:r>
      <w:r>
        <w:rPr>
          <w:rFonts w:ascii="Arial" w:cs="Arial" w:eastAsia="Arial" w:hAnsi="Arial"/>
          <w:sz w:val="18"/>
          <w:szCs w:val="18"/>
          <w:color w:val="auto"/>
        </w:rPr>
        <w:t>During the years ended January 31, 2025 and 2024, the Company modified certain stock option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termination of select former employees. The modifications included accelerated vesting and extension of the post-termination exercise period. The Company measured the modification charge as the difference between the fair value of the modified awards and the fair value of the original awards immediately prior to the modification. The incremental fair value associated with the modified awards during the years ended January 31, 2025 and 2024 was $2.1 million and $5.0 million, respectively, which was recognized at the modification date.</w:t>
      </w:r>
    </w:p>
    <w:p>
      <w:pPr>
        <w:spacing w:after="0" w:line="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During the year ended January 31, 2025, the Company modified stock options for 2,254 employees, one former employee and one member of the Board of Directors by amending the exercise price of the stock options. As a result of the modification, we recognized incremental stock-based compensation expense of $6.0 million for vested stock options on the modification date. An additional $7.0 million of incremental stock-based compensation expense will be recognized for unvested stock options over a weighted average period of 2.3 years as of the modification date.</w:t>
      </w:r>
    </w:p>
    <w:p>
      <w:pPr>
        <w:spacing w:after="0" w:line="129"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The following table summarizes stock option activity for the year ended January 31, 2025 (in thousands, except price per share, share and years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Weighted- Average</w:t>
            </w: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Number of Stock Options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Weighted-Average</w:t>
            </w:r>
          </w:p>
        </w:tc>
        <w:tc>
          <w:tcPr>
            <w:tcW w:w="164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96"/>
              </w:rPr>
              <w:t>Remaining Contractual</w:t>
            </w: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640" w:type="dxa"/>
            <w:vAlign w:val="bottom"/>
            <w:gridSpan w:val="2"/>
          </w:tcPr>
          <w:p>
            <w:pPr>
              <w:jc w:val="center"/>
              <w:ind w:right="140"/>
              <w:spacing w:after="0" w:line="120" w:lineRule="exact"/>
              <w:rPr>
                <w:sz w:val="20"/>
                <w:szCs w:val="20"/>
                <w:color w:val="auto"/>
              </w:rPr>
            </w:pPr>
            <w:r>
              <w:rPr>
                <w:rFonts w:ascii="Arial" w:cs="Arial" w:eastAsia="Arial" w:hAnsi="Arial"/>
                <w:sz w:val="13"/>
                <w:szCs w:val="13"/>
                <w:b w:val="1"/>
                <w:bCs w:val="1"/>
                <w:color w:val="auto"/>
                <w:w w:val="94"/>
              </w:rPr>
              <w:t>Life</w:t>
            </w:r>
          </w:p>
        </w:tc>
        <w:tc>
          <w:tcPr>
            <w:tcW w:w="15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6"/>
              </w:rPr>
              <w:t>Aggregate Intrinsic Value</w:t>
            </w:r>
          </w:p>
        </w:tc>
        <w:tc>
          <w:tcPr>
            <w:tcW w:w="0" w:type="dxa"/>
            <w:vAlign w:val="bottom"/>
          </w:tcPr>
          <w:p>
            <w:pPr>
              <w:spacing w:after="0"/>
              <w:rPr>
                <w:sz w:val="1"/>
                <w:szCs w:val="1"/>
                <w:color w:val="auto"/>
              </w:rPr>
            </w:pPr>
          </w:p>
        </w:tc>
      </w:tr>
      <w:tr>
        <w:trPr>
          <w:trHeight w:val="177"/>
        </w:trPr>
        <w:tc>
          <w:tcPr>
            <w:tcW w:w="4700" w:type="dxa"/>
            <w:vAlign w:val="bottom"/>
          </w:tcPr>
          <w:p>
            <w:pPr>
              <w:spacing w:after="0"/>
              <w:rPr>
                <w:sz w:val="15"/>
                <w:szCs w:val="15"/>
                <w:color w:val="auto"/>
              </w:rPr>
            </w:pPr>
          </w:p>
        </w:tc>
        <w:tc>
          <w:tcPr>
            <w:tcW w:w="1560" w:type="dxa"/>
            <w:vAlign w:val="bottom"/>
          </w:tcPr>
          <w:p>
            <w:pPr>
              <w:jc w:val="right"/>
              <w:ind w:right="343"/>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5"/>
                <w:szCs w:val="15"/>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Exercise Price per Share</w:t>
            </w: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(Years)</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2024</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125,313,916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183,079</w:t>
            </w:r>
          </w:p>
        </w:tc>
        <w:tc>
          <w:tcPr>
            <w:tcW w:w="0" w:type="dxa"/>
            <w:vAlign w:val="bottom"/>
          </w:tcPr>
          <w:p>
            <w:pPr>
              <w:spacing w:after="0"/>
              <w:rPr>
                <w:sz w:val="1"/>
                <w:szCs w:val="1"/>
                <w:color w:val="auto"/>
              </w:rPr>
            </w:pPr>
          </w:p>
        </w:tc>
      </w:tr>
      <w:tr>
        <w:trPr>
          <w:trHeight w:val="215"/>
        </w:trPr>
        <w:tc>
          <w:tcPr>
            <w:tcW w:w="470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13,278,030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(1,997,981)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w:t>
            </w:r>
          </w:p>
        </w:tc>
        <w:tc>
          <w:tcPr>
            <w:tcW w:w="0" w:type="dxa"/>
            <w:vAlign w:val="bottom"/>
          </w:tcPr>
          <w:p>
            <w:pPr>
              <w:spacing w:after="0"/>
              <w:rPr>
                <w:sz w:val="1"/>
                <w:szCs w:val="1"/>
                <w:color w:val="auto"/>
              </w:rPr>
            </w:pPr>
          </w:p>
        </w:tc>
      </w:tr>
      <w:tr>
        <w:trPr>
          <w:trHeight w:val="215"/>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(13,677,661)</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2025</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122,916,304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402,471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6"/>
                <w:szCs w:val="16"/>
                <w:color w:val="auto"/>
              </w:rPr>
              <w:t>Vested and expected to vest as of January 31, 2025</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122,916,304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402,471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January 31, 2025</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96,311,576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349,174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grant date fair value of options granted during the years ended January 31, 2025 and 2024, were $3.96 and $3.59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 share, respectively. The intrinsic value of options exercised for the years ended January 31, 2025 and 2024 was $9.1 million and $6.0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 The aggregate grant-date fair value of options that vested during the years ended January 31, 2025 and 2024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$135.9 million and $73.8 million, respectively. As of January 31, 2025, there was approximately $135.0 million of unrecognized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related to unvested stock options granted, which is expected to be recognized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17" w:right="339" w:bottom="1440" w:gutter="0" w:footer="0" w:header="0"/>
        </w:sectPr>
      </w:pPr>
    </w:p>
    <w:bookmarkStart w:id="244" w:name="page245"/>
    <w:bookmarkEnd w:id="244"/>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RSUs vest upon the satisfaction of both time-based service and performance-based conditions. The time-based service condition for these RSUs is generally four years. The performance-based vesting conditions are satisfied upon a liquidity event, defined as a change of control transaction or following the consummation of an initial public offering. Upon employee termination, RSUs that have satisfied the service condition remain outstanding until the earlier of a liquidity event or the expiration date, which is 10 years from the date of grant.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RSUs for the year ended January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60" w:type="dxa"/>
            <w:vAlign w:val="bottom"/>
          </w:tcPr>
          <w:p>
            <w:pPr>
              <w:jc w:val="right"/>
              <w:ind w:right="7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Weighted-Average</w:t>
            </w:r>
          </w:p>
        </w:tc>
      </w:tr>
      <w:tr>
        <w:trPr>
          <w:trHeight w:val="185"/>
        </w:trPr>
        <w:tc>
          <w:tcPr>
            <w:tcW w:w="80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Subject to RSUs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 Date Fair Value</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31, 2024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29"/>
        </w:trPr>
        <w:tc>
          <w:tcPr>
            <w:tcW w:w="80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11,333,057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13,962,632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January 31, 2025 and 2024, no stock-based compensation expense had been recognized for RSUs because a liquidity event had not yet occurred. When a liquidity event occurs, the Company will record cumulative stock-based compensation expense using the accelerated attribution method for those RSUs for which the service condition has been satisfied prior to the occurrence of the liquidity event. If the liquidity event had occurred on or was probable as of January 31, 2025, the Company would have recorded cumulative stock-based compensation expense of approximately $30.3 million related to RSUs that had previously satisfied the service condition. Unrecognized stock-based compensation expense related to unvested RSUs that have not met the service condition is $63.6 million, which would be recognized over a weighted-average period of approximately 3.7 years if the liquidity event had occurred on or was probable as of January 31, 2025.</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Stock-based compensation is included in the following components of expenses within the consolidated statements of operations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30,408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27,039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17,077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15,872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24,919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28,189</w:t>
            </w:r>
          </w:p>
        </w:tc>
        <w:tc>
          <w:tcPr>
            <w:tcW w:w="0" w:type="dxa"/>
            <w:vAlign w:val="bottom"/>
          </w:tcPr>
          <w:p>
            <w:pPr>
              <w:spacing w:after="0"/>
              <w:rPr>
                <w:sz w:val="1"/>
                <w:szCs w:val="1"/>
                <w:color w:val="auto"/>
              </w:rPr>
            </w:pPr>
          </w:p>
        </w:tc>
      </w:tr>
      <w:tr>
        <w:trPr>
          <w:trHeight w:val="156"/>
        </w:trPr>
        <w:tc>
          <w:tcPr>
            <w:tcW w:w="798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rPr>
              <w:t>Total stock-based compensation expense, net of amounts</w:t>
            </w:r>
          </w:p>
        </w:tc>
        <w:tc>
          <w:tcPr>
            <w:tcW w:w="960" w:type="dxa"/>
            <w:vAlign w:val="bottom"/>
            <w:vMerge w:val="restart"/>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76,981</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75,851</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w:t>
            </w:r>
          </w:p>
        </w:tc>
        <w:tc>
          <w:tcPr>
            <w:tcW w:w="96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stock-based compensation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cost</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79,300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76,981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DEFICIT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6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Company’s authorized, issued and outstanding redeemable convertible preferred stock (collectively, the “Preferred Stock”) consisted of the following (in thousands, except price per share amounts and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center"/>
              <w:ind w:left="1061"/>
              <w:spacing w:after="0"/>
              <w:rPr>
                <w:sz w:val="20"/>
                <w:szCs w:val="20"/>
                <w:color w:val="auto"/>
              </w:rPr>
            </w:pPr>
            <w:r>
              <w:rPr>
                <w:rFonts w:ascii="Arial" w:cs="Arial" w:eastAsia="Arial" w:hAnsi="Arial"/>
                <w:sz w:val="14"/>
                <w:szCs w:val="14"/>
                <w:b w:val="1"/>
                <w:bCs w:val="1"/>
                <w:color w:val="auto"/>
              </w:rPr>
              <w:t>As of January 31, 2025 and 2024</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5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Shares</w:t>
            </w:r>
          </w:p>
        </w:tc>
        <w:tc>
          <w:tcPr>
            <w:tcW w:w="1440" w:type="dxa"/>
            <w:vAlign w:val="bottom"/>
          </w:tcPr>
          <w:p>
            <w:pPr>
              <w:jc w:val="right"/>
              <w:ind w:right="1"/>
              <w:spacing w:after="0" w:line="147" w:lineRule="exact"/>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Original Issuance</w:t>
            </w:r>
          </w:p>
        </w:tc>
        <w:tc>
          <w:tcPr>
            <w:tcW w:w="320" w:type="dxa"/>
            <w:vAlign w:val="bottom"/>
          </w:tcPr>
          <w:p>
            <w:pPr>
              <w:spacing w:after="0"/>
              <w:rPr>
                <w:sz w:val="12"/>
                <w:szCs w:val="12"/>
                <w:color w:val="auto"/>
              </w:rPr>
            </w:pPr>
          </w:p>
        </w:tc>
        <w:tc>
          <w:tcPr>
            <w:tcW w:w="12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2"/>
                <w:szCs w:val="12"/>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440" w:type="dxa"/>
            <w:vAlign w:val="bottom"/>
          </w:tcPr>
          <w:p>
            <w:pPr>
              <w:jc w:val="right"/>
              <w:ind w:right="22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 Per Share</w:t>
            </w: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Seed</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50,804,566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50,804,566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A</w:t>
            </w:r>
          </w:p>
        </w:tc>
        <w:tc>
          <w:tcPr>
            <w:tcW w:w="1420" w:type="dxa"/>
            <w:vAlign w:val="bottom"/>
          </w:tcPr>
          <w:p>
            <w:pPr>
              <w:jc w:val="right"/>
              <w:spacing w:after="0"/>
              <w:rPr>
                <w:sz w:val="20"/>
                <w:szCs w:val="20"/>
                <w:color w:val="auto"/>
              </w:rPr>
            </w:pPr>
            <w:r>
              <w:rPr>
                <w:rFonts w:ascii="Arial" w:cs="Arial" w:eastAsia="Arial" w:hAnsi="Arial"/>
                <w:sz w:val="16"/>
                <w:szCs w:val="16"/>
                <w:color w:val="auto"/>
              </w:rPr>
              <w:t>61,148,064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61,148,064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10,288</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64,059,440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64,059,440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B</w:t>
            </w:r>
          </w:p>
        </w:tc>
        <w:tc>
          <w:tcPr>
            <w:tcW w:w="1420" w:type="dxa"/>
            <w:vAlign w:val="bottom"/>
          </w:tcPr>
          <w:p>
            <w:pPr>
              <w:jc w:val="right"/>
              <w:spacing w:after="0"/>
              <w:rPr>
                <w:sz w:val="20"/>
                <w:szCs w:val="20"/>
                <w:color w:val="auto"/>
              </w:rPr>
            </w:pPr>
            <w:r>
              <w:rPr>
                <w:rFonts w:ascii="Arial" w:cs="Arial" w:eastAsia="Arial" w:hAnsi="Arial"/>
                <w:sz w:val="16"/>
                <w:szCs w:val="16"/>
                <w:color w:val="auto"/>
              </w:rPr>
              <w:t>82,515,508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82,395,028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51,153</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C</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63,474,833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59,311,289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142,398</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C-1</w:t>
            </w:r>
          </w:p>
        </w:tc>
        <w:tc>
          <w:tcPr>
            <w:tcW w:w="1420" w:type="dxa"/>
            <w:vAlign w:val="bottom"/>
          </w:tcPr>
          <w:p>
            <w:pPr>
              <w:jc w:val="right"/>
              <w:spacing w:after="0"/>
              <w:rPr>
                <w:sz w:val="20"/>
                <w:szCs w:val="20"/>
                <w:color w:val="auto"/>
              </w:rPr>
            </w:pPr>
            <w:r>
              <w:rPr>
                <w:rFonts w:ascii="Arial" w:cs="Arial" w:eastAsia="Arial" w:hAnsi="Arial"/>
                <w:sz w:val="16"/>
                <w:szCs w:val="16"/>
                <w:color w:val="auto"/>
              </w:rPr>
              <w:t>4,163,544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4,163,544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9,996</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37,778,170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37,778,170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279,676</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E</w:t>
            </w:r>
          </w:p>
        </w:tc>
        <w:tc>
          <w:tcPr>
            <w:tcW w:w="1420" w:type="dxa"/>
            <w:vAlign w:val="bottom"/>
          </w:tcPr>
          <w:p>
            <w:pPr>
              <w:jc w:val="right"/>
              <w:spacing w:after="0"/>
              <w:rPr>
                <w:sz w:val="20"/>
                <w:szCs w:val="20"/>
                <w:color w:val="auto"/>
              </w:rPr>
            </w:pPr>
            <w:r>
              <w:rPr>
                <w:rFonts w:ascii="Arial" w:cs="Arial" w:eastAsia="Arial" w:hAnsi="Arial"/>
                <w:sz w:val="16"/>
                <w:szCs w:val="16"/>
                <w:color w:val="auto"/>
              </w:rPr>
              <w:t>41,579,555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41,579,555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361,700</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F</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25,504,285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25,504,285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274,827</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Series G</w:t>
            </w:r>
          </w:p>
        </w:tc>
        <w:tc>
          <w:tcPr>
            <w:tcW w:w="1420" w:type="dxa"/>
            <w:vAlign w:val="bottom"/>
          </w:tcPr>
          <w:p>
            <w:pPr>
              <w:jc w:val="right"/>
              <w:spacing w:after="0"/>
              <w:rPr>
                <w:sz w:val="20"/>
                <w:szCs w:val="20"/>
                <w:color w:val="auto"/>
              </w:rPr>
            </w:pPr>
            <w:r>
              <w:rPr>
                <w:rFonts w:ascii="Arial" w:cs="Arial" w:eastAsia="Arial" w:hAnsi="Arial"/>
                <w:sz w:val="16"/>
                <w:szCs w:val="16"/>
                <w:color w:val="auto"/>
              </w:rPr>
              <w:t>24,032,867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8,010,958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99,794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G-1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16,021,909</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4,325,909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53,890</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471,082,741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439,080,808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1,301,402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1,301,121</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features of the Preferred Stock are as follows:</w:t>
      </w:r>
    </w:p>
    <w:p>
      <w:pPr>
        <w:spacing w:after="0" w:line="171"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b w:val="1"/>
          <w:bCs w:val="1"/>
          <w:color w:val="auto"/>
        </w:rPr>
        <w:t xml:space="preserve">Dividend Provisions </w:t>
      </w:r>
      <w:r>
        <w:rPr>
          <w:rFonts w:ascii="Arial" w:cs="Arial" w:eastAsia="Arial" w:hAnsi="Arial"/>
          <w:sz w:val="18"/>
          <w:szCs w:val="18"/>
          <w:color w:val="auto"/>
        </w:rPr>
        <w:t>- Holders of Preferred Stock shall be entitled to receive, when, and if declared by the Board of Directors, but only</w:t>
      </w:r>
      <w:r>
        <w:rPr>
          <w:rFonts w:ascii="Arial" w:cs="Arial" w:eastAsia="Arial" w:hAnsi="Arial"/>
          <w:sz w:val="18"/>
          <w:szCs w:val="18"/>
          <w:b w:val="1"/>
          <w:bCs w:val="1"/>
          <w:color w:val="auto"/>
        </w:rPr>
        <w:t xml:space="preserve"> </w:t>
      </w:r>
      <w:r>
        <w:rPr>
          <w:rFonts w:ascii="Arial" w:cs="Arial" w:eastAsia="Arial" w:hAnsi="Arial"/>
          <w:sz w:val="18"/>
          <w:szCs w:val="18"/>
          <w:color w:val="auto"/>
        </w:rPr>
        <w:t>out of funds that are legally available, cash dividends at the rate of 8% of the original issue price of each Preferred Stock series. Such dividends shall be payable on a pari passu basis and only when, and if declared by the Board of Directors and shall be non-cumulative. No dividends on Preferred Stock or common stock have been declared by the Board of Directors from inception through January 31, 2025.</w:t>
      </w:r>
    </w:p>
    <w:p>
      <w:pPr>
        <w:spacing w:after="0" w:line="122"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b w:val="1"/>
          <w:bCs w:val="1"/>
          <w:color w:val="auto"/>
        </w:rPr>
        <w:t xml:space="preserve">Liquidation Preference </w:t>
      </w:r>
      <w:r>
        <w:rPr>
          <w:rFonts w:ascii="Arial" w:cs="Arial" w:eastAsia="Arial" w:hAnsi="Arial"/>
          <w:sz w:val="17"/>
          <w:szCs w:val="17"/>
          <w:color w:val="auto"/>
        </w:rPr>
        <w:t>- In the event of any liquidation, dissolution or winding-up of the Company, whether voluntary or involuntary or</w:t>
      </w:r>
      <w:r>
        <w:rPr>
          <w:rFonts w:ascii="Arial" w:cs="Arial" w:eastAsia="Arial" w:hAnsi="Arial"/>
          <w:sz w:val="17"/>
          <w:szCs w:val="17"/>
          <w:b w:val="1"/>
          <w:bCs w:val="1"/>
          <w:color w:val="auto"/>
        </w:rPr>
        <w:t xml:space="preserve"> </w:t>
      </w:r>
      <w:r>
        <w:rPr>
          <w:rFonts w:ascii="Arial" w:cs="Arial" w:eastAsia="Arial" w:hAnsi="Arial"/>
          <w:sz w:val="17"/>
          <w:szCs w:val="17"/>
          <w:color w:val="auto"/>
        </w:rPr>
        <w:t>any deemed liquidation event (a “Liquidation Event”), the holders of Preferred Stock shall be entitled, on a pari passu basis among each other and before any payments to the holders of common stock, to be paid out of the assets of the Company available for distribution for each share of Preferred Stock, an amount per share of Preferred Stock equal to the greater of (a) the applicable original issuance price plus all declared but unpaid dividends on such Preferred Stock, or (b) such amount per share as would have been payable had all shares of (i) such series of Preferred Stock been converted into common stock, and (ii) each other series of Preferred Stock that would have received a greater amount per share had such other series been converted into common stock. If, upon any such Liquidation Event, the assets of the Company shall be insufficient to make payment in full to all holders of the Preferred Stock, then the assets shall be distributed among the holders of Preferred Stock on a pari passu basis, in proportion to the full amounts to which they would otherwise be respectively entitled.</w:t>
      </w:r>
    </w:p>
    <w:p>
      <w:pPr>
        <w:spacing w:after="0" w:line="120"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After the payment of the full liquidation preference to Preferred Stock above, the remaining assets of the corporation available for distribution to shareholders will be distributed ratably to the holders of common stock.</w:t>
      </w:r>
    </w:p>
    <w:p>
      <w:pPr>
        <w:spacing w:after="0" w:line="99"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 Each share of Preferred Stock is convertible, at the option of the holder, into such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as is determined by dividing the applicable original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246" w:name="page247"/>
    <w:bookmarkEnd w:id="246"/>
    <w:p>
      <w:pPr>
        <w:jc w:val="both"/>
        <w:ind w:right="20"/>
        <w:spacing w:after="0" w:line="268" w:lineRule="auto"/>
        <w:rPr>
          <w:sz w:val="20"/>
          <w:szCs w:val="20"/>
          <w:color w:val="auto"/>
        </w:rPr>
      </w:pPr>
      <w:r>
        <w:rPr>
          <w:rFonts w:ascii="Arial" w:cs="Arial" w:eastAsia="Arial" w:hAnsi="Arial"/>
          <w:sz w:val="18"/>
          <w:szCs w:val="18"/>
          <w:color w:val="auto"/>
        </w:rPr>
        <w:t>price for a share by the applicable conversion price at the time in effect for such share. Each share of Preferred Stock automatically converts into the number of shares of common stock into which such shares are convertible at the then-effective conversion ratio upon the closing of a public offering of common stock with gross proceeds of at least $100.0 million as of January 31, 2025.</w:t>
      </w:r>
    </w:p>
    <w:p>
      <w:pPr>
        <w:spacing w:after="0" w:line="11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b w:val="1"/>
          <w:bCs w:val="1"/>
          <w:color w:val="auto"/>
        </w:rPr>
        <w:t xml:space="preserve">Redemption Rights </w:t>
      </w:r>
      <w:r>
        <w:rPr>
          <w:rFonts w:ascii="Arial" w:cs="Arial" w:eastAsia="Arial" w:hAnsi="Arial"/>
          <w:sz w:val="18"/>
          <w:szCs w:val="18"/>
          <w:color w:val="auto"/>
        </w:rPr>
        <w:t>- The Preferred Stock is not mandatorily redeemable. It will become redeemable upon the occurrence of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deemed liquidation events that are considered not solely within the Company’s control. Accordingly, the Preferred Stock is presented in the mezzanine section of the consolidated balance sheets.</w:t>
      </w:r>
    </w:p>
    <w:p>
      <w:pPr>
        <w:spacing w:after="0" w:line="117"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 The holders of each share of Preferred Stock are entitled to the number of votes equal to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which such shares are convertible.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holders of each share of common stock are entitled to one vote for each share of common stock issued and outstanding for the holders. The holders of common stock are also entitled to receive dividends whenever funds are available and when declared by the Board of Directors, subject to the priority rights of holders of all series of Preferred Stock outstanding.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reserved for issuance as of January 31, 2025 and 2024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933"/>
              <w:spacing w:after="0"/>
              <w:rPr>
                <w:sz w:val="20"/>
                <w:szCs w:val="20"/>
                <w:color w:val="auto"/>
              </w:rPr>
            </w:pPr>
            <w:r>
              <w:rPr>
                <w:rFonts w:ascii="Arial" w:cs="Arial" w:eastAsia="Arial" w:hAnsi="Arial"/>
                <w:sz w:val="14"/>
                <w:szCs w:val="14"/>
                <w:b w:val="1"/>
                <w:bCs w:val="1"/>
                <w:color w:val="auto"/>
              </w:rPr>
              <w:t>As of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439,080,808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439,080,808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122,916,304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125,313,916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issued and outstanding</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13,962,632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2,847,353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Stock options and RSUs reserved for future issuance</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16,451,535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12,867,183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120,480</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common stock reserved for issuance</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592,531,759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580,229,740</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NOTE 12 - INCOME TAXES</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7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980" w:type="dxa"/>
            <w:vAlign w:val="bottom"/>
          </w:tcPr>
          <w:p>
            <w:pPr>
              <w:ind w:left="340"/>
              <w:spacing w:after="0"/>
              <w:rPr>
                <w:sz w:val="20"/>
                <w:szCs w:val="20"/>
                <w:color w:val="auto"/>
              </w:rPr>
            </w:pPr>
            <w:r>
              <w:rPr>
                <w:rFonts w:ascii="Arial" w:cs="Arial" w:eastAsia="Arial" w:hAnsi="Arial"/>
                <w:sz w:val="18"/>
                <w:szCs w:val="18"/>
                <w:color w:val="auto"/>
              </w:rPr>
              <w:t>Loss before income tax expense is as follows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33"/>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(345,485)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(326,124)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17" w:right="339" w:bottom="1440" w:gutter="0" w:footer="0" w:header="0"/>
        </w:sectPr>
      </w:pPr>
    </w:p>
    <w:bookmarkStart w:id="247" w:name="page248"/>
    <w:bookmarkEnd w:id="247"/>
    <w:p>
      <w:pPr>
        <w:ind w:left="34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 Ended January 31,</w:t>
            </w:r>
          </w:p>
        </w:tc>
        <w:tc>
          <w:tcPr>
            <w:tcW w:w="62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 (benefit)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Historically, it has been the practice and intention of the Company to indefinitely reinvest the earnings of its non-U.S. subsidiaries. During the fiscal year ended January 31, 2024, the Company altered its capital allocation strategy and determined that certain non-US earnings, which can be distributed tax efficiently, are no longer permanently reinvested where earned. As of January 31, 2025 and 2024, the Company recognized a deferred tax liability of $0.3 million and $0.2 million, respectively, for additional taxes that would be incurred upon repatriation of the earnings that are no longer permanently reinvested.</w:t>
      </w:r>
    </w:p>
    <w:p>
      <w:pPr>
        <w:spacing w:after="0" w:line="125"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The income tax expense differs from the amount computed by applying the federal statutory income tax rate to income before taxes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Expected tax benefit at federal rate of 21%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(68,486)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Taxes on foreign earnings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Disallowed interest on convertible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Effects of cross-border tax laws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17" w:right="339" w:bottom="1440" w:gutter="0" w:footer="0" w:header="0"/>
        </w:sectPr>
      </w:pPr>
    </w:p>
    <w:bookmarkStart w:id="248" w:name="page249"/>
    <w:bookmarkEnd w:id="248"/>
    <w:p>
      <w:pPr>
        <w:ind w:left="340"/>
        <w:spacing w:after="0"/>
        <w:rPr>
          <w:sz w:val="20"/>
          <w:szCs w:val="20"/>
          <w:color w:val="auto"/>
        </w:rPr>
      </w:pPr>
      <w:r>
        <w:rPr>
          <w:rFonts w:ascii="Arial" w:cs="Arial" w:eastAsia="Arial" w:hAnsi="Arial"/>
          <w:sz w:val="18"/>
          <w:szCs w:val="18"/>
          <w:color w:val="auto"/>
        </w:rPr>
        <w:t>The components of net deferred tax assets and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January 31,</w:t>
            </w: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211,217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209,724</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14,031</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Reserves and accruals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14,378</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Capitalized research and development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38,764</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321,439</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(297,643)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right-of-use asset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Reserves and accruals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(13,902)</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assets will be realized. The ultimate realization of deferred tax assets is dependent upon the generation of future taxable income during the periods in which those temporary differences become deductible. Based on the available objective evidence, the Company believes it is more likely than not that a portion of its net deferred tax assets may not be realized in the future. Accordingly, the Company established a full valuation allowance against its U.S. federal, certain states, and certain foreign deferred tax assets. The net change in the total valuation allowance for the years ended January 31, 2025 and 2024 was an increase of approximately $39.1 million and $70.0 million, respectively.</w:t>
      </w:r>
    </w:p>
    <w:p>
      <w:pPr>
        <w:spacing w:after="0" w:line="129"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As of January 31, 2025, the Company had approximately $ 805.0 million of federal, $628.6 million of state, and $20.0 million of foreign net operating loss carryforwards as reported on our tax returns available to reduce future taxable income. Of the $805.0 million federal net operating loss carryforwards, $789.9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2025, the Company also had federal and state research and development tax credit carryforwards as reported on our tax returns of approximately $15.5 million and $ 11.1 million, respectively. The federal tax credits will expire at various dates beginning in 2036, unless utilized. The state tax credits do not expire and will carry forward indefinitely until utilized.</w:t>
      </w:r>
    </w:p>
    <w:p>
      <w:pPr>
        <w:spacing w:after="0" w:line="13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As of January 31, 2024, the Company had approximately $ 789.6 million of federal, $568.1 million of state, and $30.7 million of foreign net operating loss carryforwards as reported on our tax returns available to reduce future taxable income. Of the $789.6 million federal net operating loss carryforwards, $774.5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2024, the Company also had federal and state research and development tax credit carryforwards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17" w:right="339" w:bottom="1440" w:gutter="0" w:footer="0" w:header="0"/>
        </w:sectPr>
      </w:pPr>
    </w:p>
    <w:bookmarkStart w:id="249" w:name="page250"/>
    <w:bookmarkEnd w:id="249"/>
    <w:p>
      <w:pPr>
        <w:ind w:right="280"/>
        <w:spacing w:after="0" w:line="287" w:lineRule="auto"/>
        <w:rPr>
          <w:sz w:val="20"/>
          <w:szCs w:val="20"/>
          <w:color w:val="auto"/>
        </w:rPr>
      </w:pPr>
      <w:r>
        <w:rPr>
          <w:rFonts w:ascii="Arial" w:cs="Arial" w:eastAsia="Arial" w:hAnsi="Arial"/>
          <w:sz w:val="18"/>
          <w:szCs w:val="18"/>
          <w:color w:val="auto"/>
        </w:rPr>
        <w:t>reported on our tax returns of approximately $12.0 million and $8.5 million, respectively. The federal tax credits will expire at various dates beginning in 2036, unless utilized. The state tax credits do not expire and will carry forward indefinitely until utilized.</w:t>
      </w:r>
    </w:p>
    <w:p>
      <w:pPr>
        <w:spacing w:after="0" w:line="9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Federal and state tax laws impose substantial restrictions on the utilization of the net operating loss and credit carryforwards in the event of an ownership change as defined in Section 382 of the Internal Revenue Code. Accordingly, the Company’s ability to utilize these carryforwards may be limited as a result of such ownership change.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 Subsequent ownership changes in respect to these tax attributes may further affect the limitation in future years.</w:t>
      </w:r>
    </w:p>
    <w:p>
      <w:pPr>
        <w:spacing w:after="0" w:line="12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Company recognizes uncertain tax positions in the consolidated financial statements if that position is more likely than not of being sustained upon audit, based on the technical merits of the position. In the preparation of income tax returns in federal, foreign, and state jurisdictions, the Company asserts certain tax positions based on its understanding and interpretation of income tax laws. The taxing authorities may challenge such positions, and the resolution of such matters could result in recognition of income tax expense in the Company’s consolidated financial statements. As of January 31, 2025, the Company had unrecognized tax benefits of $9.5 million, of which $1.9 million, if recognized, would favorably impact the effective tax rate. As of January 31, 2024, the Company had unrecognized tax benefits of $8.8 million, of which $2.4 million, if recognized, would favorably impact the effective tax rate.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aggregate changes in the Company’s total gross amount of unrecognized tax benefits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Additions based on tax position related to the current year</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for the prior year</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Decrease related to prior year tax positions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expiration of statute of limitations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8,783</w:t>
            </w:r>
          </w:p>
        </w:tc>
      </w:tr>
      <w:tr>
        <w:trPr>
          <w:trHeight w:val="21"/>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8"/>
          <w:szCs w:val="18"/>
          <w:color w:val="auto"/>
        </w:rPr>
        <w:t>The Company includes interest and penalties related to unrecognized tax benefits through income tax expense. As of January 31, 2025 and 2024, the amount of accrued interest and penalties related to uncertain tax positions was $0.4 million.</w:t>
      </w:r>
    </w:p>
    <w:p>
      <w:pPr>
        <w:spacing w:after="0" w:line="99" w:lineRule="exact"/>
        <w:rPr>
          <w:sz w:val="20"/>
          <w:szCs w:val="20"/>
          <w:color w:val="auto"/>
        </w:rPr>
      </w:pPr>
    </w:p>
    <w:p>
      <w:pPr>
        <w:jc w:val="both"/>
        <w:ind w:right="140" w:firstLine="324"/>
        <w:spacing w:after="0" w:line="262"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12 months due to tax examination changes, settlement activities, or the impact on recognition and measurement considerations related to the results of published tax cases or other similar activities, the Company does not anticipate any significant changes to unrecognized tax benefits over the next 12 months.</w:t>
      </w:r>
    </w:p>
    <w:p>
      <w:pPr>
        <w:spacing w:after="0" w:line="122"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color w:val="auto"/>
        </w:rPr>
        <w:t>The Company files federal, state, and foreign tax returns with varying statutes of limitations. The tax years since inception of the Company in 2015 remain open to examination due to the carryover of unused net operating losses and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17" w:right="339" w:bottom="1440" w:gutter="0" w:footer="0" w:header="0"/>
        </w:sectPr>
      </w:pPr>
    </w:p>
    <w:bookmarkStart w:id="250" w:name="page251"/>
    <w:bookmarkEnd w:id="25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69"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primarily related to the purchase of cloud hosting arrangements and software subscriptions. The table below presents the summarized purchase obligations as of January 31, 2025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6"/>
          </w:tcPr>
          <w:p>
            <w:pPr>
              <w:jc w:val="center"/>
              <w:ind w:left="102"/>
              <w:spacing w:after="0"/>
              <w:rPr>
                <w:sz w:val="20"/>
                <w:szCs w:val="20"/>
                <w:color w:val="auto"/>
              </w:rPr>
            </w:pPr>
            <w:r>
              <w:rPr>
                <w:rFonts w:ascii="Arial" w:cs="Arial" w:eastAsia="Arial" w:hAnsi="Arial"/>
                <w:sz w:val="14"/>
                <w:szCs w:val="14"/>
                <w:b w:val="1"/>
                <w:bCs w:val="1"/>
                <w:color w:val="auto"/>
              </w:rPr>
              <w:t>Payments Due By Period as of January 31, 2025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6"/>
        </w:trPr>
        <w:tc>
          <w:tcPr>
            <w:tcW w:w="3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1 Year</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1 - 3 Years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3 - 5 Years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More than 5 Years</w:t>
            </w:r>
          </w:p>
        </w:tc>
      </w:tr>
      <w:tr>
        <w:trPr>
          <w:trHeight w:val="224"/>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21,556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6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the ordinary course of business, the Company may be subject from time to time to various litigation and administrative proceedings, disputes or claims. In the event that the Company becomes a party to litigation in the future, the Company will record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 As of January 31, 2025, the Company is not subject to any currently pending legal matters or claims that could have a material adverse effect on its financial position, results of operations, or cash flows should such litigation be resolved unfavorably.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Repayment of Government Grants</w:t>
      </w:r>
    </w:p>
    <w:p>
      <w:pPr>
        <w:spacing w:after="0" w:line="169"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During the years ended January 31, 2022 and 2021, the Company received $6.0 million in grants from the Dutch government under the NOW Scheme. The Company’s application for relief under the 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w:t>
      </w:r>
    </w:p>
    <w:p>
      <w:pPr>
        <w:spacing w:after="0" w:line="122"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During the year ended January 31, 2023, the Company received a tentative payment schedule from the Dutch government. The NOW Scheme liability balances as of January 31, 2025 and 2024, and the changes in fiscal 2025 and 2024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spacing w:after="0"/>
              <w:rPr>
                <w:sz w:val="17"/>
                <w:szCs w:val="17"/>
                <w:color w:val="auto"/>
              </w:rPr>
            </w:pPr>
          </w:p>
        </w:tc>
        <w:tc>
          <w:tcPr>
            <w:tcW w:w="26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7"/>
                <w:szCs w:val="17"/>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24"/>
        </w:trPr>
        <w:tc>
          <w:tcPr>
            <w:tcW w:w="80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Balance at beginning of period</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5,648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Repayments</w:t>
            </w:r>
          </w:p>
        </w:tc>
        <w:tc>
          <w:tcPr>
            <w:tcW w:w="9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8"/>
              </w:rPr>
              <w:t>(1,118)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impact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7"/>
              </w:rPr>
              <w:t>4,315</w:t>
            </w:r>
          </w:p>
        </w:tc>
        <w:tc>
          <w:tcPr>
            <w:tcW w:w="100" w:type="dxa"/>
            <w:vAlign w:val="bottom"/>
          </w:tcPr>
          <w:p>
            <w:pPr>
              <w:spacing w:after="0"/>
              <w:rPr>
                <w:sz w:val="19"/>
                <w:szCs w:val="19"/>
                <w:color w:val="auto"/>
              </w:rPr>
            </w:pP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5,648</w:t>
            </w:r>
          </w:p>
        </w:tc>
      </w:tr>
      <w:tr>
        <w:trPr>
          <w:trHeight w:val="230"/>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balance in Accrued expenses and other 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8000" w:type="dxa"/>
            <w:vAlign w:val="bottom"/>
          </w:tcPr>
          <w:p>
            <w:pPr>
              <w:ind w:left="240"/>
              <w:spacing w:after="0"/>
              <w:rPr>
                <w:sz w:val="20"/>
                <w:szCs w:val="20"/>
                <w:color w:val="auto"/>
              </w:rPr>
            </w:pPr>
            <w:r>
              <w:rPr>
                <w:rFonts w:ascii="Arial" w:cs="Arial" w:eastAsia="Arial" w:hAnsi="Arial"/>
                <w:sz w:val="18"/>
                <w:szCs w:val="18"/>
                <w:color w:val="auto"/>
              </w:rPr>
              <w:t>Balance in Other non-current liabilities</w:t>
            </w:r>
          </w:p>
        </w:tc>
        <w:tc>
          <w:tcPr>
            <w:tcW w:w="98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3,806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31" w:lineRule="exact"/>
        <w:rPr>
          <w:sz w:val="20"/>
          <w:szCs w:val="20"/>
          <w:color w:val="auto"/>
        </w:rPr>
      </w:pPr>
    </w:p>
    <w:p>
      <w:pPr>
        <w:ind w:left="340" w:right="260" w:hanging="332"/>
        <w:spacing w:after="0" w:line="270" w:lineRule="auto"/>
        <w:tabs>
          <w:tab w:leader="none" w:pos="33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During the year ended January 31, 2023, the NOW Scheme liability had a foreign currency translation impact of $0.2 million, leading to a decrease of the liability from $6.0 million to $5.8 million.</w:t>
      </w:r>
    </w:p>
    <w:p>
      <w:pPr>
        <w:spacing w:after="0" w:line="10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As of January 31, 2025, the Company’s application for relief is still under review with the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sponsors a 401(k) defined contribution retirement plan (the “401(k) Plan”) covering certain U.S. employees. Participants may contribute a portion of their compensation to the Plan, subject to limitations under the Internal Revenue Code. During the year ended January 31, 2024, the Company paused 401(k) Plan matching contributions for employees. The Company also maintains certain other defined contribution plans outside of the United States for which it provides contributions for participating employees in the regions in which matching contributions is applicable. The Company’s contributions for all defined contribution retirement plans were $6.1 million and $7.4 million for the years ended January 31, 2025 and 2024,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PER SHARE</w:t>
      </w:r>
    </w:p>
    <w:p>
      <w:pPr>
        <w:spacing w:after="0" w:line="171"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(331,552)</w:t>
            </w:r>
          </w:p>
        </w:tc>
        <w:tc>
          <w:tcPr>
            <w:tcW w:w="0" w:type="dxa"/>
            <w:vAlign w:val="bottom"/>
          </w:tcPr>
          <w:p>
            <w:pPr>
              <w:spacing w:after="0"/>
              <w:rPr>
                <w:sz w:val="1"/>
                <w:szCs w:val="1"/>
                <w:color w:val="auto"/>
              </w:rPr>
            </w:pPr>
          </w:p>
        </w:tc>
      </w:tr>
      <w:tr>
        <w:trPr>
          <w:trHeight w:val="176"/>
        </w:trPr>
        <w:tc>
          <w:tcPr>
            <w:tcW w:w="798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outstanding used to compute net loss per share attributable to common</w:t>
            </w:r>
          </w:p>
        </w:tc>
        <w:tc>
          <w:tcPr>
            <w:tcW w:w="3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135,818,454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133,754,772</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During the years ended January 31, 2025 and 2024,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932"/>
              <w:spacing w:after="0"/>
              <w:rPr>
                <w:sz w:val="20"/>
                <w:szCs w:val="20"/>
                <w:color w:val="auto"/>
              </w:rPr>
            </w:pPr>
            <w:r>
              <w:rPr>
                <w:rFonts w:ascii="Arial" w:cs="Arial" w:eastAsia="Arial" w:hAnsi="Arial"/>
                <w:sz w:val="14"/>
                <w:szCs w:val="14"/>
                <w:b w:val="1"/>
                <w:bCs w:val="1"/>
                <w:color w:val="auto"/>
              </w:rPr>
              <w:t>As of January 31,</w:t>
            </w:r>
          </w:p>
        </w:tc>
      </w:tr>
      <w:tr>
        <w:trPr>
          <w:trHeight w:val="196"/>
        </w:trPr>
        <w:tc>
          <w:tcPr>
            <w:tcW w:w="80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439,080,808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439,080,808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122,916,304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125,313,916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issued and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13,962,632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2,847,353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Warrants to purchase redeemable convertible preferred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120,480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120,480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repurchase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400,020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Convertible notes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38,838,512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41,942,500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615,068,027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609,705,077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71"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During the three months ended April 30, 2025, we issued a term loan and common stock warrants in exchange for cash proceeds of $130.0 million, and also executed Simple Agreements for Future Equity (“SAFEs”) and common stock warrants in exchange for total proceeds of $155.0 million. We also settled the 2022 Promissory Note for a cash payment of $198.1 million. We are in the process of evaluating the accounting impact of these transactions.</w:t>
      </w:r>
    </w:p>
    <w:p>
      <w:pPr>
        <w:spacing w:after="0" w:line="12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During the three months ended April 30, 2025, we amended the Warehouse Credit Facility to extend the maturity date to February 2028. We also repaid the Trade Loan Facility, and executed a new revolving line of credit with Citibank. The new revolving line of credit has a borrowing limit of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t>million, and a term through March 2028. We are in the process of evaluating the accounting impact of these transactions.</w:t>
      </w:r>
    </w:p>
    <w:p>
      <w:pPr>
        <w:spacing w:after="0" w:line="171"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Subsequent events have been evaluated through April 30, 2025, the date the consolidated financial statements were available to be issued.</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Subsequent to Original Issuance of Financial Statements (Unaudited)</w:t>
      </w:r>
    </w:p>
    <w:p>
      <w:pPr>
        <w:spacing w:after="0" w:line="169"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Company evaluated subsequent events through June 20, 2025, the date these consolidated financial statements were available to be reissued.</w:t>
      </w:r>
    </w:p>
    <w:p>
      <w:pPr>
        <w:spacing w:after="0" w:line="9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Since February 1, 2025 and through the date these consolidated financial statements were available to be reissued, we granted 7,244,530 stock options that vest over four years based on service-only conditions. We also granted 8,232,996 RSUs that vest upon the satisfaction of both a performance and a service condition, where the performance condition is satisfied by either a sale of the Company or following the effective date of an initial public offering, and the service condition is satisfied generally over a period of four years. In addition, we granted 1,581,369 RSUs which vest over four years based solely on service-only conditions.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Vista Facility</w:t>
      </w:r>
    </w:p>
    <w:p>
      <w:pPr>
        <w:spacing w:after="0" w:line="169"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color w:val="auto"/>
        </w:rPr>
        <w:t>In February 2025, we entered into a credit agreement with VCP Capital Markets, LLC, under which we issued term loans to lenders in exchange for proceeds of $130.0 million, which mature on February 24, 2030 (the “Vista Facility”). In connection with the Vista Facility, we issued warrants covering 1,459,768 shares of common stock.</w:t>
      </w:r>
    </w:p>
    <w:p>
      <w:pPr>
        <w:spacing w:after="0" w:line="11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Upon issuance of the Vista Facility, the common stock warrants had a fair value of $11.0 million which was recorded as a debt discount. Debt issuance costs were recorded as a reduction to the debt liability. The debt discount and debt issuance costs are amortized to interest expense at an effective interest rate of 12.8% over the term of the loan. The common stock warrants are equity classified within additional paid-in capital.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Simple Agreements for Future Equity (SAFEs) and Common Stock Warrants</w:t>
      </w:r>
    </w:p>
    <w:p>
      <w:pPr>
        <w:spacing w:after="0" w:line="16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During the three months ended April 30, 2025, we entered into SAFEs with multiple investors in exchange for cash proceeds of $155.0 million, with an interest rate of 12% per annum. The SAFEs contain various conversion features.</w:t>
      </w:r>
    </w:p>
    <w:p>
      <w:pPr>
        <w:spacing w:after="0" w:line="9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issued common stock warrants to investors together with the SAFEs. The number of shares that can be issued upon exercise of the common stock warrants is determined based on a fixed percentage of the fully diluted capitalization prior to the earliest to occur of (a) a deemed liquidation event, (b) a liquidity event, and (c) the date of exercise.</w:t>
      </w:r>
    </w:p>
    <w:p>
      <w:pPr>
        <w:spacing w:after="0" w:line="117"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We incurred debt issuance costs of $2.9 million in connection with the issuance of the SAFEs and common stock warrants, which were expensed when incurred. The SAFEs and common stock warrants are classified as liabilities and are measured at fair value on a recurring basis.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2022 Promissory Note</w:t>
      </w:r>
    </w:p>
    <w:p>
      <w:pPr>
        <w:spacing w:after="0" w:line="169" w:lineRule="exact"/>
        <w:rPr>
          <w:sz w:val="20"/>
          <w:szCs w:val="20"/>
          <w:color w:val="auto"/>
        </w:rPr>
      </w:pPr>
    </w:p>
    <w:p>
      <w:pPr>
        <w:ind w:right="920" w:firstLine="324"/>
        <w:spacing w:after="0" w:line="287" w:lineRule="auto"/>
        <w:rPr>
          <w:sz w:val="20"/>
          <w:szCs w:val="20"/>
          <w:color w:val="auto"/>
        </w:rPr>
      </w:pPr>
      <w:r>
        <w:rPr>
          <w:rFonts w:ascii="Arial" w:cs="Arial" w:eastAsia="Arial" w:hAnsi="Arial"/>
          <w:sz w:val="18"/>
          <w:szCs w:val="18"/>
          <w:color w:val="auto"/>
        </w:rPr>
        <w:t>In February 2025, we paid $198.1 million to settle the 2022 Promissory Note and recognized a $20.5 million loss on the debt extinguishment.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Warehouse Credit Facility</w:t>
      </w:r>
    </w:p>
    <w:p>
      <w:pPr>
        <w:spacing w:after="0" w:line="169"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We incurred incremental upfront commitment fees in connection with extending the maturity date of the Warehouse Credit Facility through February 18, 2028. The upfront commitment fees are capitalized and amortized over the remaining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1417" w:right="459" w:bottom="1440" w:gutter="0" w:footer="0" w:header="0"/>
        </w:sectPr>
      </w:pPr>
    </w:p>
    <w:bookmarkStart w:id="253" w:name="page254"/>
    <w:bookmarkEnd w:id="253"/>
    <w:p>
      <w:pPr>
        <w:ind w:left="340"/>
        <w:spacing w:after="0"/>
        <w:rPr>
          <w:sz w:val="20"/>
          <w:szCs w:val="20"/>
          <w:color w:val="auto"/>
        </w:rPr>
      </w:pPr>
      <w:r>
        <w:rPr>
          <w:rFonts w:ascii="Arial" w:cs="Arial" w:eastAsia="Arial" w:hAnsi="Arial"/>
          <w:sz w:val="18"/>
          <w:szCs w:val="18"/>
          <w:i w:val="1"/>
          <w:iCs w:val="1"/>
          <w:u w:val="single" w:color="auto"/>
          <w:color w:val="auto"/>
        </w:rPr>
        <w:t>ABL Facility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March 2025, we executed an asset-based lending revolving line of credit with Citibank (“ABL Facility”) for a term through March 2028.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ABL Facility has a borrowing limit of $100.0 million. The available borrowings are based on eligible U.S. and UK travel receivables.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Issuance fees incurred in connection with the ABL Facility are capitalized and amortized over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1419" w:right="439" w:bottom="1440"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2273935</wp:posOffset>
            </wp:positionH>
            <wp:positionV relativeFrom="page">
              <wp:posOffset>1014730</wp:posOffset>
            </wp:positionV>
            <wp:extent cx="3000375" cy="10026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000375" cy="1002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13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1"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following table sets forth all costs and expenses to be paid by the Registrant, other than underwriting discounts and commissions, in connection with the sale of Class A common stock being registered hereby. All amounts shown are estimates except for the Securities and Exchange Commission, or the SEC, registration fee, the Financial Industry Regulatory Authority, or FINRA, filing fee and the listing fee: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Paid or to be</w:t>
            </w:r>
          </w:p>
        </w:tc>
      </w:tr>
      <w:tr>
        <w:trPr>
          <w:trHeight w:val="185"/>
        </w:trPr>
        <w:tc>
          <w:tcPr>
            <w:tcW w:w="96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Paid</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Listing fee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 and expenses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 expenses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Section 145 of the Delaware General Corporation Law, or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22"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As permitted by the DGCL, the Registrant’s amended and restated certificate of incorporation to be effective upon the completion of this offering contains provisions that eliminate the personal liability of its directors and officers for monetary damages for any breach of fiduciary duties as a director or officer, except liability for the following:</w:t>
      </w:r>
    </w:p>
    <w:p>
      <w:pPr>
        <w:spacing w:after="0" w:line="117"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Registrant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respect to officers, any action by or in the right of the corporation.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permitted by the DGCL, the Registrant’s restated bylaws to be effective upon the completion of this offering, provide that:</w:t>
      </w:r>
    </w:p>
    <w:p>
      <w:pPr>
        <w:spacing w:after="0" w:line="171" w:lineRule="exact"/>
        <w:rPr>
          <w:sz w:val="20"/>
          <w:szCs w:val="20"/>
          <w:color w:val="auto"/>
        </w:rPr>
      </w:pPr>
    </w:p>
    <w:p>
      <w:pPr>
        <w:ind w:left="660" w:right="100" w:hanging="328"/>
        <w:spacing w:after="0" w:line="28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39"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71"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7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Prior to completion of this offering, the Registrant intends to enter into indemnification agreements with each of its then-current directors and executive officers to provide these directors and executive officers additional contractual assurances regarding the scope of the indemnification set forth in its amended and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its amended and restated certificate of incorporation, restated bylaws and the indemnification agreements entered into or to be entered into between the Registrant and each of its directors and executive officers may be sufficiently broad to permit indemnification of the directors and executive officers for liabilities arising under the Securities Act.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of the Registrant’s directors are also indemnified by their employers with regard to service on the Registrant’s board of directors.</w:t>
      </w:r>
    </w:p>
    <w:p>
      <w:pPr>
        <w:spacing w:after="0" w:line="171" w:lineRule="exact"/>
        <w:rPr>
          <w:sz w:val="20"/>
          <w:szCs w:val="20"/>
          <w:color w:val="auto"/>
        </w:rPr>
      </w:pPr>
    </w:p>
    <w:p>
      <w:pPr>
        <w:ind w:right="320" w:firstLine="324"/>
        <w:spacing w:after="0" w:line="328" w:lineRule="auto"/>
        <w:rPr>
          <w:sz w:val="20"/>
          <w:szCs w:val="20"/>
          <w:color w:val="auto"/>
        </w:rPr>
      </w:pPr>
      <w:r>
        <w:rPr>
          <w:rFonts w:ascii="Arial" w:cs="Arial" w:eastAsia="Arial" w:hAnsi="Arial"/>
          <w:sz w:val="17"/>
          <w:szCs w:val="17"/>
          <w:b w:val="1"/>
          <w:bCs w:val="1"/>
          <w:color w:val="auto"/>
        </w:rPr>
        <w:t>In addition, the underwriting agreement filed as Exhibit 1.1 to this registration statement provides for indemnification by the underwriters of the Registrant and its officers and directors for certain liabilities arising under the Securities Act, or otherwise.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February 1, 2022, the Registrant has issued and sold the following securities:</w:t>
      </w:r>
    </w:p>
    <w:p>
      <w:pPr>
        <w:spacing w:after="0" w:line="171"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April 2025, the Registrant issued SAFEs to accredited investors in an aggregate principal amount of $53.8 million.</w:t>
      </w:r>
    </w:p>
    <w:p>
      <w:pPr>
        <w:spacing w:after="0" w:line="171"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April 2025, the Registrant issued warrants to purchase up to approximately 0.16% of the Registrant’s capital stock on a fully diluted basis, calculated as of the initial public filing of this registration statement, to accredited investors at an exercise price of $0.01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February 2025, the Registrant issued SAFEs to accredited investors in an aggregate principal amount of $101.2 million.</w:t>
      </w:r>
    </w:p>
    <w:p>
      <w:pPr>
        <w:spacing w:after="0" w:line="171"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February 2025, the Registrant issued warrants to purchase up to approximately 0.29% of the Registrant’s capital stock on a fully diluted basis, calculated as of the initial public filing of this registration statement, to accredited investors at an exercise price of $0.01 per share.</w:t>
      </w:r>
    </w:p>
    <w:p>
      <w:pPr>
        <w:spacing w:after="0" w:line="116"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February 2025, the Registrant issued warrants to purchase up to 1,459,768 shares of its Class A common stock to accredited investors at an exercise price of $0.01 per share.</w:t>
      </w:r>
    </w:p>
    <w:p>
      <w:pPr>
        <w:spacing w:after="0" w:line="9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September 2022, the Registrant issued a warrant to purchase up to 1,797,840 shares of its Class A common stock to an accredited investor at an exercise price of $0.01 per share. In November 2022, the Registrant issued 1,797,840 shares of its Class A common stock to the aforementioned accredited investor upon the exercise of the warrant.</w:t>
      </w:r>
    </w:p>
    <w:p>
      <w:pPr>
        <w:spacing w:after="0" w:line="116"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Between July and September 2022, the Registrant sold an aggregate of 8,010,958 shares of its Series G redeemable convertible preferred stock and an aggregate of 4,325,909 shares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1440" w:right="359" w:bottom="1440" w:gutter="0" w:footer="0" w:header="0"/>
        </w:sectPr>
      </w:pPr>
    </w:p>
    <w:bookmarkStart w:id="257" w:name="page258"/>
    <w:bookmarkEnd w:id="257"/>
    <w:p>
      <w:pPr>
        <w:spacing w:after="0" w:line="139" w:lineRule="exact"/>
        <w:rPr>
          <w:sz w:val="20"/>
          <w:szCs w:val="20"/>
          <w:color w:val="auto"/>
        </w:rPr>
      </w:pPr>
    </w:p>
    <w:p>
      <w:pPr>
        <w:ind w:left="660" w:right="560"/>
        <w:spacing w:after="0" w:line="287" w:lineRule="auto"/>
        <w:rPr>
          <w:sz w:val="20"/>
          <w:szCs w:val="20"/>
          <w:color w:val="auto"/>
        </w:rPr>
      </w:pPr>
      <w:r>
        <w:rPr>
          <w:rFonts w:ascii="Arial" w:cs="Arial" w:eastAsia="Arial" w:hAnsi="Arial"/>
          <w:sz w:val="18"/>
          <w:szCs w:val="18"/>
          <w:color w:val="auto"/>
        </w:rPr>
        <w:t>Series G-1 redeemable convertible preferred stock to 14 accredited investors at a purchase price of $12.4829 per share for an aggregate purchase price of approximately $154.0 million.</w:t>
      </w:r>
    </w:p>
    <w:p>
      <w:pPr>
        <w:spacing w:after="0" w:line="99" w:lineRule="exact"/>
        <w:rPr>
          <w:sz w:val="20"/>
          <w:szCs w:val="20"/>
          <w:color w:val="auto"/>
        </w:rPr>
      </w:pPr>
    </w:p>
    <w:p>
      <w:pPr>
        <w:jc w:val="both"/>
        <w:ind w:left="660" w:right="320" w:hanging="328"/>
        <w:spacing w:after="0" w:line="268"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Between February 9, 2022 and April 20, 2022, the Registrant granted restricted stock awards to certain of its service providers to purchase an aggregate 305,578 shares of its Class A common stock under the 2015 Plan with per share purchase prices ranging from $0.2275 to $1.43.</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 granted options to its directors, officers, employees, consultants, and other service providers to purchase an</w:t>
      </w:r>
    </w:p>
    <w:p>
      <w:pPr>
        <w:sectPr>
          <w:pgSz w:w="11900" w:h="16838" w:orient="portrait"/>
          <w:cols w:equalWidth="0" w:num="1">
            <w:col w:w="11240"/>
          </w:cols>
          <w:pgMar w:left="320" w:top="1440" w:right="339" w:bottom="1440" w:gutter="0" w:footer="0" w:header="0"/>
        </w:sectPr>
      </w:pPr>
    </w:p>
    <w:p>
      <w:pPr>
        <w:spacing w:after="0" w:line="32" w:lineRule="exact"/>
        <w:rPr>
          <w:sz w:val="20"/>
          <w:szCs w:val="20"/>
          <w:color w:val="auto"/>
        </w:rPr>
      </w:pPr>
    </w:p>
    <w:p>
      <w:pPr>
        <w:ind w:left="660" w:right="60"/>
        <w:spacing w:after="0" w:line="260" w:lineRule="auto"/>
        <w:rPr>
          <w:sz w:val="20"/>
          <w:szCs w:val="20"/>
          <w:color w:val="auto"/>
        </w:rPr>
      </w:pPr>
      <w:r>
        <w:rPr>
          <w:rFonts w:ascii="Arial" w:cs="Arial" w:eastAsia="Arial" w:hAnsi="Arial"/>
          <w:sz w:val="18"/>
          <w:szCs w:val="18"/>
          <w:color w:val="auto"/>
        </w:rPr>
        <w:t>aggregate of shares of its Class A common stock under the 2015 Plan with per share exercise prices ranging from $ to $ , and the Registrant issued of its Class A common stock upon exercise of stock options under its 2015 Equity Incentive Plan, or 2015 Plan.</w:t>
      </w:r>
    </w:p>
    <w:p>
      <w:pPr>
        <w:sectPr>
          <w:pgSz w:w="11900" w:h="16838" w:orient="portrait"/>
          <w:cols w:equalWidth="0" w:num="1">
            <w:col w:w="11240"/>
          </w:cols>
          <w:pgMar w:left="320" w:top="1440" w:right="339" w:bottom="1440" w:gutter="0" w:footer="0" w:header="0"/>
          <w:type w:val="continuous"/>
        </w:sect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hanging="4"/>
        <w:spacing w:after="0" w:line="287" w:lineRule="auto"/>
        <w:rPr>
          <w:sz w:val="20"/>
          <w:szCs w:val="20"/>
          <w:color w:val="auto"/>
        </w:rPr>
      </w:pPr>
      <w:r>
        <w:rPr>
          <w:rFonts w:ascii="Arial" w:cs="Arial" w:eastAsia="Arial" w:hAnsi="Arial"/>
          <w:sz w:val="18"/>
          <w:szCs w:val="18"/>
          <w:color w:val="auto"/>
        </w:rPr>
        <w:t>The Registrant granted to its employees, consultants, and other service providers an aggregate of settled in shares of Class A common stock under the 2015 Plan.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to be</w:t>
      </w:r>
    </w:p>
    <w:p>
      <w:pPr>
        <w:spacing w:after="0" w:line="387" w:lineRule="exact"/>
        <w:rPr>
          <w:sz w:val="20"/>
          <w:szCs w:val="20"/>
          <w:color w:val="auto"/>
        </w:rPr>
      </w:pPr>
    </w:p>
    <w:p>
      <w:pPr>
        <w:sectPr>
          <w:pgSz w:w="11900" w:h="16838" w:orient="portrait"/>
          <w:cols w:equalWidth="0" w:num="3">
            <w:col w:w="400" w:space="260"/>
            <w:col w:w="7780" w:space="540"/>
            <w:col w:w="2260"/>
          </w:cols>
          <w:pgMar w:left="320" w:top="1440" w:right="339" w:bottom="1440" w:gutter="0" w:footer="0" w:header="0"/>
          <w:type w:val="continuous"/>
        </w:sectPr>
      </w:pPr>
    </w:p>
    <w:p>
      <w:pPr>
        <w:ind w:right="180" w:firstLine="324"/>
        <w:spacing w:after="0" w:line="257"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or Rule 701,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480" w:type="dxa"/>
            <w:vAlign w:val="bottom"/>
            <w:vMerge w:val="restart"/>
          </w:tcPr>
          <w:p>
            <w:pPr>
              <w:ind w:left="4220"/>
              <w:spacing w:after="0"/>
              <w:rPr>
                <w:sz w:val="20"/>
                <w:szCs w:val="20"/>
                <w:color w:val="auto"/>
              </w:rPr>
            </w:pPr>
            <w:r>
              <w:rPr>
                <w:rFonts w:ascii="Arial" w:cs="Arial" w:eastAsia="Arial" w:hAnsi="Arial"/>
                <w:sz w:val="14"/>
                <w:szCs w:val="14"/>
                <w:b w:val="1"/>
                <w:bCs w:val="1"/>
                <w:color w:val="auto"/>
              </w:rPr>
              <w:t>Description of Document</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648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c>
          <w:tcPr>
            <w:tcW w:w="3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Amended and Restated Certificate of Incorporation of Navan, Inc., as amended and currently in effect.</w:t>
            </w:r>
          </w:p>
        </w:tc>
        <w:tc>
          <w:tcPr>
            <w:tcW w:w="0" w:type="dxa"/>
            <w:vAlign w:val="bottom"/>
          </w:tcPr>
          <w:p>
            <w:pPr>
              <w:spacing w:after="0"/>
              <w:rPr>
                <w:sz w:val="1"/>
                <w:szCs w:val="1"/>
                <w:color w:val="auto"/>
              </w:rPr>
            </w:pPr>
          </w:p>
        </w:tc>
      </w:tr>
      <w:tr>
        <w:trPr>
          <w:trHeight w:val="181"/>
        </w:trPr>
        <w:tc>
          <w:tcPr>
            <w:tcW w:w="1000" w:type="dxa"/>
            <w:vAlign w:val="bottom"/>
          </w:tcPr>
          <w:p>
            <w:pPr>
              <w:ind w:left="20"/>
              <w:spacing w:after="0" w:line="181"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5"/>
                <w:szCs w:val="15"/>
                <w:color w:val="auto"/>
              </w:rPr>
            </w:pPr>
          </w:p>
        </w:tc>
        <w:tc>
          <w:tcPr>
            <w:tcW w:w="101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Form of Amended and Restated Certificate of Incorporation of Navan, Inc., to be in effect immediately prior to completion of</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this offering.</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Bylaws of Navan, Inc. as currently in effect.</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Form of Restated Bylaws of Navan, Inc., to be in effect immediately prior to completion of this offering.</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Form of Class A Common Stock certificate of Navan, Inc.</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000" w:type="dxa"/>
            <w:vAlign w:val="bottom"/>
          </w:tcPr>
          <w:p>
            <w:pPr>
              <w:ind w:left="20"/>
              <w:spacing w:after="0" w:line="181"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5"/>
                <w:szCs w:val="15"/>
                <w:color w:val="auto"/>
              </w:rPr>
            </w:pPr>
          </w:p>
        </w:tc>
        <w:tc>
          <w:tcPr>
            <w:tcW w:w="101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Amended and Restated Investors’ Rights Agreement among TripActions, Inc. (n/k/a/ Navan, Inc.) and certain holders of its</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capital stock, dated July 28, 2022.</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Warrant to Purchase Stock between TripActions, Inc. (n/k/a/ Navan, Inc.) and Comerica Bank, dated September 10, 2018.</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Opinion of Cooley LLP.</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Form of Indemnification Agreement between Navan, Inc. and each of its directors and executive officers.</w:t>
            </w: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0160" w:type="dxa"/>
            <w:vAlign w:val="bottom"/>
            <w:gridSpan w:val="2"/>
          </w:tcPr>
          <w:p>
            <w:pPr>
              <w:ind w:left="20"/>
              <w:spacing w:after="0"/>
              <w:rPr>
                <w:sz w:val="20"/>
                <w:szCs w:val="20"/>
                <w:color w:val="auto"/>
              </w:rPr>
            </w:pPr>
            <w:r>
              <w:rPr>
                <w:rFonts w:ascii="Arial" w:cs="Arial" w:eastAsia="Arial" w:hAnsi="Arial"/>
                <w:sz w:val="18"/>
                <w:szCs w:val="18"/>
                <w:color w:val="auto"/>
              </w:rPr>
              <w:t>Navan, Inc. 2015 Equity Incentive Plan, as amended, and related form agreements.</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Navan, Inc. 2025 Equity Incentive Plan and related form agreements.</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Navan, Inc. 2025 Employee Stock Purchase Plan and related form agreements.</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0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Confirmatory Offer Letter between Ariel Cohen and Navan, Inc., dated</w:t>
            </w:r>
          </w:p>
        </w:tc>
        <w:tc>
          <w:tcPr>
            <w:tcW w:w="3680" w:type="dxa"/>
            <w:vAlign w:val="bottom"/>
          </w:tcPr>
          <w:p>
            <w:pPr>
              <w:jc w:val="right"/>
              <w:ind w:right="3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type w:val="continuous"/>
        </w:sectPr>
      </w:pPr>
    </w:p>
    <w:bookmarkStart w:id="258" w:name="page259"/>
    <w:bookmarkEnd w:id="258"/>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6460" w:type="dxa"/>
            <w:vAlign w:val="bottom"/>
          </w:tcPr>
          <w:p>
            <w:pPr>
              <w:ind w:left="280"/>
              <w:spacing w:after="0"/>
              <w:rPr>
                <w:sz w:val="20"/>
                <w:szCs w:val="20"/>
                <w:color w:val="auto"/>
              </w:rPr>
            </w:pPr>
            <w:r>
              <w:rPr>
                <w:rFonts w:ascii="Arial" w:cs="Arial" w:eastAsia="Arial" w:hAnsi="Arial"/>
                <w:sz w:val="18"/>
                <w:szCs w:val="18"/>
                <w:color w:val="auto"/>
              </w:rPr>
              <w:t>Confirmatory Offer Letter between Michael Sindicich and Navan, Inc., dated</w:t>
            </w:r>
          </w:p>
        </w:tc>
        <w:tc>
          <w:tcPr>
            <w:tcW w:w="3700" w:type="dxa"/>
            <w:vAlign w:val="bottom"/>
          </w:tcPr>
          <w:p>
            <w:pPr>
              <w:jc w:val="right"/>
              <w:ind w:right="2710"/>
              <w:spacing w:after="0"/>
              <w:rPr>
                <w:sz w:val="20"/>
                <w:szCs w:val="20"/>
                <w:color w:val="auto"/>
              </w:rPr>
            </w:pPr>
            <w:r>
              <w:rPr>
                <w:rFonts w:ascii="Arial" w:cs="Arial" w:eastAsia="Arial" w:hAnsi="Arial"/>
                <w:sz w:val="18"/>
                <w:szCs w:val="18"/>
                <w:color w:val="auto"/>
              </w:rPr>
              <w:t>.</w:t>
            </w: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6460" w:type="dxa"/>
            <w:vAlign w:val="bottom"/>
          </w:tcPr>
          <w:p>
            <w:pPr>
              <w:ind w:left="280"/>
              <w:spacing w:after="0"/>
              <w:rPr>
                <w:sz w:val="20"/>
                <w:szCs w:val="20"/>
                <w:color w:val="auto"/>
              </w:rPr>
            </w:pPr>
            <w:r>
              <w:rPr>
                <w:rFonts w:ascii="Arial" w:cs="Arial" w:eastAsia="Arial" w:hAnsi="Arial"/>
                <w:sz w:val="18"/>
                <w:szCs w:val="18"/>
                <w:color w:val="auto"/>
              </w:rPr>
              <w:t>Confirmatory Offer Letter between Ilan Twig and Navan, Inc., dated</w:t>
            </w:r>
          </w:p>
        </w:tc>
        <w:tc>
          <w:tcPr>
            <w:tcW w:w="3700" w:type="dxa"/>
            <w:vAlign w:val="bottom"/>
          </w:tcPr>
          <w:p>
            <w:pPr>
              <w:jc w:val="right"/>
              <w:ind w:right="3390"/>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Form of Change of Control and Severance Agreement between Navan, Inc. and each of its named executive officers.</w:t>
            </w:r>
          </w:p>
        </w:tc>
      </w:tr>
      <w:tr>
        <w:trPr>
          <w:trHeight w:val="181"/>
        </w:trPr>
        <w:tc>
          <w:tcPr>
            <w:tcW w:w="800" w:type="dxa"/>
            <w:vAlign w:val="bottom"/>
          </w:tcPr>
          <w:p>
            <w:pPr>
              <w:spacing w:after="0" w:line="181" w:lineRule="exact"/>
              <w:rPr>
                <w:sz w:val="20"/>
                <w:szCs w:val="20"/>
                <w:color w:val="auto"/>
              </w:rPr>
            </w:pPr>
            <w:r>
              <w:rPr>
                <w:rFonts w:ascii="Arial" w:cs="Arial" w:eastAsia="Arial" w:hAnsi="Arial"/>
                <w:sz w:val="18"/>
                <w:szCs w:val="18"/>
                <w:color w:val="auto"/>
              </w:rPr>
              <w:t>10.9*</w:t>
            </w:r>
          </w:p>
        </w:tc>
        <w:tc>
          <w:tcPr>
            <w:tcW w:w="10160" w:type="dxa"/>
            <w:vAlign w:val="bottom"/>
            <w:gridSpan w:val="2"/>
          </w:tcPr>
          <w:p>
            <w:pPr>
              <w:ind w:left="280"/>
              <w:spacing w:after="0" w:line="181" w:lineRule="exact"/>
              <w:rPr>
                <w:sz w:val="20"/>
                <w:szCs w:val="20"/>
                <w:color w:val="auto"/>
              </w:rPr>
            </w:pPr>
            <w:r>
              <w:rPr>
                <w:rFonts w:ascii="Arial" w:cs="Arial" w:eastAsia="Arial" w:hAnsi="Arial"/>
                <w:sz w:val="18"/>
                <w:szCs w:val="18"/>
                <w:color w:val="auto"/>
              </w:rPr>
              <w:t>Triple Net Space Lease (Single Tenant), between 3045 Park Property LLC and TripActions, Inc. (n/k/a/ Navan, Inc.), dated</w:t>
            </w:r>
          </w:p>
        </w:tc>
      </w:tr>
      <w:tr>
        <w:trPr>
          <w:trHeight w:val="238"/>
        </w:trPr>
        <w:tc>
          <w:tcPr>
            <w:tcW w:w="800" w:type="dxa"/>
            <w:vAlign w:val="bottom"/>
          </w:tcPr>
          <w:p>
            <w:pPr>
              <w:spacing w:after="0"/>
              <w:rPr>
                <w:sz w:val="20"/>
                <w:szCs w:val="20"/>
                <w:color w:val="auto"/>
              </w:rPr>
            </w:pPr>
          </w:p>
        </w:tc>
        <w:tc>
          <w:tcPr>
            <w:tcW w:w="6460" w:type="dxa"/>
            <w:vAlign w:val="bottom"/>
          </w:tcPr>
          <w:p>
            <w:pPr>
              <w:ind w:left="280"/>
              <w:spacing w:after="0"/>
              <w:rPr>
                <w:sz w:val="20"/>
                <w:szCs w:val="20"/>
                <w:color w:val="auto"/>
              </w:rPr>
            </w:pPr>
            <w:r>
              <w:rPr>
                <w:rFonts w:ascii="Arial" w:cs="Arial" w:eastAsia="Arial" w:hAnsi="Arial"/>
                <w:sz w:val="18"/>
                <w:szCs w:val="18"/>
                <w:color w:val="auto"/>
              </w:rPr>
              <w:t>June 24, 2022.</w:t>
            </w:r>
          </w:p>
        </w:tc>
        <w:tc>
          <w:tcPr>
            <w:tcW w:w="3700" w:type="dxa"/>
            <w:vAlign w:val="bottom"/>
          </w:tcPr>
          <w:p>
            <w:pPr>
              <w:spacing w:after="0"/>
              <w:rPr>
                <w:sz w:val="20"/>
                <w:szCs w:val="20"/>
                <w:color w:val="auto"/>
              </w:rPr>
            </w:pPr>
          </w:p>
        </w:tc>
      </w:tr>
      <w:tr>
        <w:trPr>
          <w:trHeight w:val="181"/>
        </w:trPr>
        <w:tc>
          <w:tcPr>
            <w:tcW w:w="800" w:type="dxa"/>
            <w:vAlign w:val="bottom"/>
          </w:tcPr>
          <w:p>
            <w:pPr>
              <w:spacing w:after="0" w:line="181" w:lineRule="exact"/>
              <w:rPr>
                <w:sz w:val="20"/>
                <w:szCs w:val="20"/>
                <w:color w:val="auto"/>
              </w:rPr>
            </w:pPr>
            <w:r>
              <w:rPr>
                <w:rFonts w:ascii="Arial" w:cs="Arial" w:eastAsia="Arial" w:hAnsi="Arial"/>
                <w:sz w:val="18"/>
                <w:szCs w:val="18"/>
                <w:color w:val="auto"/>
              </w:rPr>
              <w:t>10.10*</w:t>
            </w:r>
          </w:p>
        </w:tc>
        <w:tc>
          <w:tcPr>
            <w:tcW w:w="10160" w:type="dxa"/>
            <w:vAlign w:val="bottom"/>
            <w:gridSpan w:val="2"/>
          </w:tcPr>
          <w:p>
            <w:pPr>
              <w:ind w:left="280"/>
              <w:spacing w:after="0" w:line="181" w:lineRule="exact"/>
              <w:rPr>
                <w:sz w:val="20"/>
                <w:szCs w:val="20"/>
                <w:color w:val="auto"/>
              </w:rPr>
            </w:pPr>
            <w:r>
              <w:rPr>
                <w:rFonts w:ascii="Arial" w:cs="Arial" w:eastAsia="Arial" w:hAnsi="Arial"/>
                <w:sz w:val="18"/>
                <w:szCs w:val="18"/>
                <w:color w:val="auto"/>
                <w:w w:val="99"/>
              </w:rPr>
              <w:t>Credit Agreement among Navan, Inc., Reed &amp; Mackay Travel Inc., Reed &amp; Mackay Travel Limited, and Citibank, N.A., dated</w:t>
            </w:r>
          </w:p>
        </w:tc>
      </w:tr>
      <w:tr>
        <w:trPr>
          <w:trHeight w:val="238"/>
        </w:trPr>
        <w:tc>
          <w:tcPr>
            <w:tcW w:w="800" w:type="dxa"/>
            <w:vAlign w:val="bottom"/>
          </w:tcPr>
          <w:p>
            <w:pPr>
              <w:spacing w:after="0"/>
              <w:rPr>
                <w:sz w:val="20"/>
                <w:szCs w:val="20"/>
                <w:color w:val="auto"/>
              </w:rPr>
            </w:pPr>
          </w:p>
        </w:tc>
        <w:tc>
          <w:tcPr>
            <w:tcW w:w="6460" w:type="dxa"/>
            <w:vAlign w:val="bottom"/>
          </w:tcPr>
          <w:p>
            <w:pPr>
              <w:ind w:left="280"/>
              <w:spacing w:after="0"/>
              <w:rPr>
                <w:sz w:val="20"/>
                <w:szCs w:val="20"/>
                <w:color w:val="auto"/>
              </w:rPr>
            </w:pPr>
            <w:r>
              <w:rPr>
                <w:rFonts w:ascii="Arial" w:cs="Arial" w:eastAsia="Arial" w:hAnsi="Arial"/>
                <w:sz w:val="18"/>
                <w:szCs w:val="18"/>
                <w:color w:val="auto"/>
              </w:rPr>
              <w:t>March 14, 2025.</w:t>
            </w:r>
          </w:p>
        </w:tc>
        <w:tc>
          <w:tcPr>
            <w:tcW w:w="370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Credit Agreement among Navan, Inc. and VCP Capital Markets, LLC, dated February 24, 2025.</w:t>
            </w:r>
          </w:p>
        </w:tc>
      </w:tr>
      <w:tr>
        <w:trPr>
          <w:trHeight w:val="181"/>
        </w:trPr>
        <w:tc>
          <w:tcPr>
            <w:tcW w:w="800" w:type="dxa"/>
            <w:vAlign w:val="bottom"/>
          </w:tcPr>
          <w:p>
            <w:pPr>
              <w:spacing w:after="0" w:line="181" w:lineRule="exact"/>
              <w:rPr>
                <w:sz w:val="20"/>
                <w:szCs w:val="20"/>
                <w:color w:val="auto"/>
              </w:rPr>
            </w:pPr>
            <w:r>
              <w:rPr>
                <w:rFonts w:ascii="Arial" w:cs="Arial" w:eastAsia="Arial" w:hAnsi="Arial"/>
                <w:sz w:val="18"/>
                <w:szCs w:val="18"/>
                <w:color w:val="auto"/>
              </w:rPr>
              <w:t>10.12*</w:t>
            </w:r>
          </w:p>
        </w:tc>
        <w:tc>
          <w:tcPr>
            <w:tcW w:w="10160" w:type="dxa"/>
            <w:vAlign w:val="bottom"/>
            <w:gridSpan w:val="2"/>
          </w:tcPr>
          <w:p>
            <w:pPr>
              <w:ind w:left="280"/>
              <w:spacing w:after="0" w:line="181" w:lineRule="exact"/>
              <w:rPr>
                <w:sz w:val="20"/>
                <w:szCs w:val="20"/>
                <w:color w:val="auto"/>
              </w:rPr>
            </w:pPr>
            <w:r>
              <w:rPr>
                <w:rFonts w:ascii="Arial" w:cs="Arial" w:eastAsia="Arial" w:hAnsi="Arial"/>
                <w:sz w:val="18"/>
                <w:szCs w:val="18"/>
                <w:color w:val="auto"/>
              </w:rPr>
              <w:t>Revolving Credit and Security Agreement among Liquid Labs SPV, LLC, a wholly owned subsidiary of Navan, Inc., and</w:t>
            </w:r>
          </w:p>
        </w:tc>
      </w:tr>
      <w:tr>
        <w:trPr>
          <w:trHeight w:val="238"/>
        </w:trPr>
        <w:tc>
          <w:tcPr>
            <w:tcW w:w="800" w:type="dxa"/>
            <w:vAlign w:val="bottom"/>
          </w:tcPr>
          <w:p>
            <w:pPr>
              <w:spacing w:after="0"/>
              <w:rPr>
                <w:sz w:val="20"/>
                <w:szCs w:val="20"/>
                <w:color w:val="auto"/>
              </w:rPr>
            </w:pPr>
          </w:p>
        </w:tc>
        <w:tc>
          <w:tcPr>
            <w:tcW w:w="6460" w:type="dxa"/>
            <w:vAlign w:val="bottom"/>
          </w:tcPr>
          <w:p>
            <w:pPr>
              <w:ind w:left="280"/>
              <w:spacing w:after="0"/>
              <w:rPr>
                <w:sz w:val="20"/>
                <w:szCs w:val="20"/>
                <w:color w:val="auto"/>
              </w:rPr>
            </w:pPr>
            <w:r>
              <w:rPr>
                <w:rFonts w:ascii="Arial" w:cs="Arial" w:eastAsia="Arial" w:hAnsi="Arial"/>
                <w:sz w:val="18"/>
                <w:szCs w:val="18"/>
                <w:color w:val="auto"/>
              </w:rPr>
              <w:t>Goldman Sachs Bank USA, dated November 18, 2022.</w:t>
            </w:r>
          </w:p>
        </w:tc>
        <w:tc>
          <w:tcPr>
            <w:tcW w:w="3700" w:type="dxa"/>
            <w:vAlign w:val="bottom"/>
          </w:tcPr>
          <w:p>
            <w:pPr>
              <w:spacing w:after="0"/>
              <w:rPr>
                <w:sz w:val="20"/>
                <w:szCs w:val="20"/>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6460" w:type="dxa"/>
            <w:vAlign w:val="bottom"/>
          </w:tcPr>
          <w:p>
            <w:pPr>
              <w:ind w:left="280"/>
              <w:spacing w:after="0"/>
              <w:rPr>
                <w:sz w:val="20"/>
                <w:szCs w:val="20"/>
                <w:color w:val="auto"/>
              </w:rPr>
            </w:pPr>
            <w:r>
              <w:rPr>
                <w:rFonts w:ascii="Arial" w:cs="Arial" w:eastAsia="Arial" w:hAnsi="Arial"/>
                <w:sz w:val="18"/>
                <w:szCs w:val="18"/>
                <w:color w:val="auto"/>
              </w:rPr>
              <w:t>Exchange Agreement between Navan, Inc., Ariel Cohen, and Ilan Twig.</w:t>
            </w:r>
          </w:p>
        </w:tc>
        <w:tc>
          <w:tcPr>
            <w:tcW w:w="3700" w:type="dxa"/>
            <w:vAlign w:val="bottom"/>
          </w:tcPr>
          <w:p>
            <w:pPr>
              <w:spacing w:after="0"/>
              <w:rPr>
                <w:sz w:val="19"/>
                <w:szCs w:val="19"/>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Form of Equity Exchange Right Agreement between Navan, Inc. and each of Ariel Cohen and Ilan Twig.</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16.1*</w:t>
            </w:r>
          </w:p>
        </w:tc>
        <w:tc>
          <w:tcPr>
            <w:tcW w:w="6460" w:type="dxa"/>
            <w:vAlign w:val="bottom"/>
          </w:tcPr>
          <w:p>
            <w:pPr>
              <w:ind w:left="280"/>
              <w:spacing w:after="0"/>
              <w:rPr>
                <w:sz w:val="20"/>
                <w:szCs w:val="20"/>
                <w:color w:val="auto"/>
              </w:rPr>
            </w:pPr>
            <w:r>
              <w:rPr>
                <w:rFonts w:ascii="Arial" w:cs="Arial" w:eastAsia="Arial" w:hAnsi="Arial"/>
                <w:sz w:val="18"/>
                <w:szCs w:val="18"/>
                <w:color w:val="auto"/>
              </w:rPr>
              <w:t>Letter Regarding Change in Certifying Accountant.</w:t>
            </w:r>
          </w:p>
        </w:tc>
        <w:tc>
          <w:tcPr>
            <w:tcW w:w="3700" w:type="dxa"/>
            <w:vAlign w:val="bottom"/>
          </w:tcPr>
          <w:p>
            <w:pPr>
              <w:spacing w:after="0"/>
              <w:rPr>
                <w:sz w:val="19"/>
                <w:szCs w:val="19"/>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6460" w:type="dxa"/>
            <w:vAlign w:val="bottom"/>
          </w:tcPr>
          <w:p>
            <w:pPr>
              <w:ind w:left="280"/>
              <w:spacing w:after="0"/>
              <w:rPr>
                <w:sz w:val="20"/>
                <w:szCs w:val="20"/>
                <w:color w:val="auto"/>
              </w:rPr>
            </w:pPr>
            <w:r>
              <w:rPr>
                <w:rFonts w:ascii="Arial" w:cs="Arial" w:eastAsia="Arial" w:hAnsi="Arial"/>
                <w:sz w:val="18"/>
                <w:szCs w:val="18"/>
                <w:color w:val="auto"/>
              </w:rPr>
              <w:t>List of Subsidiaries of Navan, Inc.</w:t>
            </w:r>
          </w:p>
        </w:tc>
        <w:tc>
          <w:tcPr>
            <w:tcW w:w="370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6460" w:type="dxa"/>
            <w:vAlign w:val="bottom"/>
          </w:tcPr>
          <w:p>
            <w:pPr>
              <w:ind w:left="280"/>
              <w:spacing w:after="0"/>
              <w:rPr>
                <w:sz w:val="20"/>
                <w:szCs w:val="20"/>
                <w:color w:val="auto"/>
              </w:rPr>
            </w:pPr>
            <w:r>
              <w:rPr>
                <w:rFonts w:ascii="Arial" w:cs="Arial" w:eastAsia="Arial" w:hAnsi="Arial"/>
                <w:sz w:val="18"/>
                <w:szCs w:val="18"/>
                <w:color w:val="auto"/>
              </w:rPr>
              <w:t>Consent of Cooley LLP (included in Exhibit 5.1).</w:t>
            </w:r>
          </w:p>
        </w:tc>
        <w:tc>
          <w:tcPr>
            <w:tcW w:w="3700" w:type="dxa"/>
            <w:vAlign w:val="bottom"/>
          </w:tcPr>
          <w:p>
            <w:pPr>
              <w:spacing w:after="0"/>
              <w:rPr>
                <w:sz w:val="19"/>
                <w:szCs w:val="19"/>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23.3</w:t>
            </w:r>
          </w:p>
        </w:tc>
        <w:tc>
          <w:tcPr>
            <w:tcW w:w="6460" w:type="dxa"/>
            <w:vAlign w:val="bottom"/>
          </w:tcPr>
          <w:p>
            <w:pPr>
              <w:ind w:left="280"/>
              <w:spacing w:after="0"/>
              <w:rPr>
                <w:sz w:val="20"/>
                <w:szCs w:val="20"/>
                <w:color w:val="auto"/>
              </w:rPr>
            </w:pPr>
            <w:r>
              <w:rPr>
                <w:rFonts w:ascii="Arial" w:cs="Arial" w:eastAsia="Arial" w:hAnsi="Arial"/>
                <w:sz w:val="18"/>
                <w:szCs w:val="18"/>
                <w:color w:val="auto"/>
              </w:rPr>
              <w:t>Consent of Euromonitor International Limited.</w:t>
            </w:r>
          </w:p>
        </w:tc>
        <w:tc>
          <w:tcPr>
            <w:tcW w:w="370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10160" w:type="dxa"/>
            <w:vAlign w:val="bottom"/>
            <w:gridSpan w:val="2"/>
          </w:tcPr>
          <w:p>
            <w:pPr>
              <w:ind w:left="280"/>
              <w:spacing w:after="0"/>
              <w:rPr>
                <w:sz w:val="20"/>
                <w:szCs w:val="20"/>
                <w:color w:val="auto"/>
              </w:rPr>
            </w:pPr>
            <w:r>
              <w:rPr>
                <w:rFonts w:ascii="Arial" w:cs="Arial" w:eastAsia="Arial" w:hAnsi="Arial"/>
                <w:sz w:val="18"/>
                <w:szCs w:val="18"/>
                <w:color w:val="auto"/>
              </w:rPr>
              <w:t>Power of Attorney (included in the signature page to this Registration Statement on Form S-1).</w:t>
            </w:r>
          </w:p>
        </w:tc>
      </w:t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6460" w:type="dxa"/>
            <w:vAlign w:val="bottom"/>
          </w:tcPr>
          <w:p>
            <w:pPr>
              <w:ind w:left="280"/>
              <w:spacing w:after="0"/>
              <w:rPr>
                <w:sz w:val="20"/>
                <w:szCs w:val="20"/>
                <w:color w:val="auto"/>
              </w:rPr>
            </w:pPr>
            <w:r>
              <w:rPr>
                <w:rFonts w:ascii="Arial" w:cs="Arial" w:eastAsia="Arial" w:hAnsi="Arial"/>
                <w:sz w:val="18"/>
                <w:szCs w:val="18"/>
                <w:color w:val="auto"/>
              </w:rPr>
              <w:t>Filing Fee Table.</w:t>
            </w:r>
          </w:p>
        </w:tc>
        <w:tc>
          <w:tcPr>
            <w:tcW w:w="370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right="8120" w:firstLine="8"/>
        <w:spacing w:after="0" w:line="265" w:lineRule="auto"/>
        <w:tabs>
          <w:tab w:leader="none" w:pos="2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be submitted or filed by amendment. + Compensatory plan or arrangement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1" w:lineRule="exact"/>
        <w:rPr>
          <w:sz w:val="20"/>
          <w:szCs w:val="20"/>
          <w:color w:val="auto"/>
        </w:rPr>
      </w:pPr>
    </w:p>
    <w:p>
      <w:pPr>
        <w:ind w:firstLine="324"/>
        <w:spacing w:after="0" w:line="31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320" w:top="1440" w:right="379" w:bottom="1440" w:gutter="0" w:footer="0" w:header="0"/>
        </w:sectPr>
      </w:pPr>
    </w:p>
    <w:bookmarkStart w:id="259" w:name="page260"/>
    <w:bookmarkEnd w:id="259"/>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328" w:hanging="328"/>
        <w:spacing w:after="0" w:line="262" w:lineRule="auto"/>
        <w:tabs>
          <w:tab w:leader="none" w:pos="3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2" w:lineRule="exact"/>
        <w:rPr>
          <w:rFonts w:ascii="Arial" w:cs="Arial" w:eastAsia="Arial" w:hAnsi="Arial"/>
          <w:sz w:val="18"/>
          <w:szCs w:val="18"/>
          <w:color w:val="auto"/>
        </w:rPr>
      </w:pPr>
    </w:p>
    <w:p>
      <w:pPr>
        <w:ind w:left="328" w:right="340" w:hanging="328"/>
        <w:spacing w:after="0" w:line="268" w:lineRule="auto"/>
        <w:tabs>
          <w:tab w:leader="none" w:pos="3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2"/>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808"/>
          </w:cols>
          <w:pgMar w:left="652" w:top="1440" w:right="439" w:bottom="1440" w:gutter="0" w:footer="0" w:header="0"/>
        </w:sectPr>
      </w:pPr>
    </w:p>
    <w:bookmarkStart w:id="260" w:name="page261"/>
    <w:bookmarkEnd w:id="260"/>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960" w:type="dxa"/>
            <w:vAlign w:val="bottom"/>
          </w:tcPr>
          <w:p>
            <w:pPr>
              <w:spacing w:after="0"/>
              <w:rPr>
                <w:sz w:val="20"/>
                <w:szCs w:val="20"/>
                <w:color w:val="auto"/>
              </w:rPr>
            </w:pPr>
            <w:r>
              <w:rPr>
                <w:rFonts w:ascii="Arial" w:cs="Arial" w:eastAsia="Arial" w:hAnsi="Arial"/>
                <w:sz w:val="18"/>
                <w:szCs w:val="18"/>
                <w:color w:val="auto"/>
              </w:rPr>
              <w:t>Form S-1 to be signed on its behalf by the undersigned, thereunto duly authorized, in Palo Alto, California, on the day of</w:t>
            </w:r>
          </w:p>
        </w:tc>
        <w:tc>
          <w:tcPr>
            <w:tcW w:w="980" w:type="dxa"/>
            <w:vAlign w:val="bottom"/>
          </w:tcPr>
          <w:p>
            <w:pPr>
              <w:jc w:val="right"/>
              <w:spacing w:after="0"/>
              <w:rPr>
                <w:sz w:val="20"/>
                <w:szCs w:val="20"/>
                <w:color w:val="auto"/>
              </w:rPr>
            </w:pPr>
            <w:r>
              <w:rPr>
                <w:rFonts w:ascii="Arial" w:cs="Arial" w:eastAsia="Arial" w:hAnsi="Arial"/>
                <w:sz w:val="18"/>
                <w:szCs w:val="18"/>
                <w:color w:val="auto"/>
              </w:rPr>
              <w:t>, 2025.</w:t>
            </w:r>
          </w:p>
        </w:tc>
      </w:tr>
    </w:tbl>
    <w:p>
      <w:pPr>
        <w:spacing w:after="0" w:line="16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NAVAN, INC.</w:t>
      </w:r>
    </w:p>
    <w:p>
      <w:pPr>
        <w:spacing w:after="0" w:line="29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17780</wp:posOffset>
            </wp:positionV>
            <wp:extent cx="30518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Ariel Cohen</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Chairperson of the Board of Directors and Chief Executive</w:t>
      </w:r>
    </w:p>
    <w:p>
      <w:pPr>
        <w:ind w:left="6460"/>
        <w:spacing w:after="0"/>
        <w:rPr>
          <w:sz w:val="20"/>
          <w:szCs w:val="20"/>
          <w:color w:val="auto"/>
        </w:rPr>
      </w:pPr>
      <w:r>
        <w:rPr>
          <w:rFonts w:ascii="Arial" w:cs="Arial" w:eastAsia="Arial" w:hAnsi="Arial"/>
          <w:sz w:val="18"/>
          <w:szCs w:val="18"/>
          <w:color w:val="auto"/>
        </w:rPr>
        <w:t>Officer</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 Ariel</w:t>
      </w:r>
      <w:r>
        <w:rPr>
          <w:rFonts w:ascii="Arial" w:cs="Arial" w:eastAsia="Arial" w:hAnsi="Arial"/>
          <w:sz w:val="18"/>
          <w:szCs w:val="18"/>
          <w:i w:val="1"/>
          <w:iCs w:val="1"/>
          <w:color w:val="auto"/>
        </w:rPr>
        <w:t xml:space="preserve"> </w:t>
      </w:r>
      <w:r>
        <w:rPr>
          <w:rFonts w:ascii="Arial" w:cs="Arial" w:eastAsia="Arial" w:hAnsi="Arial"/>
          <w:sz w:val="18"/>
          <w:szCs w:val="18"/>
          <w:color w:val="auto"/>
        </w:rPr>
        <w:t>Cohen, Amy Butte, and Howard Baik, and each of them, as his or her true and lawful attorneys-in-fact, proxies, and agents, each with full power of substitution and resubstitution, for him or her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320" w:top="1440" w:right="359" w:bottom="1440" w:gutter="0" w:footer="0" w:header="0"/>
        </w:sectPr>
      </w:pPr>
    </w:p>
    <w:bookmarkStart w:id="261" w:name="page262"/>
    <w:bookmarkEnd w:id="261"/>
    <w:p>
      <w:pPr>
        <w:spacing w:after="0" w:line="1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ectPr>
          <w:pgSz w:w="11900" w:h="16838" w:orient="portrait"/>
          <w:cols w:equalWidth="0" w:num="1">
            <w:col w:w="11160"/>
          </w:cols>
          <w:pgMar w:left="320" w:top="1440" w:right="419" w:bottom="1440" w:gutter="0" w:footer="0" w:header="0"/>
        </w:sectPr>
      </w:pP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8599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18599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8599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Amy Butte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Anne Giviskos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Ben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Arif Janmohamed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8599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Michael Kourey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Clara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599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1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Sandesh Patnam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8599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Ilan Twig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8599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6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Oren Zeev</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571"/>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38576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60"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Chairperson of the Board of Directors and Chief Executive Officer</w:t>
      </w:r>
    </w:p>
    <w:p>
      <w:pPr>
        <w:jc w:val="center"/>
        <w:ind w:right="57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Chief Financial Officer</w:t>
      </w:r>
    </w:p>
    <w:p>
      <w:pPr>
        <w:jc w:val="center"/>
        <w:ind w:right="57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26"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Chief Accounting Officer</w:t>
      </w:r>
    </w:p>
    <w:p>
      <w:pPr>
        <w:jc w:val="center"/>
        <w:ind w:right="57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234"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Chief Technology Officer and Director</w:t>
      </w:r>
    </w:p>
    <w:p>
      <w:pPr>
        <w:spacing w:after="0" w:line="387" w:lineRule="exact"/>
        <w:rPr>
          <w:sz w:val="20"/>
          <w:szCs w:val="20"/>
          <w:color w:val="auto"/>
        </w:rPr>
      </w:pPr>
    </w:p>
    <w:p>
      <w:pPr>
        <w:jc w:val="center"/>
        <w:ind w:right="571"/>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89"/>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23495</wp:posOffset>
            </wp:positionV>
            <wp:extent cx="12941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68" w:lineRule="exact"/>
        <w:rPr>
          <w:sz w:val="20"/>
          <w:szCs w:val="20"/>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44"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44"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44"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71"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58"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44"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71"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98" w:lineRule="exact"/>
        <w:rPr>
          <w:rFonts w:ascii="Arial" w:cs="Arial" w:eastAsia="Arial" w:hAnsi="Arial"/>
          <w:sz w:val="17"/>
          <w:szCs w:val="17"/>
          <w:color w:val="auto"/>
        </w:rPr>
      </w:pPr>
    </w:p>
    <w:p>
      <w:pPr>
        <w:ind w:left="109" w:hanging="109"/>
        <w:spacing w:after="0"/>
        <w:tabs>
          <w:tab w:leader="none" w:pos="1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2025</w:t>
      </w:r>
    </w:p>
    <w:p>
      <w:pPr>
        <w:spacing w:after="0" w:line="346" w:lineRule="exact"/>
        <w:rPr>
          <w:sz w:val="20"/>
          <w:szCs w:val="20"/>
          <w:color w:val="auto"/>
        </w:rPr>
      </w:pPr>
    </w:p>
    <w:p>
      <w:pPr>
        <w:sectPr>
          <w:pgSz w:w="11900" w:h="16838" w:orient="portrait"/>
          <w:cols w:equalWidth="0" w:num="3">
            <w:col w:w="2740" w:space="720"/>
            <w:col w:w="5791" w:space="720"/>
            <w:col w:w="1189"/>
          </w:cols>
          <w:pgMar w:left="32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1160"/>
          </w:cols>
          <w:pgMar w:left="320" w:top="1440" w:right="419" w:bottom="1440" w:gutter="0" w:footer="0" w:header="0"/>
          <w:type w:val="continuous"/>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756920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NAVAN, INC.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BYLAWS</w:t>
      </w:r>
    </w:p>
    <w:p>
      <w:pPr>
        <w:spacing w:after="0" w:line="2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As Adopted February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NAVAN,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BYLAWS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Adopted February 12, 2015</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STOCKHOLDERS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1.1: Annual Meetings</w:t>
      </w:r>
      <w:r>
        <w:rPr>
          <w:rFonts w:ascii="Times New Roman" w:cs="Times New Roman" w:eastAsia="Times New Roman" w:hAnsi="Times New Roman"/>
          <w:sz w:val="20"/>
          <w:szCs w:val="20"/>
          <w:color w:val="auto"/>
        </w:rPr>
        <w:t>. Unless members of the Board of Directors of the Corporation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are elected by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 in lieu of an annual meeting, as permitted by Section 211 of the Delaware General Corporation Law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and these Bylaws, an annual meeting of stockholders shall be held for the election of directors at such date and time as the Board shall each year fix. The meeting may be held either at a place, within or without the State of Delaware, or by means of remote communication as the Board in its sole discretion may determine. Any proper business may be transacted at the annual meeting.</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Section 1.2: Special Meetings</w:t>
      </w:r>
      <w:r>
        <w:rPr>
          <w:rFonts w:ascii="Times New Roman" w:cs="Times New Roman" w:eastAsia="Times New Roman" w:hAnsi="Times New Roman"/>
          <w:sz w:val="20"/>
          <w:szCs w:val="20"/>
          <w:color w:val="auto"/>
        </w:rPr>
        <w:t>. Special meetings of stockholders for any purpose or purposes may be called at any time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Chairperson of the Board, the Chief Executive Officer, the President, the holders of shares of the Corporation that are entitled to cast not less than ten percent (10%) of the total number of votes entitled to be cast by all stockholders at such meeting, or by a majority of the “</w:t>
      </w:r>
      <w:r>
        <w:rPr>
          <w:rFonts w:ascii="Times New Roman" w:cs="Times New Roman" w:eastAsia="Times New Roman" w:hAnsi="Times New Roman"/>
          <w:sz w:val="20"/>
          <w:szCs w:val="20"/>
          <w:b w:val="1"/>
          <w:bCs w:val="1"/>
          <w:i w:val="1"/>
          <w:iCs w:val="1"/>
          <w:color w:val="auto"/>
        </w:rPr>
        <w:t>Whole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which shall mean the total number of authorized directors, whether or not there exist any vacancies in previously authorized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directorships. Special meetings may not be called by any other person or persons. If a special meeting of stockholders is called by any person or persons </w:t>
      </w:r>
      <w:r>
        <w:rPr>
          <w:rFonts w:ascii="Times New Roman" w:cs="Times New Roman" w:eastAsia="Times New Roman" w:hAnsi="Times New Roman"/>
          <w:sz w:val="20"/>
          <w:szCs w:val="20"/>
          <w:u w:val="single" w:color="auto"/>
          <w:color w:val="auto"/>
        </w:rPr>
        <w:t>other than</w:t>
      </w:r>
      <w:r>
        <w:rPr>
          <w:rFonts w:ascii="Times New Roman" w:cs="Times New Roman" w:eastAsia="Times New Roman" w:hAnsi="Times New Roman"/>
          <w:sz w:val="20"/>
          <w:szCs w:val="20"/>
          <w:color w:val="auto"/>
        </w:rPr>
        <w:t xml:space="preserve"> by a majority of the members of the Board, then such person or persons shall request such meeting by delivering a written request to call such meeting to each member of the Board, and the Board shall then determine the time and date of such special meeting, which shall be held not more than one hundred twenty (120) days nor less than thirty-five (35) days after the written request to call such special meeting was delivered to each member of the Board. The special meeting may be held either at a place, within or without the State of Delaware, or by means of remote communication as the Board in its sole discretion may determine.</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b w:val="1"/>
          <w:bCs w:val="1"/>
          <w:u w:val="single" w:color="auto"/>
          <w:color w:val="auto"/>
        </w:rPr>
        <w:t>Section 1.3: Notice of Meetings</w:t>
      </w:r>
      <w:r>
        <w:rPr>
          <w:rFonts w:ascii="Times New Roman" w:cs="Times New Roman" w:eastAsia="Times New Roman" w:hAnsi="Times New Roman"/>
          <w:sz w:val="19"/>
          <w:szCs w:val="19"/>
          <w:color w:val="auto"/>
        </w:rPr>
        <w:t>. Notice of all meetings of stockholders shall be given in writing or by electronic transmission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manner provided by law (including, without limitation, as set forth in Section 7.1.1 of these Bylaws) stating the date, time and place, if any, of the meeting and, in the case of a special meeting, the purpose or purposes for which the meeting is called. Unless otherwise required by applicable law or the Certificate of Incorporation of the Corporation (the “</w:t>
      </w:r>
      <w:r>
        <w:rPr>
          <w:rFonts w:ascii="Times New Roman" w:cs="Times New Roman" w:eastAsia="Times New Roman" w:hAnsi="Times New Roman"/>
          <w:sz w:val="19"/>
          <w:szCs w:val="19"/>
          <w:b w:val="1"/>
          <w:bCs w:val="1"/>
          <w:i w:val="1"/>
          <w:iCs w:val="1"/>
          <w:color w:val="auto"/>
        </w:rPr>
        <w:t>Certificate of Incorporation</w:t>
      </w:r>
      <w:r>
        <w:rPr>
          <w:rFonts w:ascii="Times New Roman" w:cs="Times New Roman" w:eastAsia="Times New Roman" w:hAnsi="Times New Roman"/>
          <w:sz w:val="19"/>
          <w:szCs w:val="19"/>
          <w:color w:val="auto"/>
        </w:rPr>
        <w:t>”), such notice shall be given not less than ten (10), nor more than sixty (60), days before the date of the meeting to each stockholder of record entitled to vote at such meeting.</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Section 1.4: Adjournments</w:t>
      </w:r>
      <w:r>
        <w:rPr>
          <w:rFonts w:ascii="Times New Roman" w:cs="Times New Roman" w:eastAsia="Times New Roman" w:hAnsi="Times New Roman"/>
          <w:sz w:val="20"/>
          <w:szCs w:val="20"/>
          <w:color w:val="auto"/>
        </w:rPr>
        <w:t>. The chairperson of the meeting shall have the power to adjourn the meeting to another time, date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place (if any). Any meeting of stockholders may adjourn from time to time, and notice need not be given of any such adjourned meeting if the time, date and place (if any) thereof and the means of remote communications (if any) by which stockholders and proxy holders may be deemed to be present in person and vote at such adjourned meeting are announced at the meeting at which the adjournment is taken;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if the adjournment is for more than thirty (30) days, or if a new record date is fixed for the adjourned meeting, then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or reschedule any previously scheduled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264" w:name="page265"/>
    <w:bookmarkEnd w:id="264"/>
    <w:p>
      <w:pPr>
        <w:jc w:val="both"/>
        <w:spacing w:after="0" w:line="283" w:lineRule="auto"/>
        <w:rPr>
          <w:sz w:val="20"/>
          <w:szCs w:val="20"/>
          <w:color w:val="auto"/>
        </w:rPr>
      </w:pPr>
      <w:r>
        <w:rPr>
          <w:rFonts w:ascii="Times New Roman" w:cs="Times New Roman" w:eastAsia="Times New Roman" w:hAnsi="Times New Roman"/>
          <w:sz w:val="20"/>
          <w:szCs w:val="20"/>
          <w:color w:val="auto"/>
        </w:rPr>
        <w:t>or annual meeting of stockholders before it is to be held, in which case notice shall be provided to the stockholders of the new date, time and place, if any, of the meeting as provided in Section 1.3 above.</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Section 1.5: Quorum</w:t>
      </w:r>
      <w:r>
        <w:rPr>
          <w:rFonts w:ascii="Times New Roman" w:cs="Times New Roman" w:eastAsia="Times New Roman" w:hAnsi="Times New Roman"/>
          <w:sz w:val="20"/>
          <w:szCs w:val="20"/>
          <w:color w:val="auto"/>
        </w:rPr>
        <w:t>. At each meeting of stockholders the holders of a majority of the voting power of the shares of stock entitled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vote at the meeting, present in person or represented by proxy, shall constitute a quorum for the transaction of business, unless otherwise required by applicable law. If a quorum shall fail to attend any meeting, the chairperson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foregoing shall not limit the right of the Corporation or any other corporation to vote any shares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Corporation’s stock held by it in a fiduciary capacity and to count such shares for purposes of determining a quorum.</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1.6: Organization</w:t>
      </w:r>
      <w:r>
        <w:rPr>
          <w:rFonts w:ascii="Times New Roman" w:cs="Times New Roman" w:eastAsia="Times New Roman" w:hAnsi="Times New Roman"/>
          <w:sz w:val="20"/>
          <w:szCs w:val="20"/>
          <w:color w:val="auto"/>
        </w:rPr>
        <w:t>. Meetings of stockholders shall be presided over by such person as the Board may designate, or,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absence of such a person, the Chairperson of the Board, or, in the absence of such person, the President of the Corporation, or, in the absence of such person, such person as may be chosen by the holders of a majority of the voting power of the shares entitled to vote who are present, in person or by proxy, at the meeting. Such person shall be chairperson of the meeting and, subject to Section 1.11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b w:val="1"/>
          <w:bCs w:val="1"/>
          <w:u w:val="single" w:color="auto"/>
          <w:color w:val="auto"/>
        </w:rPr>
        <w:t>Section 1.7: Voting; Proxies</w:t>
      </w:r>
      <w:r>
        <w:rPr>
          <w:rFonts w:ascii="Times New Roman" w:cs="Times New Roman" w:eastAsia="Times New Roman" w:hAnsi="Times New Roman"/>
          <w:sz w:val="19"/>
          <w:szCs w:val="19"/>
          <w:color w:val="auto"/>
        </w:rPr>
        <w:t>. Each stockholder entitled to vote at a meeting of stockholders, or to take corporate action by written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consent without a meeting, 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of the shares present in person or represented by proxy at the meeting and entitled to vote on the election of directors. Unless otherwise provided by applicable law, the Certificate of Incorporation or these Bylaws,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w:t>
      </w:r>
    </w:p>
    <w:p>
      <w:pPr>
        <w:spacing w:after="0" w:line="15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b w:val="1"/>
          <w:bCs w:val="1"/>
          <w:u w:val="single" w:color="auto"/>
          <w:color w:val="auto"/>
        </w:rPr>
        <w:t>Section 1.8:</w:t>
      </w:r>
      <w:r>
        <w:rPr>
          <w:sz w:val="20"/>
          <w:szCs w:val="20"/>
          <w:color w:val="auto"/>
        </w:rPr>
        <w:tab/>
      </w:r>
      <w:r>
        <w:rPr>
          <w:rFonts w:ascii="Times New Roman" w:cs="Times New Roman" w:eastAsia="Times New Roman" w:hAnsi="Times New Roman"/>
          <w:sz w:val="19"/>
          <w:szCs w:val="19"/>
          <w:b w:val="1"/>
          <w:bCs w:val="1"/>
          <w:u w:val="single" w:color="auto"/>
          <w:color w:val="auto"/>
        </w:rPr>
        <w:t>Fixing Date for Determination of Stockholders of Record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1.8.1 </w:t>
      </w: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In order that the Corporation may determine the stockholders entitled to notice of or to vote at any meeting of stockholders or to take corporate action by written consent without a meeting, or entitled to receive payment of any dividend or other distribution or allotment of any rights, or entitled to exercise any rights in respect of any change, conversion or exchange of stock or for the purpose of any other lawful action, the Board may fix, except as otherwise required by law, in advance, a record date, which shall not precede the date upon which the resolution fixing the record date is adopted by the Board and which shall not be more than sixty (60), nor less than ten (10), days before the date of such meeting, nor, except as provided in Section 1.8.2 below, more than sixty (60) days prior to any other action. If no record date is fixed by the Board, then the record date shall be as provided by applicable law. To the fullest extent provided by law, a determination of stockholders of record entitled to notice of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265" w:name="page266"/>
    <w:bookmarkEnd w:id="265"/>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vote at a meeting of stockholders shall apply to any adjournment of the meeting;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Board may fix a new record date for the adjourned meeting.</w:t>
      </w:r>
    </w:p>
    <w:p>
      <w:pPr>
        <w:spacing w:after="0" w:line="14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1.8.2 </w:t>
      </w:r>
      <w:r>
        <w:rPr>
          <w:rFonts w:ascii="Times New Roman" w:cs="Times New Roman" w:eastAsia="Times New Roman" w:hAnsi="Times New Roman"/>
          <w:sz w:val="20"/>
          <w:szCs w:val="20"/>
          <w:u w:val="single" w:color="auto"/>
          <w:color w:val="auto"/>
        </w:rPr>
        <w:t>Stockholder Request for Action by Written Consent</w:t>
      </w:r>
      <w:r>
        <w:rPr>
          <w:rFonts w:ascii="Times New Roman" w:cs="Times New Roman" w:eastAsia="Times New Roman" w:hAnsi="Times New Roman"/>
          <w:sz w:val="20"/>
          <w:szCs w:val="20"/>
          <w:color w:val="auto"/>
        </w:rPr>
        <w:t>. Any stockholder of record seeking to have the stockholders authorize or take corporate action by written consent without a meeting shall, by written notice to the Secretary of the Corporation, request the Board to fix a record date for such consent. Such request shall include a brief description of the action proposed to be taken. Unless a record date has previously been fixed by the Board for the written consent pursuant to this Section 1.8, the Board shall, within ten (10) days after the date on which such a request is received, adopt a resolution fixing the record date. Such record date shall not precede the date upon which the resolution fixing the record date is adopted by the Board. If no record date has been fixed by the Board within ten (10) days after the date on which such a request is received, then the record date for determining stockholders entitled to consent to corporate action in writing without a meeting, when no prior action by the Board is required by applicable law, shall be the first date on which a signed written consent setting forth the action taken or proposed to be taken is delivered to the Corporation as required by law. If no record date has been fixed by the Board and prior action by the Board is required by applicable law, then the record date for determining stockholders entitled to consent to corporate action in writing without a meeting shall be at the close of business on the date on which the Board adopts the resolution taking such prior action.</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Section 1.9: List of Stockholders Entitled to Vote</w:t>
      </w:r>
      <w:r>
        <w:rPr>
          <w:rFonts w:ascii="Times New Roman" w:cs="Times New Roman" w:eastAsia="Times New Roman" w:hAnsi="Times New Roman"/>
          <w:sz w:val="20"/>
          <w:szCs w:val="20"/>
          <w:color w:val="auto"/>
        </w:rPr>
        <w:t>. A complete list of stockholders entitled to vote at any meeting of stockholders,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arranged in alphabetical order and showing the address of each stockholder and the number of shares registered in the name of each stockholder, shall be open to the examination of any stockholder, for any purpose germane to the meeting, during ordinary business hours, for a period of at least ten (10) days prior to the meeting, either on a reasonably accessible electronic network as permitted by law (provided that the information required to gain access to the list is provided with the notice of the meeting) or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w:t>
      </w:r>
    </w:p>
    <w:p>
      <w:pPr>
        <w:spacing w:after="0" w:line="17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u w:val="single" w:color="auto"/>
          <w:color w:val="auto"/>
        </w:rPr>
        <w:t>Section 1.10:</w:t>
      </w:r>
      <w:r>
        <w:rPr>
          <w:sz w:val="20"/>
          <w:szCs w:val="20"/>
          <w:color w:val="auto"/>
        </w:rPr>
        <w:tab/>
      </w:r>
      <w:r>
        <w:rPr>
          <w:rFonts w:ascii="Times New Roman" w:cs="Times New Roman" w:eastAsia="Times New Roman" w:hAnsi="Times New Roman"/>
          <w:sz w:val="19"/>
          <w:szCs w:val="19"/>
          <w:b w:val="1"/>
          <w:bCs w:val="1"/>
          <w:u w:val="single" w:color="auto"/>
          <w:color w:val="auto"/>
        </w:rPr>
        <w:t>Action by Written Consent of Stockholders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1.10.1 </w:t>
      </w:r>
      <w:r>
        <w:rPr>
          <w:rFonts w:ascii="Times New Roman" w:cs="Times New Roman" w:eastAsia="Times New Roman" w:hAnsi="Times New Roman"/>
          <w:sz w:val="20"/>
          <w:szCs w:val="20"/>
          <w:u w:val="single" w:color="auto"/>
          <w:color w:val="auto"/>
        </w:rPr>
        <w:t>Procedure</w:t>
      </w:r>
      <w:r>
        <w:rPr>
          <w:rFonts w:ascii="Times New Roman" w:cs="Times New Roman" w:eastAsia="Times New Roman" w:hAnsi="Times New Roman"/>
          <w:sz w:val="20"/>
          <w:szCs w:val="20"/>
          <w:color w:val="auto"/>
        </w:rPr>
        <w:t>. Unless otherwise provided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in the manner permitted by law by the holders of outstanding stock having not less than the number of votes that would be necessary to authorize or take such action at a meeting at which all shares entitled to vote thereon were present and voted and shall be delivered to the Corporation by delivery to its registered office in the State of Delaware, to its principal place of business or to an officer or agent of the Corporation having custody of the book in which proceedings of meetings of stockholders are recorded. Delivery made to the agent of the Corporation’s registered office in the State of Delaware shall be by hand or by certified or registered mail, return receipt requested. Written stockholder consents shall bear the date of signature of each stockholder who signs the consent in the manner permitted by law and shall be delivered to the Corporation as provided in Section 1.10.2 below. No written consent shall be effective to take the action set forth therein unless, within sixty (60) days of the earliest dated consent delivered to the Corporation in the manner required by law, written consents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266" w:name="page267"/>
    <w:bookmarkEnd w:id="266"/>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signed by a sufficient number of stockholders to take the action set forth therein are delivered to the Corporation in the manner required by law.</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1.10.2 </w:t>
      </w:r>
      <w:r>
        <w:rPr>
          <w:rFonts w:ascii="Times New Roman" w:cs="Times New Roman" w:eastAsia="Times New Roman" w:hAnsi="Times New Roman"/>
          <w:sz w:val="20"/>
          <w:szCs w:val="20"/>
          <w:u w:val="single" w:color="auto"/>
          <w:color w:val="auto"/>
        </w:rPr>
        <w:t>Form of Consent</w:t>
      </w:r>
      <w:r>
        <w:rPr>
          <w:rFonts w:ascii="Times New Roman" w:cs="Times New Roman" w:eastAsia="Times New Roman" w:hAnsi="Times New Roman"/>
          <w:sz w:val="20"/>
          <w:szCs w:val="20"/>
          <w:color w:val="auto"/>
        </w:rPr>
        <w:t>. A telegram, cablegram or other electronic transmission consenting to an action to be taken and transmitted by a stockholder or proxy holder, or a person or persons authorized to act for a stockholder or proxy holder, shall be deemed to be written, signed and dated for the purposes of this section, provided that any such telegram, cablegram or other electronic transmission sets forth or is delivered with information from which the Corporation can determine (a) that the telegram, cablegram or other electronic transmission was transmitted by the stockholder or proxy holder or by a person or persons authorized to act for the stockholder or proxy holder and (b) the date on which such stockholder or proxy 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1.10.3 </w:t>
      </w:r>
      <w:r>
        <w:rPr>
          <w:rFonts w:ascii="Times New Roman" w:cs="Times New Roman" w:eastAsia="Times New Roman" w:hAnsi="Times New Roman"/>
          <w:sz w:val="20"/>
          <w:szCs w:val="20"/>
          <w:u w:val="single" w:color="auto"/>
          <w:color w:val="auto"/>
        </w:rPr>
        <w:t>Notice of Consent</w:t>
      </w:r>
      <w:r>
        <w:rPr>
          <w:rFonts w:ascii="Times New Roman" w:cs="Times New Roman" w:eastAsia="Times New Roman" w:hAnsi="Times New Roman"/>
          <w:sz w:val="20"/>
          <w:szCs w:val="20"/>
          <w:color w:val="auto"/>
        </w:rPr>
        <w:t>. Prompt notice of the taking of corporate action by stockholders without a meeting by less than unanimous written consent of the stockholders shall be given to those stockholders who have not consented thereto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required by law. If the action which is consented to is such as would have required the filing of a certificate under the DGCL (the “</w:t>
      </w:r>
      <w:r>
        <w:rPr>
          <w:rFonts w:ascii="Times New Roman" w:cs="Times New Roman" w:eastAsia="Times New Roman" w:hAnsi="Times New Roman"/>
          <w:sz w:val="20"/>
          <w:szCs w:val="20"/>
          <w:b w:val="1"/>
          <w:bCs w:val="1"/>
          <w:i w:val="1"/>
          <w:iCs w:val="1"/>
          <w:color w:val="auto"/>
        </w:rPr>
        <w:t>Certificate of Action</w:t>
      </w:r>
      <w:r>
        <w:rPr>
          <w:rFonts w:ascii="Times New Roman" w:cs="Times New Roman" w:eastAsia="Times New Roman" w:hAnsi="Times New Roman"/>
          <w:sz w:val="20"/>
          <w:szCs w:val="20"/>
          <w:color w:val="auto"/>
        </w:rPr>
        <w:t>”) if such action had been voted on by stockholders at a meeting thereof, then if the DGCL so requires, the certificate so filed shall state, in lieu of any statement required by the DGCL concerning any vote of stockholders, that written stockholder consent has been given in accordance with Section 228 of the DGCL.</w:t>
      </w:r>
    </w:p>
    <w:p>
      <w:pPr>
        <w:spacing w:after="0" w:line="19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b w:val="1"/>
          <w:bCs w:val="1"/>
          <w:u w:val="single" w:color="auto"/>
          <w:color w:val="auto"/>
        </w:rPr>
        <w:t>Section 1.11:</w:t>
      </w:r>
      <w:r>
        <w:rPr>
          <w:sz w:val="20"/>
          <w:szCs w:val="20"/>
          <w:color w:val="auto"/>
        </w:rPr>
        <w:tab/>
      </w:r>
      <w:r>
        <w:rPr>
          <w:rFonts w:ascii="Times New Roman" w:cs="Times New Roman" w:eastAsia="Times New Roman" w:hAnsi="Times New Roman"/>
          <w:sz w:val="19"/>
          <w:szCs w:val="19"/>
          <w:b w:val="1"/>
          <w:bCs w:val="1"/>
          <w:u w:val="single" w:color="auto"/>
          <w:color w:val="auto"/>
        </w:rPr>
        <w:t>Inspectors of Elections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u w:val="single" w:color="auto"/>
          <w:color w:val="auto"/>
        </w:rPr>
        <w:t>Applicability</w:t>
      </w:r>
      <w:r>
        <w:rPr>
          <w:rFonts w:ascii="Times New Roman" w:cs="Times New Roman" w:eastAsia="Times New Roman" w:hAnsi="Times New Roman"/>
          <w:sz w:val="20"/>
          <w:szCs w:val="20"/>
          <w:color w:val="auto"/>
        </w:rPr>
        <w:t>. Unless otherwise required by the Certificate of Incorporation or by the DGCL, the following provisions of this Section 1.11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1.11 shall be optional, and at the discretion of the Board.</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The Corporation shall, in advance of any meeting of stockholders, appoint one or more inspectors of election to act at the meeting and make a written report thereof.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267" w:name="page268"/>
    <w:bookmarkEnd w:id="267"/>
    <w:p>
      <w:pPr>
        <w:jc w:val="both"/>
        <w:spacing w:after="0" w:line="283" w:lineRule="auto"/>
        <w:rPr>
          <w:sz w:val="20"/>
          <w:szCs w:val="20"/>
          <w:color w:val="auto"/>
        </w:rPr>
      </w:pPr>
      <w:r>
        <w:rPr>
          <w:rFonts w:ascii="Times New Roman" w:cs="Times New Roman" w:eastAsia="Times New Roman" w:hAnsi="Times New Roman"/>
          <w:sz w:val="20"/>
          <w:szCs w:val="20"/>
          <w:color w:val="auto"/>
        </w:rPr>
        <w:t>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u w:val="single" w:color="auto"/>
          <w:color w:val="auto"/>
        </w:rPr>
        <w:t>Inspector’s Oath</w:t>
      </w:r>
      <w:r>
        <w:rPr>
          <w:rFonts w:ascii="Times New Roman" w:cs="Times New Roman" w:eastAsia="Times New Roman" w:hAnsi="Times New Roman"/>
          <w:sz w:val="20"/>
          <w:szCs w:val="20"/>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1.11.4 </w:t>
      </w:r>
      <w:r>
        <w:rPr>
          <w:rFonts w:ascii="Times New Roman" w:cs="Times New Roman" w:eastAsia="Times New Roman" w:hAnsi="Times New Roman"/>
          <w:sz w:val="20"/>
          <w:szCs w:val="20"/>
          <w:u w:val="single" w:color="auto"/>
          <w:color w:val="auto"/>
        </w:rPr>
        <w:t>Duties of Inspectors</w:t>
      </w:r>
      <w:r>
        <w:rPr>
          <w:rFonts w:ascii="Times New Roman" w:cs="Times New Roman" w:eastAsia="Times New Roman" w:hAnsi="Times New Roman"/>
          <w:sz w:val="20"/>
          <w:szCs w:val="20"/>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u w:val="single" w:color="auto"/>
          <w:color w:val="auto"/>
        </w:rPr>
        <w:t>Opening and Closing of Polls</w:t>
      </w:r>
      <w:r>
        <w:rPr>
          <w:rFonts w:ascii="Times New Roman" w:cs="Times New Roman" w:eastAsia="Times New Roman" w:hAnsi="Times New Roman"/>
          <w:sz w:val="20"/>
          <w:szCs w:val="20"/>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1.11.6 </w:t>
      </w:r>
      <w:r>
        <w:rPr>
          <w:rFonts w:ascii="Times New Roman" w:cs="Times New Roman" w:eastAsia="Times New Roman" w:hAnsi="Times New Roman"/>
          <w:sz w:val="20"/>
          <w:szCs w:val="20"/>
          <w:u w:val="single" w:color="auto"/>
          <w:color w:val="auto"/>
        </w:rPr>
        <w:t>Determinations</w:t>
      </w:r>
      <w:r>
        <w:rPr>
          <w:rFonts w:ascii="Times New Roman" w:cs="Times New Roman" w:eastAsia="Times New Roman" w:hAnsi="Times New Roman"/>
          <w:sz w:val="20"/>
          <w:szCs w:val="20"/>
          <w:color w:val="auto"/>
        </w:rPr>
        <w:t>. In determining the validity and counting of proxies and ballots, the inspectors shall be limited to an examination of the proxies, any envelopes submitted with those proxies, any information provided in connection with proxies in accordance with any information provided pursuant to Section 211(a)(2)(B)(i) of the DGCL, or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1.11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BOARD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2.1: Number; Qualifications</w:t>
      </w:r>
      <w:r>
        <w:rPr>
          <w:rFonts w:ascii="Times New Roman" w:cs="Times New Roman" w:eastAsia="Times New Roman" w:hAnsi="Times New Roman"/>
          <w:sz w:val="20"/>
          <w:szCs w:val="20"/>
          <w:color w:val="auto"/>
        </w:rPr>
        <w:t>. The Board shall consist of one or more members. The initial number of directors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Two (2), and, thereafter, unless otherwise required by law or the Certificate of Incorporation, shall be fixed from time to time by resolution of a majority of the Whole Board or the stockholders of the Corporation holding at least a majority of the voting power of the Corporation’s outstanding stock then entitled to vote at an election of directors. No decrease in the authorized number of directors constituting the Board shall shorten the term of any incumbent director. Directors need not be stockholders of the Corporation.</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Section 2.2: Election; Resignation; Removal; Vacancies</w:t>
      </w:r>
      <w:r>
        <w:rPr>
          <w:rFonts w:ascii="Times New Roman" w:cs="Times New Roman" w:eastAsia="Times New Roman" w:hAnsi="Times New Roman"/>
          <w:sz w:val="20"/>
          <w:szCs w:val="20"/>
          <w:color w:val="auto"/>
        </w:rPr>
        <w:t>. The Board shall initially consist of the person or persons elected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incorporator or named in the Corporation’s initial Certificate of Incorporation. Each director shall hold office until the next annual meeting of stockholders and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268" w:name="page269"/>
    <w:bookmarkEnd w:id="268"/>
    <w:p>
      <w:pPr>
        <w:jc w:val="both"/>
        <w:spacing w:after="0" w:line="267" w:lineRule="auto"/>
        <w:rPr>
          <w:sz w:val="20"/>
          <w:szCs w:val="20"/>
          <w:color w:val="auto"/>
        </w:rPr>
      </w:pPr>
      <w:r>
        <w:rPr>
          <w:rFonts w:ascii="Times New Roman" w:cs="Times New Roman" w:eastAsia="Times New Roman" w:hAnsi="Times New Roman"/>
          <w:sz w:val="19"/>
          <w:szCs w:val="19"/>
          <w:color w:val="auto"/>
        </w:rPr>
        <w:t>director’s successor is elected and qualified, or until such director’s earlier death, resignation or removal. Any director may resign at any time upon written notice to the Corporation. Subject to the rights of any holders of Preferred Stock then outstanding: (a) any director or the entire Board may be removed, with or without cause, by the holders of a majority of the shares then entitled to vote at an election of directors and</w:t>
      </w:r>
    </w:p>
    <w:p>
      <w:pPr>
        <w:spacing w:after="0" w:line="2" w:lineRule="exact"/>
        <w:rPr>
          <w:sz w:val="20"/>
          <w:szCs w:val="20"/>
          <w:color w:val="auto"/>
        </w:rPr>
      </w:pPr>
    </w:p>
    <w:p>
      <w:pPr>
        <w:jc w:val="both"/>
        <w:ind w:firstLine="8"/>
        <w:spacing w:after="0" w:line="253" w:lineRule="auto"/>
        <w:tabs>
          <w:tab w:leader="none" w:pos="30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vacancy occurring in the Board for any reason, and any newly created directorship resulting from any increase in the authorized number of directors to be elected by all stockholders having the right to vote as a single class, may be filled by the stockholders, by a majority of the directors then in office, although less than a quorum, or by a sole remaining director.</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Section 2.3: Regular Meetings</w:t>
      </w:r>
      <w:r>
        <w:rPr>
          <w:rFonts w:ascii="Times New Roman" w:cs="Times New Roman" w:eastAsia="Times New Roman" w:hAnsi="Times New Roman"/>
          <w:sz w:val="20"/>
          <w:szCs w:val="20"/>
          <w:color w:val="auto"/>
        </w:rPr>
        <w:t>. Regular meetings of the Board may be held at such places, within or without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and at such times as the Board may from time to time determine. Notice of regular meetings need not be given if the date, times and places thereof are fixed by resolution of the Board.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2.4: Special Meetings</w:t>
      </w:r>
      <w:r>
        <w:rPr>
          <w:rFonts w:ascii="Times New Roman" w:cs="Times New Roman" w:eastAsia="Times New Roman" w:hAnsi="Times New Roman"/>
          <w:sz w:val="20"/>
          <w:szCs w:val="20"/>
          <w:color w:val="auto"/>
        </w:rPr>
        <w:t>. Special meetings of the Board may be called by the Chairperson of the Board, the President 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Unless otherwise indicated in the notice, any and all business may be transacted at a special meeting.</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auto"/>
        </w:rPr>
        <w:t>Section 2.5: Remote Meetings Permitted</w:t>
      </w:r>
      <w:r>
        <w:rPr>
          <w:rFonts w:ascii="Times New Roman" w:cs="Times New Roman" w:eastAsia="Times New Roman" w:hAnsi="Times New Roman"/>
          <w:sz w:val="20"/>
          <w:szCs w:val="20"/>
          <w:color w:val="auto"/>
        </w:rPr>
        <w:t>. Members of the Board, or any committee of the Board, may participate in a meeting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8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Section 2.6: Quorum</w:t>
      </w:r>
      <w:r>
        <w:rPr>
          <w:rFonts w:ascii="Times New Roman" w:cs="Times New Roman" w:eastAsia="Times New Roman" w:hAnsi="Times New Roman"/>
          <w:sz w:val="20"/>
          <w:szCs w:val="20"/>
          <w:color w:val="auto"/>
        </w:rPr>
        <w:t>; Vote Required for Action. At all meetings of the Board a majority of the Whole Board shall constitute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quorum for the transaction of 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Section 2.7: Organization</w:t>
      </w:r>
      <w:r>
        <w:rPr>
          <w:rFonts w:ascii="Times New Roman" w:cs="Times New Roman" w:eastAsia="Times New Roman" w:hAnsi="Times New Roman"/>
          <w:sz w:val="20"/>
          <w:szCs w:val="20"/>
          <w:color w:val="auto"/>
        </w:rPr>
        <w:t>. Meetings of the Board shall be presided over by the Chairperson of the Board, or in such person’s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absence by the President, or in such person’s absence by a chairperson chosen at the meeting. The Secretary shall act as secretary of the meeting, but in such person’s absence the chairperson of the meeting may appoint any person to act as secretary of the meeting.</w:t>
      </w:r>
    </w:p>
    <w:p>
      <w:pPr>
        <w:spacing w:after="0" w:line="17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2.8: Written Action by Directors</w:t>
      </w:r>
      <w:r>
        <w:rPr>
          <w:rFonts w:ascii="Times New Roman" w:cs="Times New Roman" w:eastAsia="Times New Roman" w:hAnsi="Times New Roman"/>
          <w:sz w:val="20"/>
          <w:szCs w:val="20"/>
          <w:color w:val="auto"/>
        </w:rPr>
        <w:t>. Any action required or permitted to be taken at any meeting of the Board, or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in the minute books of the Corporation. Such filing shall be in paper form if the minutes are maintained in paper form and shall be in electronic form if the minutes are maintained in electronic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269" w:name="page270"/>
    <w:bookmarkEnd w:id="269"/>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Section 2.9: Powers</w:t>
      </w:r>
      <w:r>
        <w:rPr>
          <w:rFonts w:ascii="Times New Roman" w:cs="Times New Roman" w:eastAsia="Times New Roman" w:hAnsi="Times New Roman"/>
          <w:sz w:val="20"/>
          <w:szCs w:val="20"/>
          <w:color w:val="auto"/>
        </w:rPr>
        <w:t>. The Board may, except as otherwise required by law or the Certificate of Incorporation, exercise all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powers and manage and direct all such acts and things as may be exercised or done by the Corporation.</w:t>
      </w:r>
    </w:p>
    <w:p>
      <w:pPr>
        <w:spacing w:after="0" w:line="13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0"/>
          <w:szCs w:val="20"/>
          <w:b w:val="1"/>
          <w:bCs w:val="1"/>
          <w:u w:val="single" w:color="auto"/>
          <w:color w:val="auto"/>
        </w:rPr>
        <w:t>Section 2.10: Compensation of Directors</w:t>
      </w:r>
      <w:r>
        <w:rPr>
          <w:rFonts w:ascii="Times New Roman" w:cs="Times New Roman" w:eastAsia="Times New Roman" w:hAnsi="Times New Roman"/>
          <w:sz w:val="20"/>
          <w:szCs w:val="20"/>
          <w:color w:val="auto"/>
        </w:rPr>
        <w:t>. Members of the Board, as such, may receive, pursuant to a resolution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fees and other compensation for their services as directors, including without limitation their services as members of committees of the Board.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COMMITTEES</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b w:val="1"/>
          <w:bCs w:val="1"/>
          <w:u w:val="single" w:color="auto"/>
          <w:color w:val="auto"/>
        </w:rPr>
        <w:t>Section 3.1: Committees</w:t>
      </w:r>
      <w:r>
        <w:rPr>
          <w:rFonts w:ascii="Times New Roman" w:cs="Times New Roman" w:eastAsia="Times New Roman" w:hAnsi="Times New Roman"/>
          <w:sz w:val="19"/>
          <w:szCs w:val="19"/>
          <w:color w:val="auto"/>
        </w:rPr>
        <w:t>. The Board may designate one or more committees, each committee to consist of one or more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Section 3.2: Committee Rules</w:t>
      </w:r>
      <w:r>
        <w:rPr>
          <w:rFonts w:ascii="Times New Roman" w:cs="Times New Roman" w:eastAsia="Times New Roman" w:hAnsi="Times New Roman"/>
          <w:sz w:val="20"/>
          <w:szCs w:val="20"/>
          <w:color w:val="auto"/>
        </w:rPr>
        <w:t>. Unless the Board otherwise provides, each committee designated by the Board may make, alter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repeal rules for the conduct of its business. In the absence of such rules each committee shall conduct its business in the same manner as the Board conducts its business pursuant to Article II of these Bylaws.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 OFFICERS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Section 4.1: Generally</w:t>
      </w:r>
      <w:r>
        <w:rPr>
          <w:rFonts w:ascii="Times New Roman" w:cs="Times New Roman" w:eastAsia="Times New Roman" w:hAnsi="Times New Roman"/>
          <w:sz w:val="20"/>
          <w:szCs w:val="20"/>
          <w:color w:val="auto"/>
        </w:rPr>
        <w:t>. The officers of the Corporation shall consist of a Chief Executive Officer (who may be the Chairperson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Board or the President), a Secretary and a Treasurer and may consist of such other officers, including a Chief Financial Officer, Chief Technology Officer and one or more Vice Presidents, as may from time to time be appointed by the Board. All officers shall be elected by the Board;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Board may empower the Chief Executive Officer of the Corporation to appoint any officer other than the Chairperson of the Board, the Chief Executive Officer, the President, the Chief Financial Officer or the Treasurer. Each officer shall hold office until such person’s successor is appointed or until such person’s earlier resignation, death or removal. Any number of offices may be held by the same person. Any officer may resign at any time upon written notice to the Corporation. Any vacancy occurring in any office of the Corporation by death, resignation, removal or otherwise may be filled by the Board.</w:t>
      </w:r>
    </w:p>
    <w:p>
      <w:pPr>
        <w:spacing w:after="0" w:line="18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4.2: Chief Executive Officer</w:t>
      </w:r>
      <w:r>
        <w:rPr>
          <w:rFonts w:ascii="Times New Roman" w:cs="Times New Roman" w:eastAsia="Times New Roman" w:hAnsi="Times New Roman"/>
          <w:sz w:val="20"/>
          <w:szCs w:val="20"/>
          <w:color w:val="auto"/>
        </w:rPr>
        <w:t>. Subject to the control of the Board and such supervisory powers, if any, as may be given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the powers and duties of the Chief Executive Officer of the Corporation are:</w:t>
      </w:r>
    </w:p>
    <w:p>
      <w:pPr>
        <w:spacing w:after="0" w:line="169" w:lineRule="exact"/>
        <w:rPr>
          <w:sz w:val="20"/>
          <w:szCs w:val="20"/>
          <w:color w:val="auto"/>
        </w:rPr>
      </w:pPr>
    </w:p>
    <w:p>
      <w:pPr>
        <w:ind w:left="660" w:firstLine="644"/>
        <w:spacing w:after="0" w:line="269" w:lineRule="auto"/>
        <w:tabs>
          <w:tab w:leader="none" w:pos="172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act as the general manager and, subject to the control of the Board, to have general supervision, direction and control of the business and affairs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270" w:name="page271"/>
    <w:bookmarkEnd w:id="270"/>
    <w:p>
      <w:pPr>
        <w:ind w:left="1740" w:hanging="436"/>
        <w:spacing w:after="0"/>
        <w:tabs>
          <w:tab w:leader="none" w:pos="17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I, Section 1.6, to preside at all meetings of the stockholders;</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42"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I, Section 1.2, to call special meetings of the stockholders to be held at such times and, subject to the limitations prescribed by law or by these Bylaws, at such places as he or she shall deem proper;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7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and, subject to the direction of the Board, to have general charge of the property of the Corporation and to supervise and control all officers, agents and employees of the Corporation.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w:t>
      </w:r>
    </w:p>
    <w:p>
      <w:pPr>
        <w:spacing w:after="0" w:line="1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4.3: Chairperson of the Board</w:t>
      </w:r>
      <w:r>
        <w:rPr>
          <w:rFonts w:ascii="Times New Roman" w:cs="Times New Roman" w:eastAsia="Times New Roman" w:hAnsi="Times New Roman"/>
          <w:sz w:val="20"/>
          <w:szCs w:val="20"/>
          <w:color w:val="auto"/>
        </w:rPr>
        <w:t>. The Chairperson of the Board shall have the power to preside at all meetings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shall have such other powers and duties as provided in these Bylaws and as the Board may from time to time prescribe.</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Section 4.4: President</w:t>
      </w:r>
      <w:r>
        <w:rPr>
          <w:rFonts w:ascii="Times New Roman" w:cs="Times New Roman" w:eastAsia="Times New Roman" w:hAnsi="Times New Roman"/>
          <w:sz w:val="20"/>
          <w:szCs w:val="20"/>
          <w:color w:val="auto"/>
        </w:rPr>
        <w:t>. The President shall be the Chief Executive Officer of the Corporation unless the Board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designated another officer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Section 4.5: Vice President</w:t>
      </w:r>
      <w:r>
        <w:rPr>
          <w:rFonts w:ascii="Times New Roman" w:cs="Times New Roman" w:eastAsia="Times New Roman" w:hAnsi="Times New Roman"/>
          <w:sz w:val="20"/>
          <w:szCs w:val="20"/>
          <w:color w:val="auto"/>
        </w:rPr>
        <w:t>. Each Vice President shall have all such powers and duties as are commonly incident to the office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Vice President, or that are delegated to him or her by the Board or the Chief Executive Officer. A Vice President may be designated by the Board to perform the duties and exercise the powers of the Chief Executive Officer in the event of the Chief Executive Officer’s absence or disability.</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Section 4.6: Chief Financial Officer</w:t>
      </w:r>
      <w:r>
        <w:rPr>
          <w:rFonts w:ascii="Times New Roman" w:cs="Times New Roman" w:eastAsia="Times New Roman" w:hAnsi="Times New Roman"/>
          <w:sz w:val="20"/>
          <w:szCs w:val="20"/>
          <w:color w:val="auto"/>
        </w:rPr>
        <w:t>. The Chief Financial Officer shall be the Treasurer of the Corporation unless the Board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designated another 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Section 4.7: Treasurer</w:t>
      </w:r>
      <w:r>
        <w:rPr>
          <w:rFonts w:ascii="Times New Roman" w:cs="Times New Roman" w:eastAsia="Times New Roman" w:hAnsi="Times New Roman"/>
          <w:sz w:val="20"/>
          <w:szCs w:val="20"/>
          <w:color w:val="auto"/>
        </w:rPr>
        <w:t>. The Treasurer shall have custody of all moneys and securities of the Corporation. The Treasurer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such disbursements of the funds of the Corporation as are authorized and shall render from time to time an account of all such transactions. The Treasurer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271" w:name="page272"/>
    <w:bookmarkEnd w:id="27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perform such other duties and have such other powers as are commonly incident to the office of Treasurer, or as the Board or the Chief Executive Officer may from time to time prescribe.</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4.8: Chief Technology Officer</w:t>
      </w:r>
      <w:r>
        <w:rPr>
          <w:rFonts w:ascii="Times New Roman" w:cs="Times New Roman" w:eastAsia="Times New Roman" w:hAnsi="Times New Roman"/>
          <w:sz w:val="20"/>
          <w:szCs w:val="20"/>
          <w:color w:val="auto"/>
        </w:rPr>
        <w:t>. The Chief Technology Officer shall have responsibility for the general research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activities of the Corporation, for supervision of the Corporation’s research and development personnel, for new product development and product improvements, for overseeing the development and direction of the Corporation’s intellectual property development and such other responsibilities as may be given to the Chief Technology Officer by the Board, subject to: (a) the provisions of these Bylaws; (b) the direction of the Board; (c) the supervisory powers of the Chief Executive Officer of the Corporation; and (d) those supervisory powers that may be given by the Board to the Chairperson or Vice Chairperson of the Board.</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Section 4.9: Secretary</w:t>
      </w:r>
      <w:r>
        <w:rPr>
          <w:rFonts w:ascii="Times New Roman" w:cs="Times New Roman" w:eastAsia="Times New Roman" w:hAnsi="Times New Roman"/>
          <w:sz w:val="20"/>
          <w:szCs w:val="20"/>
          <w:color w:val="auto"/>
        </w:rPr>
        <w:t>. The Secretary shall issue or cause to be issued all authorized notices for, and shall keep, or cause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6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Section 4.10: Delegation of Authority</w:t>
      </w:r>
      <w:r>
        <w:rPr>
          <w:rFonts w:ascii="Times New Roman" w:cs="Times New Roman" w:eastAsia="Times New Roman" w:hAnsi="Times New Roman"/>
          <w:sz w:val="20"/>
          <w:szCs w:val="20"/>
          <w:color w:val="auto"/>
        </w:rPr>
        <w:t>. The Board may from time to time delegate the powers or duties of any officer to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or agents, notwithstanding any provision hereof.</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Section 4.11: Removal</w:t>
      </w:r>
      <w:r>
        <w:rPr>
          <w:rFonts w:ascii="Times New Roman" w:cs="Times New Roman" w:eastAsia="Times New Roman" w:hAnsi="Times New Roman"/>
          <w:sz w:val="20"/>
          <w:szCs w:val="20"/>
          <w:color w:val="auto"/>
        </w:rPr>
        <w:t>. Any officer of the Corporation shall serve at the pleasure of the Board and may be removed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or without cause, by the Board; provided that if the Board has empowered the Chief Executive Officer to appoint any Vice Presidents of the Corporation, then such Vice Presidents may be removed by the Chief Executive Officer. Such removal shall be without prejudice to the contractual rights of such officer, if any, with the Corporation.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 STOCK</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Section 5.1: Certificates</w:t>
      </w:r>
      <w:r>
        <w:rPr>
          <w:rFonts w:ascii="Times New Roman" w:cs="Times New Roman" w:eastAsia="Times New Roman" w:hAnsi="Times New Roman"/>
          <w:sz w:val="20"/>
          <w:szCs w:val="20"/>
          <w:color w:val="auto"/>
        </w:rPr>
        <w:t>. The shares of capital stock of the Corporation shall be represented by certificates;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Board may provide by resolution or resolutions that some or all of any or all classes or series of its stock may be uncertificated shares. Any such resolution shall not apply to shares represented by a certificate until such certificate is surrendered to the Corporation (or the transfer agent or registrar, as the case may be). Notwithstanding the adoption of such resolution by the Board, every holder of stock that is a certificated security shall be entitled to have a certificate signed by or in the name of the Corporation by the Chairperson or Vice-Chairperson of the Board, or the President or a Vice President, and by the Treasurer or an Assistant Treasurer, or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 If any holder of uncertificated shares elects to receive a certificate, the Corporation (or the transfer agent or registrar, as the case may be) shall, to the extent permitted under applicable law and rules, regulations and listing requirements of any stock exchange or stock market on which the Corporation’s shares are listed or traded, cease to provide annual statements indicating such holder’s holdings of shares in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272" w:name="page273"/>
    <w:bookmarkEnd w:id="272"/>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5.2: Lost, Stolen or Destroyed Stock Certificates; Issuance of New Certificates</w:t>
      </w:r>
      <w:r>
        <w:rPr>
          <w:rFonts w:ascii="Times New Roman" w:cs="Times New Roman" w:eastAsia="Times New Roman" w:hAnsi="Times New Roman"/>
          <w:sz w:val="20"/>
          <w:szCs w:val="20"/>
          <w:color w:val="auto"/>
        </w:rPr>
        <w:t>. The Corporation may issue a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stock, or uncertificated shares, in the place of any certificate previously issued by it, alleged to have been lost, stolen or destroyed, ,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5.3: Other Regulations</w:t>
      </w:r>
      <w:r>
        <w:rPr>
          <w:rFonts w:ascii="Times New Roman" w:cs="Times New Roman" w:eastAsia="Times New Roman" w:hAnsi="Times New Roman"/>
          <w:sz w:val="20"/>
          <w:szCs w:val="20"/>
          <w:color w:val="auto"/>
        </w:rPr>
        <w:t>. The issue, transfer, conversion and registration of stock certificates and uncertificated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governed by such other regulations as the Board may establish.</w:t>
      </w:r>
    </w:p>
    <w:p>
      <w:pPr>
        <w:spacing w:after="0" w:line="16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b w:val="1"/>
          <w:bCs w:val="1"/>
          <w:u w:val="single" w:color="auto"/>
          <w:color w:val="auto"/>
        </w:rPr>
        <w:t>Section 5.4:</w:t>
      </w:r>
      <w:r>
        <w:rPr>
          <w:sz w:val="20"/>
          <w:szCs w:val="20"/>
          <w:color w:val="auto"/>
        </w:rPr>
        <w:tab/>
      </w:r>
      <w:r>
        <w:rPr>
          <w:rFonts w:ascii="Times New Roman" w:cs="Times New Roman" w:eastAsia="Times New Roman" w:hAnsi="Times New Roman"/>
          <w:sz w:val="19"/>
          <w:szCs w:val="19"/>
          <w:b w:val="1"/>
          <w:bCs w:val="1"/>
          <w:u w:val="single" w:color="auto"/>
          <w:color w:val="auto"/>
        </w:rPr>
        <w:t>Restrictions on Transfer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5.4.1 The holder of any security of the Corporation (a “</w:t>
      </w:r>
      <w:r>
        <w:rPr>
          <w:rFonts w:ascii="Times New Roman" w:cs="Times New Roman" w:eastAsia="Times New Roman" w:hAnsi="Times New Roman"/>
          <w:sz w:val="20"/>
          <w:szCs w:val="20"/>
          <w:b w:val="1"/>
          <w:bCs w:val="1"/>
          <w:i w:val="1"/>
          <w:iCs w:val="1"/>
          <w:color w:val="auto"/>
        </w:rPr>
        <w:t>Security Holder</w:t>
      </w:r>
      <w:r>
        <w:rPr>
          <w:rFonts w:ascii="Times New Roman" w:cs="Times New Roman" w:eastAsia="Times New Roman" w:hAnsi="Times New Roman"/>
          <w:sz w:val="20"/>
          <w:szCs w:val="20"/>
          <w:color w:val="auto"/>
        </w:rPr>
        <w:t>”) shall not transfer, assign, encumber or otherwise dispose of any security of the Corporation (a “</w:t>
      </w:r>
      <w:r>
        <w:rPr>
          <w:rFonts w:ascii="Times New Roman" w:cs="Times New Roman" w:eastAsia="Times New Roman" w:hAnsi="Times New Roman"/>
          <w:sz w:val="20"/>
          <w:szCs w:val="20"/>
          <w:b w:val="1"/>
          <w:bCs w:val="1"/>
          <w:i w:val="1"/>
          <w:iCs w:val="1"/>
          <w:color w:val="auto"/>
        </w:rPr>
        <w:t>Security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whether voluntarily or by operation of law or by gift or otherwise, (each, a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other than by means of a Permitted Transfer (as defined below). A Transfer shall be deemed to include any transfer of securities of a Security Holder that is an entity by one or more holders of securities thereof or any issuance of securities by a Security Holder that is an entity. The remaining provisions of this Section 5.4 shall apply mutatis mutandis to such deemed Transfer. If any provision(s) of any agreement(s) currently in effect by and between the Corporation and any Security Holder (the “</w:t>
      </w:r>
      <w:r>
        <w:rPr>
          <w:rFonts w:ascii="Times New Roman" w:cs="Times New Roman" w:eastAsia="Times New Roman" w:hAnsi="Times New Roman"/>
          <w:sz w:val="20"/>
          <w:szCs w:val="20"/>
          <w:b w:val="1"/>
          <w:bCs w:val="1"/>
          <w:i w:val="1"/>
          <w:iCs w:val="1"/>
          <w:color w:val="auto"/>
        </w:rPr>
        <w:t>Security Holder Agreement(s)</w:t>
      </w:r>
      <w:r>
        <w:rPr>
          <w:rFonts w:ascii="Times New Roman" w:cs="Times New Roman" w:eastAsia="Times New Roman" w:hAnsi="Times New Roman"/>
          <w:sz w:val="20"/>
          <w:szCs w:val="20"/>
          <w:color w:val="auto"/>
        </w:rPr>
        <w:t>”) conflicts with this Section 5.4 of the bylaws, this Section 5.4 shall govern, and the non-conflicting remainder of the Security Holder Agreement(s) shall continue in full force and effect. A “</w:t>
      </w:r>
      <w:r>
        <w:rPr>
          <w:rFonts w:ascii="Times New Roman" w:cs="Times New Roman" w:eastAsia="Times New Roman" w:hAnsi="Times New Roman"/>
          <w:sz w:val="20"/>
          <w:szCs w:val="20"/>
          <w:b w:val="1"/>
          <w:bCs w:val="1"/>
          <w:i w:val="1"/>
          <w:iCs w:val="1"/>
          <w:color w:val="auto"/>
        </w:rPr>
        <w:t>Permitted Transfer</w:t>
      </w:r>
      <w:r>
        <w:rPr>
          <w:rFonts w:ascii="Times New Roman" w:cs="Times New Roman" w:eastAsia="Times New Roman" w:hAnsi="Times New Roman"/>
          <w:sz w:val="20"/>
          <w:szCs w:val="20"/>
          <w:color w:val="auto"/>
        </w:rPr>
        <w:t>” as used in this Section 5.4 shall be defined as:</w:t>
      </w:r>
    </w:p>
    <w:p>
      <w:pPr>
        <w:spacing w:after="0" w:line="176" w:lineRule="exact"/>
        <w:rPr>
          <w:sz w:val="20"/>
          <w:szCs w:val="20"/>
          <w:color w:val="auto"/>
        </w:rPr>
      </w:pPr>
    </w:p>
    <w:p>
      <w:pPr>
        <w:jc w:val="both"/>
        <w:ind w:left="660" w:firstLine="644"/>
        <w:spacing w:after="0" w:line="261" w:lineRule="auto"/>
        <w:tabs>
          <w:tab w:leader="none" w:pos="175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repurchase or redemption of a Security by the Corporation: (i) at cost, upon the occurrence of certain events, such as the termination of employment or services; or (ii) at any price pursuant to the Corporation’s exercise of a right of first refusal to repurchase such shares (including the purchase of such shares by the Corporation’s assignee);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84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by gift or pursuant to domestic relations orders to a Security Holder’s Immediate Family (as defined below) or a trust for the benefit of the Security Holder or the Security Holder’s Immediate Family. As used herein, the term “</w:t>
      </w:r>
      <w:r>
        <w:rPr>
          <w:rFonts w:ascii="Times New Roman" w:cs="Times New Roman" w:eastAsia="Times New Roman" w:hAnsi="Times New Roman"/>
          <w:sz w:val="20"/>
          <w:szCs w:val="20"/>
          <w:b w:val="1"/>
          <w:bCs w:val="1"/>
          <w:i w:val="1"/>
          <w:iCs w:val="1"/>
          <w:color w:val="auto"/>
        </w:rPr>
        <w:t>Immediate Family</w:t>
      </w:r>
      <w:r>
        <w:rPr>
          <w:rFonts w:ascii="Times New Roman" w:cs="Times New Roman" w:eastAsia="Times New Roman" w:hAnsi="Times New Roman"/>
          <w:sz w:val="20"/>
          <w:szCs w:val="20"/>
          <w:color w:val="auto"/>
        </w:rPr>
        <w:t>” will mean Security Holder’s spouse or Spousal Equivalent, the lineal descendant or antecedent, or brother or sister, of Security Holder or Security Holder’s spouse or Spousal Equivalent, or the spouse or Spousal Equivalent of any lineal descendant or antecedent, or brother or sister, of Security Holder or Security Holder’s spouse or Spousal Equivalent, whether or not any of the above are adopted. As used herein, a person is deemed to be a “</w:t>
      </w:r>
      <w:r>
        <w:rPr>
          <w:rFonts w:ascii="Times New Roman" w:cs="Times New Roman" w:eastAsia="Times New Roman" w:hAnsi="Times New Roman"/>
          <w:sz w:val="20"/>
          <w:szCs w:val="20"/>
          <w:b w:val="1"/>
          <w:bCs w:val="1"/>
          <w:i w:val="1"/>
          <w:iCs w:val="1"/>
          <w:color w:val="auto"/>
        </w:rPr>
        <w:t>Spousal Equivalent</w:t>
      </w:r>
      <w:r>
        <w:rPr>
          <w:rFonts w:ascii="Times New Roman" w:cs="Times New Roman" w:eastAsia="Times New Roman" w:hAnsi="Times New Roman"/>
          <w:sz w:val="20"/>
          <w:szCs w:val="20"/>
          <w:color w:val="auto"/>
        </w:rPr>
        <w:t>” provided the following circumstances are true: (i) irrespective of whether or not the relevant person and the Spousal Equivalent are the same sex, they are the sole spousal equivalent of the other for the last twelve (12) months, (ii) they intend to remain so indefinitely, (iii) neither are married to anyone else, (iv) both are at least eighteen (18) years of age and mentally competent to consent to contract, (v) they are not related by blood to a degree of closeness that would prohibit legal marriage in the state in which they legally reside, (vi) they are jointly responsible for each other’s common welfare and financial obligations, and (vii) they reside together in the same residence for the last twelve (12) months and intend to do so indefinitely. For the sake of clarification, multiple transfers of a Security may be made, by gift or pursuant to domestic relations orders, back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273" w:name="page274"/>
    <w:bookmarkEnd w:id="273"/>
    <w:p>
      <w:pPr>
        <w:jc w:val="center"/>
        <w:ind w:right="20"/>
        <w:spacing w:after="0"/>
        <w:rPr>
          <w:sz w:val="20"/>
          <w:szCs w:val="20"/>
          <w:color w:val="auto"/>
        </w:rPr>
      </w:pPr>
      <w:r>
        <w:rPr>
          <w:rFonts w:ascii="Times New Roman" w:cs="Times New Roman" w:eastAsia="Times New Roman" w:hAnsi="Times New Roman"/>
          <w:sz w:val="20"/>
          <w:szCs w:val="20"/>
          <w:color w:val="auto"/>
        </w:rPr>
        <w:t>forth between a Security Holder and a trust for the benefit of the Security Holder or the Security Holder’s Immediate Family;</w:t>
      </w:r>
    </w:p>
    <w:p>
      <w:pPr>
        <w:spacing w:after="0" w:line="229" w:lineRule="exact"/>
        <w:rPr>
          <w:sz w:val="20"/>
          <w:szCs w:val="20"/>
          <w:color w:val="auto"/>
        </w:rPr>
      </w:pPr>
    </w:p>
    <w:p>
      <w:pPr>
        <w:ind w:left="1720" w:hanging="416"/>
        <w:spacing w:after="0"/>
        <w:tabs>
          <w:tab w:leader="none" w:pos="17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effected pursuant to the Security Holder’s will or the laws of intestate succession; and/or</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6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approved by a majority of the disinterested members of the Board, even though the disinterested directors be less than a quorum; notwithstanding the foregoing, if a Permitted Transfer is approved pursuant to this paragraph (d) and the Securities of the transferring party are subject to co-sale rights (the “</w:t>
      </w:r>
      <w:r>
        <w:rPr>
          <w:rFonts w:ascii="Times New Roman" w:cs="Times New Roman" w:eastAsia="Times New Roman" w:hAnsi="Times New Roman"/>
          <w:sz w:val="20"/>
          <w:szCs w:val="20"/>
          <w:b w:val="1"/>
          <w:bCs w:val="1"/>
          <w:i w:val="1"/>
          <w:iCs w:val="1"/>
          <w:color w:val="auto"/>
        </w:rPr>
        <w:t>Co-Sale Rights</w:t>
      </w:r>
      <w:r>
        <w:rPr>
          <w:rFonts w:ascii="Times New Roman" w:cs="Times New Roman" w:eastAsia="Times New Roman" w:hAnsi="Times New Roman"/>
          <w:sz w:val="20"/>
          <w:szCs w:val="20"/>
          <w:color w:val="auto"/>
        </w:rPr>
        <w:t>”), the persons and/or entities entitled to the Co-Sale Rights shall be permitted to exercise their respective Co-Sale Rights in conjunction with this specific Permitted Transfer without any additional approval of the Board;</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each transferee, assignee, or other recipient of any interest in the Security shall, as a condition to the transfer, agree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bound by all of the restrictions set forth in these Bylaws.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5.4.2 If a Security Holder desires to Transfer a Security, then such Security Holder first shall give written notice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thereof to the Corporation. The Notice shall state (a) the Security Holder’s bona fide intention to sell or otherwise transfer a Security; (b) the name and address of each proposed purchaser or other transferee (the “</w:t>
      </w:r>
      <w:r>
        <w:rPr>
          <w:rFonts w:ascii="Times New Roman" w:cs="Times New Roman" w:eastAsia="Times New Roman" w:hAnsi="Times New Roman"/>
          <w:sz w:val="20"/>
          <w:szCs w:val="20"/>
          <w:b w:val="1"/>
          <w:bCs w:val="1"/>
          <w:i w:val="1"/>
          <w:iCs w:val="1"/>
          <w:color w:val="auto"/>
        </w:rPr>
        <w:t>Proposed Transferee</w:t>
      </w:r>
      <w:r>
        <w:rPr>
          <w:rFonts w:ascii="Times New Roman" w:cs="Times New Roman" w:eastAsia="Times New Roman" w:hAnsi="Times New Roman"/>
          <w:sz w:val="20"/>
          <w:szCs w:val="20"/>
          <w:color w:val="auto"/>
        </w:rPr>
        <w:t>”); (c) the number and type of the Security to be transferred to each Proposed Transferee; (d) the bona fide cash price or other consideration for which the Security Holder proposes to transfer the Security (the “</w:t>
      </w:r>
      <w:r>
        <w:rPr>
          <w:rFonts w:ascii="Times New Roman" w:cs="Times New Roman" w:eastAsia="Times New Roman" w:hAnsi="Times New Roman"/>
          <w:sz w:val="20"/>
          <w:szCs w:val="20"/>
          <w:b w:val="1"/>
          <w:bCs w:val="1"/>
          <w:i w:val="1"/>
          <w:iCs w:val="1"/>
          <w:color w:val="auto"/>
        </w:rPr>
        <w:t>Offered Price</w:t>
      </w:r>
      <w:r>
        <w:rPr>
          <w:rFonts w:ascii="Times New Roman" w:cs="Times New Roman" w:eastAsia="Times New Roman" w:hAnsi="Times New Roman"/>
          <w:sz w:val="20"/>
          <w:szCs w:val="20"/>
          <w:color w:val="auto"/>
        </w:rPr>
        <w:t>”); (e) a description of such Security Holder’s relationship to or affiliation with the proposed transferee(s); (f) all other terms and conditions of the proposed transfer; and (g) that the Security Holder acknowledges this Notice is an offer to sell the Security to the Corporation and/or its assignee(s) pursuant to the Corporation’s Right of First Refusal (as defined in Section 5.5 below) at the Offered Price as provided for in these Bylaws.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5.4.3 In the case of any Permitted Transfer, the transferee, assignee or other recipient of the Security (or any interest in the Security) shall receive and hold the Security (or such interest in the Security) subject to all of the restrictions set forth in these Bylaws and there shall be no further Transfer of such Security except in accordance with these Bylaws.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5.4.4 The Corporation shall cause the certificates or instruments representing the Securities to bear the following legend (as well as any legends required by applicable state and federal corporate and securities laws):</w:t>
      </w:r>
    </w:p>
    <w:p>
      <w:pPr>
        <w:spacing w:after="0" w:line="173" w:lineRule="exact"/>
        <w:rPr>
          <w:sz w:val="20"/>
          <w:szCs w:val="20"/>
          <w:color w:val="auto"/>
        </w:rPr>
      </w:pPr>
    </w:p>
    <w:p>
      <w:pPr>
        <w:ind w:left="660" w:right="660"/>
        <w:spacing w:after="0" w:line="283" w:lineRule="auto"/>
        <w:rPr>
          <w:sz w:val="20"/>
          <w:szCs w:val="20"/>
          <w:color w:val="auto"/>
        </w:rPr>
      </w:pPr>
      <w:r>
        <w:rPr>
          <w:rFonts w:ascii="Times New Roman" w:cs="Times New Roman" w:eastAsia="Times New Roman" w:hAnsi="Times New Roman"/>
          <w:sz w:val="20"/>
          <w:szCs w:val="20"/>
          <w:color w:val="auto"/>
        </w:rPr>
        <w:t>THE SECURITIES REPRESENTED BY THIS CERTIFICATE ARE SUBJECT TO RESTRICTIONS ON TRANSFER CONTAINED IN THE BYLAWS OF THE CORPORATION.</w:t>
      </w:r>
    </w:p>
    <w:p>
      <w:pPr>
        <w:spacing w:after="0" w:line="14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5.4.5 The restriction on Transfer set forth in this Section 5.4 shall lapse immediately prior to the closing of any registered initial public offering of the Corporation.</w:t>
      </w:r>
    </w:p>
    <w:p>
      <w:pPr>
        <w:spacing w:after="0" w:line="14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b w:val="1"/>
          <w:bCs w:val="1"/>
          <w:u w:val="single" w:color="auto"/>
          <w:color w:val="auto"/>
        </w:rPr>
        <w:t>Section 5.5:</w:t>
      </w:r>
      <w:r>
        <w:rPr>
          <w:sz w:val="20"/>
          <w:szCs w:val="20"/>
          <w:color w:val="auto"/>
        </w:rPr>
        <w:tab/>
      </w:r>
      <w:r>
        <w:rPr>
          <w:rFonts w:ascii="Times New Roman" w:cs="Times New Roman" w:eastAsia="Times New Roman" w:hAnsi="Times New Roman"/>
          <w:sz w:val="19"/>
          <w:szCs w:val="19"/>
          <w:b w:val="1"/>
          <w:bCs w:val="1"/>
          <w:u w:val="single" w:color="auto"/>
          <w:color w:val="auto"/>
        </w:rPr>
        <w:t>Right of First Refusal</w:t>
      </w:r>
    </w:p>
    <w:p>
      <w:pPr>
        <w:spacing w:after="0" w:line="233"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5.5.1 In addition to any other limitation on transfer created by applicable securities laws, these Bylaws or contract, before any Security may be Transferred, the Corporation and/or its assignee(s)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74" w:name="page275"/>
    <w:bookmarkEnd w:id="274"/>
    <w:p>
      <w:pPr>
        <w:spacing w:after="0" w:line="287" w:lineRule="auto"/>
        <w:rPr>
          <w:sz w:val="20"/>
          <w:szCs w:val="20"/>
          <w:color w:val="auto"/>
        </w:rPr>
      </w:pPr>
      <w:r>
        <w:rPr>
          <w:rFonts w:ascii="Times New Roman" w:cs="Times New Roman" w:eastAsia="Times New Roman" w:hAnsi="Times New Roman"/>
          <w:sz w:val="20"/>
          <w:szCs w:val="20"/>
          <w:color w:val="auto"/>
        </w:rPr>
        <w:t>have a right of first refusal to purchase the Securities to be sold or transferred (the “</w:t>
      </w:r>
      <w:r>
        <w:rPr>
          <w:rFonts w:ascii="Times New Roman" w:cs="Times New Roman" w:eastAsia="Times New Roman" w:hAnsi="Times New Roman"/>
          <w:sz w:val="20"/>
          <w:szCs w:val="20"/>
          <w:b w:val="1"/>
          <w:bCs w:val="1"/>
          <w:i w:val="1"/>
          <w:iCs w:val="1"/>
          <w:color w:val="auto"/>
        </w:rPr>
        <w:t>Offered Securities</w:t>
      </w:r>
      <w:r>
        <w:rPr>
          <w:rFonts w:ascii="Times New Roman" w:cs="Times New Roman" w:eastAsia="Times New Roman" w:hAnsi="Times New Roman"/>
          <w:sz w:val="20"/>
          <w:szCs w:val="20"/>
          <w:color w:val="auto"/>
        </w:rPr>
        <w:t>”) on the terms and conditions set forth in this Section 5.5 (the “</w:t>
      </w:r>
      <w:r>
        <w:rPr>
          <w:rFonts w:ascii="Times New Roman" w:cs="Times New Roman" w:eastAsia="Times New Roman" w:hAnsi="Times New Roman"/>
          <w:sz w:val="20"/>
          <w:szCs w:val="20"/>
          <w:b w:val="1"/>
          <w:bCs w:val="1"/>
          <w:i w:val="1"/>
          <w:iCs w:val="1"/>
          <w:color w:val="auto"/>
        </w:rPr>
        <w:t>Right of First Refusal</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left="660" w:firstLine="644"/>
        <w:spacing w:after="0" w:line="260" w:lineRule="auto"/>
        <w:tabs>
          <w:tab w:leader="none" w:pos="180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of Right of First Refusal</w:t>
      </w:r>
      <w:r>
        <w:rPr>
          <w:rFonts w:ascii="Times New Roman" w:cs="Times New Roman" w:eastAsia="Times New Roman" w:hAnsi="Times New Roman"/>
          <w:sz w:val="20"/>
          <w:szCs w:val="20"/>
          <w:color w:val="auto"/>
        </w:rPr>
        <w:t>. At any time within thirty (30) days after the date of the Notice, the Corporation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and/or its assignee(s) may, by giving written notice to the Security Holder, elect to purchase all (or, with the consent of the Security Holder, less than all) of the Securities proposed to be transferred to any one or more of the Proposed Transferees named in the Notice, at the purchase price determined in accordance with subsection (b) below.</w:t>
      </w:r>
    </w:p>
    <w:p>
      <w:pPr>
        <w:spacing w:after="0" w:line="177"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8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Purchase Price</w:t>
      </w:r>
      <w:r>
        <w:rPr>
          <w:rFonts w:ascii="Times New Roman" w:cs="Times New Roman" w:eastAsia="Times New Roman" w:hAnsi="Times New Roman"/>
          <w:sz w:val="20"/>
          <w:szCs w:val="20"/>
          <w:color w:val="auto"/>
        </w:rPr>
        <w:t>. The purchase price for the Securities purchased under this Section 5.5 will be the Offered Price,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provided that if the Offered Price consists of no legal consideration (as, for example, in the case of a transfer by gift), the purchase price will be the fair market value of the Securities as determined in good faith by the Board. If the Offered Price includes consideration other than cash, then the value of the non-cash consideration, as determined in good faith by the Board, will conclusively be deemed to be the cash equivalent value of such non-cash consideration.</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6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w:t>
      </w:r>
      <w:r>
        <w:rPr>
          <w:rFonts w:ascii="Times New Roman" w:cs="Times New Roman" w:eastAsia="Times New Roman" w:hAnsi="Times New Roman"/>
          <w:sz w:val="20"/>
          <w:szCs w:val="20"/>
          <w:color w:val="auto"/>
        </w:rPr>
        <w:t>. Payment of the purchase price for the Securities will be payable, at the option of the Corporation and/or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assignee(s) (as applicable), by check or by cancellation of all or a portion of any outstanding indebtedness owed by the Security Holder to the Corporation (or to such assignee, in the case of a purchase of Offered Securities by such assignee) or by any combination thereof. The purchase price will be paid without interest within sixty (60) days after the Corporation’s receipt of the Notice, or, at the option of the Corporation and/or its assignee(s), in the manner and at the time(s) set forth in the Notice.</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5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Holder’s Right to Transfer</w:t>
      </w:r>
      <w:r>
        <w:rPr>
          <w:rFonts w:ascii="Times New Roman" w:cs="Times New Roman" w:eastAsia="Times New Roman" w:hAnsi="Times New Roman"/>
          <w:sz w:val="20"/>
          <w:szCs w:val="20"/>
          <w:color w:val="auto"/>
        </w:rPr>
        <w:t>. If the Securities proposed in the Notice to be transferred to a given Proposed Transferee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purchased by the Corporation and/or its assignee(s) as provided in this Section 5.5, then the Security Holder may Transfer such Offered Securities to each Proposed Transferee at the Offered Price or at a higher price, provided that (i) such Transfer is consummated within ninety (90) days after the date of the Notice, (ii) any such Transfer is effected in compliance with all applicable securities laws, and (iii) each Proposed Transferee agrees in writing that the provisions of this Section 5.5 will continue to apply to the Securities in the hands of such Proposed Transferee. If the Securities described in the Notice are not transferred to each Proposed Transferee within such ninety (90) day period, then a new Notice must be given to the Corporation, pursuant to which the Corporation will again be offered the Right of First Refusal before any Securities held by the Holder may be sold or otherwise transferred.</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0" w:lineRule="auto"/>
        <w:tabs>
          <w:tab w:leader="none" w:pos="182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Exempt Transfers</w:t>
      </w:r>
      <w:r>
        <w:rPr>
          <w:rFonts w:ascii="Times New Roman" w:cs="Times New Roman" w:eastAsia="Times New Roman" w:hAnsi="Times New Roman"/>
          <w:sz w:val="20"/>
          <w:szCs w:val="20"/>
          <w:color w:val="auto"/>
        </w:rPr>
        <w:t>. Notwithstanding anything to the contrary in this Section 5.5, Permitted Transfers (as defined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Section 5.4 above) will be exempt from the Right of First Refusal;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each transferee, assignee, or other recipient of any interest in the Security shall, as a condition to the transfer, agree to be bound by all of the restrictions set forth in these Bylaws.</w:t>
      </w:r>
    </w:p>
    <w:p>
      <w:pPr>
        <w:spacing w:after="0" w:line="16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5.5.2 The Right of First Refusal will terminate as to all securities of the Corporation immediately prior to the closing of any registered initial public offering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09" w:right="3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20"/>
          <w:szCs w:val="20"/>
          <w:b w:val="1"/>
          <w:bCs w:val="1"/>
          <w:color w:val="auto"/>
        </w:rPr>
        <w:t>ARTICLE VI: INDEMNIFICATION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u w:val="single" w:color="auto"/>
          <w:color w:val="auto"/>
        </w:rPr>
        <w:t>Section 6.1: Indemnification of Officers and Directors</w:t>
      </w:r>
      <w:r>
        <w:rPr>
          <w:rFonts w:ascii="Times New Roman" w:cs="Times New Roman" w:eastAsia="Times New Roman" w:hAnsi="Times New Roman"/>
          <w:sz w:val="20"/>
          <w:szCs w:val="20"/>
          <w:color w:val="auto"/>
        </w:rPr>
        <w:t>. Each person who was or is made a party to, or is threatened to be made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to, or is involved in any action, suit or proceeding, whether civil, criminal, administrative or investigative (a “</w:t>
      </w:r>
      <w:r>
        <w:rPr>
          <w:rFonts w:ascii="Times New Roman" w:cs="Times New Roman" w:eastAsia="Times New Roman" w:hAnsi="Times New Roman"/>
          <w:sz w:val="20"/>
          <w:szCs w:val="20"/>
          <w:b w:val="1"/>
          <w:bCs w:val="1"/>
          <w:i w:val="1"/>
          <w:iCs w:val="1"/>
          <w:color w:val="auto"/>
        </w:rPr>
        <w:t>Proceeding</w:t>
      </w:r>
      <w:r>
        <w:rPr>
          <w:rFonts w:ascii="Times New Roman" w:cs="Times New Roman" w:eastAsia="Times New Roman" w:hAnsi="Times New Roman"/>
          <w:sz w:val="20"/>
          <w:szCs w:val="20"/>
          <w:color w:val="auto"/>
        </w:rPr>
        <w:t>”), by reason of the fact that such person (or a person of whom such person is the legal representative), is or was a member of the Board or officer of the Corporation or a Reincorporated Predecessor (as defined below) or is or was serving at the request of the Corporation or a Reincorporated Predecessor as a member of the board of directors, officer or trustee of another corporation, or of a partnership, joint venture, trust or other enterprise, including service with respect to employee benefit plans (for purposes of this Article VI, an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shall be indemnified and held harmless by the Corporation to the fullest extent permitted by applicable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Times New Roman" w:cs="Times New Roman" w:eastAsia="Times New Roman" w:hAnsi="Times New Roman"/>
          <w:sz w:val="20"/>
          <w:szCs w:val="20"/>
          <w:b w:val="1"/>
          <w:bCs w:val="1"/>
          <w:i w:val="1"/>
          <w:iCs w:val="1"/>
          <w:color w:val="auto"/>
        </w:rPr>
        <w:t>Reincorporated Predecessor</w:t>
      </w:r>
      <w:r>
        <w:rPr>
          <w:rFonts w:ascii="Times New Roman" w:cs="Times New Roman" w:eastAsia="Times New Roman" w:hAnsi="Times New Roman"/>
          <w:sz w:val="20"/>
          <w:szCs w:val="20"/>
          <w:color w:val="auto"/>
        </w:rPr>
        <w:t>” means a corporation that is merged with and into the Corporation in a statutory merger where (a) the Corporation is the surviving corporation of such merger; (b) the primary purpose of such merger is to change the corporate domicile of the Reincorporated Predecessor to Delaware.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u w:val="single" w:color="auto"/>
          <w:color w:val="auto"/>
        </w:rPr>
        <w:t>Section 6.2: Advance of Expenses</w:t>
      </w:r>
      <w:r>
        <w:rPr>
          <w:rFonts w:ascii="Times New Roman" w:cs="Times New Roman" w:eastAsia="Times New Roman" w:hAnsi="Times New Roman"/>
          <w:sz w:val="20"/>
          <w:szCs w:val="20"/>
          <w:color w:val="auto"/>
        </w:rPr>
        <w:t>. The Corporation shall pay all expenses (including attorneys’ fees) incurred by such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Indemnitee in defending any such Proceeding as they are incurred in advance of its final disposition;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(a) if the DGCL then so requires, the payment of such expenses incurred by such an Indemnitee in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and (b) the Corporation shall not be required to advance any expenses to a person against whom the Corporation directly brings a claim, in a Proceeding, alleging that such person has breached such person’s duty of loyalty to the Corporation, committed an act or omission not in good faith or that involves intentional misconduct or a knowing violation of law, or derived an improper personal benefit from a transaction.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Section 6.3: Non-Exclusivity of Rights</w:t>
      </w:r>
      <w:r>
        <w:rPr>
          <w:rFonts w:ascii="Times New Roman" w:cs="Times New Roman" w:eastAsia="Times New Roman" w:hAnsi="Times New Roman"/>
          <w:sz w:val="20"/>
          <w:szCs w:val="20"/>
          <w:color w:val="auto"/>
        </w:rPr>
        <w:t>. The rights conferred on any person in this Article VI shall not be exclusive of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that such person may have or hereafter acquire under any statute, provision of the Certificate of Incorporation, Bylaw,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276" w:name="page277"/>
    <w:bookmarkEnd w:id="276"/>
    <w:p>
      <w:pPr>
        <w:jc w:val="both"/>
        <w:ind w:right="20" w:firstLine="648"/>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Section 6.4: Indemnification Contracts</w:t>
      </w:r>
      <w:r>
        <w:rPr>
          <w:rFonts w:ascii="Times New Roman" w:cs="Times New Roman" w:eastAsia="Times New Roman" w:hAnsi="Times New Roman"/>
          <w:sz w:val="20"/>
          <w:szCs w:val="20"/>
          <w:color w:val="auto"/>
        </w:rPr>
        <w:t>. The Board is authorized to cause the Corporation to enter into indemnification contracts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any director, officer, employee or agent of the Corporation, or any person serving at the request of the Corporation as a director, officer, employee or agent of another corporation, partnership, joint venture, trust or other enterprise, including employee benefit plans, providing indemnification or advancement rights to such person. Such rights may be greater than those provided in this Article VI.</w:t>
      </w:r>
    </w:p>
    <w:p>
      <w:pPr>
        <w:spacing w:after="0" w:line="16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Section 6.5: Right of Indemnitee to Bring Suit</w:t>
      </w:r>
      <w:r>
        <w:rPr>
          <w:rFonts w:ascii="Times New Roman" w:cs="Times New Roman" w:eastAsia="Times New Roman" w:hAnsi="Times New Roman"/>
          <w:sz w:val="20"/>
          <w:szCs w:val="20"/>
          <w:color w:val="auto"/>
        </w:rPr>
        <w:t>. The following shall apply to the extent not in conflict with any indemnification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 provided for in Section 6.4 above.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6.5.1</w:t>
      </w:r>
      <w:r>
        <w:rPr>
          <w:sz w:val="20"/>
          <w:szCs w:val="20"/>
          <w:color w:val="auto"/>
        </w:rPr>
        <w:tab/>
      </w:r>
      <w:r>
        <w:rPr>
          <w:rFonts w:ascii="Times New Roman" w:cs="Times New Roman" w:eastAsia="Times New Roman" w:hAnsi="Times New Roman"/>
          <w:sz w:val="20"/>
          <w:szCs w:val="20"/>
          <w:u w:val="single" w:color="auto"/>
          <w:color w:val="auto"/>
        </w:rPr>
        <w:t>Right to Bring Suit</w:t>
      </w:r>
      <w:r>
        <w:rPr>
          <w:rFonts w:ascii="Times New Roman" w:cs="Times New Roman" w:eastAsia="Times New Roman" w:hAnsi="Times New Roman"/>
          <w:sz w:val="20"/>
          <w:szCs w:val="20"/>
          <w:color w:val="auto"/>
        </w:rPr>
        <w:t>. If a claim under Section 6.1 or 6.2 of this Article VI is not paid in full by the Corporation within sixty</w:t>
      </w:r>
    </w:p>
    <w:p>
      <w:pPr>
        <w:spacing w:after="0" w:line="22" w:lineRule="exact"/>
        <w:rPr>
          <w:sz w:val="20"/>
          <w:szCs w:val="20"/>
          <w:color w:val="auto"/>
        </w:rPr>
      </w:pPr>
    </w:p>
    <w:p>
      <w:pPr>
        <w:jc w:val="both"/>
        <w:ind w:firstLine="8"/>
        <w:spacing w:after="0" w:line="263" w:lineRule="auto"/>
        <w:tabs>
          <w:tab w:leader="none" w:pos="38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6.5.2 </w:t>
      </w:r>
      <w:r>
        <w:rPr>
          <w:rFonts w:ascii="Times New Roman" w:cs="Times New Roman" w:eastAsia="Times New Roman" w:hAnsi="Times New Roman"/>
          <w:sz w:val="20"/>
          <w:szCs w:val="20"/>
          <w:u w:val="single" w:color="auto"/>
          <w:color w:val="auto"/>
        </w:rPr>
        <w:t>Effect of Determination</w:t>
      </w:r>
      <w:r>
        <w:rPr>
          <w:rFonts w:ascii="Times New Roman" w:cs="Times New Roman" w:eastAsia="Times New Roman" w:hAnsi="Times New Roman"/>
          <w:sz w:val="20"/>
          <w:szCs w:val="20"/>
          <w:color w:val="auto"/>
        </w:rPr>
        <w:t>.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6.5.3 </w:t>
      </w:r>
      <w:r>
        <w:rPr>
          <w:rFonts w:ascii="Times New Roman" w:cs="Times New Roman" w:eastAsia="Times New Roman" w:hAnsi="Times New Roman"/>
          <w:sz w:val="20"/>
          <w:szCs w:val="20"/>
          <w:u w:val="single" w:color="auto"/>
          <w:color w:val="auto"/>
        </w:rPr>
        <w:t>Burden of Proof</w:t>
      </w:r>
      <w:r>
        <w:rPr>
          <w:rFonts w:ascii="Times New Roman" w:cs="Times New Roman" w:eastAsia="Times New Roman" w:hAnsi="Times New Roman"/>
          <w:sz w:val="20"/>
          <w:szCs w:val="20"/>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Section 6.6: Nature of Rights</w:t>
      </w:r>
      <w:r>
        <w:rPr>
          <w:rFonts w:ascii="Times New Roman" w:cs="Times New Roman" w:eastAsia="Times New Roman" w:hAnsi="Times New Roman"/>
          <w:sz w:val="20"/>
          <w:szCs w:val="20"/>
          <w:color w:val="auto"/>
        </w:rPr>
        <w:t>. The rights conferred upon Indemnitees in this Article VI shall be contract rights and such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09"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20"/>
          <w:szCs w:val="20"/>
          <w:b w:val="1"/>
          <w:bCs w:val="1"/>
          <w:color w:val="auto"/>
        </w:rPr>
        <w:t>ARTICLE VII: NOTICES</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b w:val="1"/>
          <w:bCs w:val="1"/>
          <w:u w:val="single" w:color="auto"/>
          <w:color w:val="auto"/>
        </w:rPr>
        <w:t>Section 7.1:</w:t>
      </w:r>
      <w:r>
        <w:rPr>
          <w:sz w:val="20"/>
          <w:szCs w:val="20"/>
          <w:color w:val="auto"/>
        </w:rPr>
        <w:tab/>
      </w:r>
      <w:r>
        <w:rPr>
          <w:rFonts w:ascii="Times New Roman" w:cs="Times New Roman" w:eastAsia="Times New Roman" w:hAnsi="Times New Roman"/>
          <w:sz w:val="19"/>
          <w:szCs w:val="19"/>
          <w:b w:val="1"/>
          <w:bCs w:val="1"/>
          <w:u w:val="single" w:color="auto"/>
          <w:color w:val="auto"/>
        </w:rPr>
        <w:t>Notice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Form and Delivery</w:t>
      </w:r>
      <w:r>
        <w:rPr>
          <w:rFonts w:ascii="Times New Roman" w:cs="Times New Roman" w:eastAsia="Times New Roman" w:hAnsi="Times New Roman"/>
          <w:sz w:val="20"/>
          <w:szCs w:val="20"/>
          <w:color w:val="auto"/>
        </w:rPr>
        <w:t>. Except as otherwise specifically required in these Bylaws (including, without limitation, Section 7.1.2 below) or by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prepaid telegram, cablegram, overnight express courier, facsimile, electronic mail or other form of electronic transmission and (b) be effectively be delivered to a stockholder when given by hand delivery, by depositing such notice in the mail, postage prepaid or, if specifically consented to by the stockholder as described in Section 7.1.2 of this Article VII by sending such notice by telegram, cablegram,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telegram, cablegram, facsimile, electronic mail or other form of electronic transmission, when dispatched.</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Electronic Transmission</w:t>
      </w:r>
      <w:r>
        <w:rPr>
          <w:rFonts w:ascii="Times New Roman" w:cs="Times New Roman" w:eastAsia="Times New Roman" w:hAnsi="Times New Roman"/>
          <w:sz w:val="20"/>
          <w:szCs w:val="20"/>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Affidavit of Giving Notice</w:t>
      </w:r>
      <w:r>
        <w:rPr>
          <w:rFonts w:ascii="Times New Roman" w:cs="Times New Roman" w:eastAsia="Times New Roman" w:hAnsi="Times New Roman"/>
          <w:sz w:val="20"/>
          <w:szCs w:val="20"/>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Section 7.2: Waiver of Notice</w:t>
      </w:r>
      <w:r>
        <w:rPr>
          <w:rFonts w:ascii="Times New Roman" w:cs="Times New Roman" w:eastAsia="Times New Roman" w:hAnsi="Times New Roman"/>
          <w:sz w:val="20"/>
          <w:szCs w:val="20"/>
          <w:color w:val="auto"/>
        </w:rPr>
        <w:t>. Whenever notice is required to be given under any provision of the DGCL,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278" w:name="page279"/>
    <w:bookmarkEnd w:id="278"/>
    <w:p>
      <w:pPr>
        <w:jc w:val="both"/>
        <w:spacing w:after="0" w:line="283" w:lineRule="auto"/>
        <w:rPr>
          <w:sz w:val="20"/>
          <w:szCs w:val="20"/>
          <w:color w:val="auto"/>
        </w:rPr>
      </w:pPr>
      <w:r>
        <w:rPr>
          <w:rFonts w:ascii="Times New Roman" w:cs="Times New Roman" w:eastAsia="Times New Roman" w:hAnsi="Times New Roman"/>
          <w:sz w:val="20"/>
          <w:szCs w:val="20"/>
          <w:color w:val="auto"/>
        </w:rPr>
        <w:t>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 INTERESTED DIRECTORS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Section 8.1: Interested Directors</w:t>
      </w:r>
      <w:r>
        <w:rPr>
          <w:rFonts w:ascii="Times New Roman" w:cs="Times New Roman" w:eastAsia="Times New Roman" w:hAnsi="Times New Roman"/>
          <w:sz w:val="20"/>
          <w:szCs w:val="20"/>
          <w:color w:val="auto"/>
        </w:rPr>
        <w:t>. No contract or transaction between the Corporation and one or more of its members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Section 8.2: Quorum</w:t>
      </w:r>
      <w:r>
        <w:rPr>
          <w:rFonts w:ascii="Times New Roman" w:cs="Times New Roman" w:eastAsia="Times New Roman" w:hAnsi="Times New Roman"/>
          <w:sz w:val="20"/>
          <w:szCs w:val="20"/>
          <w:color w:val="auto"/>
        </w:rPr>
        <w:t>. Interested directors may be counted in determining the presence of a quorum at a meeting of the Board or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committee which authorizes the contract or transaction.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 MISCELLANEOUS</w:t>
      </w:r>
    </w:p>
    <w:p>
      <w:pPr>
        <w:spacing w:after="0" w:line="21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b w:val="1"/>
          <w:bCs w:val="1"/>
          <w:u w:val="single" w:color="auto"/>
          <w:color w:val="auto"/>
        </w:rPr>
        <w:t>Section 9.1:</w:t>
      </w:r>
      <w:r>
        <w:rPr>
          <w:sz w:val="20"/>
          <w:szCs w:val="20"/>
          <w:color w:val="auto"/>
        </w:rPr>
        <w:tab/>
      </w:r>
      <w:r>
        <w:rPr>
          <w:rFonts w:ascii="Times New Roman" w:cs="Times New Roman" w:eastAsia="Times New Roman" w:hAnsi="Times New Roman"/>
          <w:sz w:val="19"/>
          <w:szCs w:val="19"/>
          <w:b w:val="1"/>
          <w:bCs w:val="1"/>
          <w:u w:val="single" w:color="auto"/>
          <w:color w:val="auto"/>
        </w:rPr>
        <w:t>Fiscal Year</w:t>
      </w:r>
      <w:r>
        <w:rPr>
          <w:rFonts w:ascii="Times New Roman" w:cs="Times New Roman" w:eastAsia="Times New Roman" w:hAnsi="Times New Roman"/>
          <w:sz w:val="19"/>
          <w:szCs w:val="19"/>
          <w:color w:val="auto"/>
        </w:rPr>
        <w:t>. The fiscal year of the Corporation shall be determined by resolution of the Board.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9.2: Seal</w:t>
      </w:r>
      <w:r>
        <w:rPr>
          <w:rFonts w:ascii="Times New Roman" w:cs="Times New Roman" w:eastAsia="Times New Roman" w:hAnsi="Times New Roman"/>
          <w:sz w:val="20"/>
          <w:szCs w:val="20"/>
          <w:color w:val="auto"/>
        </w:rPr>
        <w:t>. The Board may provide for a corporate seal, which may have the name of the Corporation inscribed thereon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otherwise be in such form as may be approved from time to time by the Board.</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9.3: Form of Records</w:t>
      </w:r>
      <w:r>
        <w:rPr>
          <w:rFonts w:ascii="Times New Roman" w:cs="Times New Roman" w:eastAsia="Times New Roman" w:hAnsi="Times New Roman"/>
          <w:sz w:val="20"/>
          <w:szCs w:val="20"/>
          <w:color w:val="auto"/>
        </w:rPr>
        <w:t>. Any records maintained by the Corporation in the regular course of its business, including its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ledger, books of account and minute books, may be kept on or by means of, or be in the form of, diskettes, CDs, or any other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u w:val="single" w:color="auto"/>
          <w:color w:val="auto"/>
        </w:rPr>
        <w:t>Section 9.4: Reliance upon Books and Records</w:t>
      </w:r>
      <w:r>
        <w:rPr>
          <w:rFonts w:ascii="Times New Roman" w:cs="Times New Roman" w:eastAsia="Times New Roman" w:hAnsi="Times New Roman"/>
          <w:sz w:val="20"/>
          <w:szCs w:val="20"/>
          <w:color w:val="auto"/>
        </w:rPr>
        <w:t>. A member of the Board, or a member of any committee designated by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79" w:name="page280"/>
    <w:bookmarkEnd w:id="279"/>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Section 9.5: Certificate of Incorporation Governs</w:t>
      </w:r>
      <w:r>
        <w:rPr>
          <w:rFonts w:ascii="Times New Roman" w:cs="Times New Roman" w:eastAsia="Times New Roman" w:hAnsi="Times New Roman"/>
          <w:sz w:val="20"/>
          <w:szCs w:val="20"/>
          <w:color w:val="auto"/>
        </w:rPr>
        <w:t>. In the event of any conflict between the provisions of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Incorporation and Bylaws, the provisions of the Certificate of Incorporation shall govern.</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u w:val="single" w:color="auto"/>
          <w:color w:val="auto"/>
        </w:rPr>
        <w:t>Section 9.6: Severability</w:t>
      </w:r>
      <w:r>
        <w:rPr>
          <w:rFonts w:ascii="Times New Roman" w:cs="Times New Roman" w:eastAsia="Times New Roman" w:hAnsi="Times New Roman"/>
          <w:sz w:val="20"/>
          <w:szCs w:val="20"/>
          <w:color w:val="auto"/>
        </w:rPr>
        <w:t>. If any provision of these Bylaws shall be held to be invalid, illegal, unenforceable or in conflict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 AMENDMENT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Unless otherwise required by the Certificate of Incorporation, stockholders of the Corporation holding at least a majority of the voting power of the Corporation’s outstanding voting stock then entitled to vote at an election of directors shall have the power to adopt, amend or repeal Bylaws. To the extent provided in the Certificate of Incorporation, the Board shall also have the power to adopt, amend or repeal Bylaws of the Corporation.</w:t>
      </w:r>
    </w:p>
    <w:p>
      <w:pPr>
        <w:spacing w:after="0" w:line="1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TRIPACTIONS,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INVESTORS’ RIGHTS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This Amended and Restated Investors’ Rights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as of July 28, 2022 by and among TripActions,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and each of the investors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each of which is referred to in this Agreement as an “</w:t>
      </w:r>
      <w:r>
        <w:rPr>
          <w:rFonts w:ascii="Times New Roman" w:cs="Times New Roman" w:eastAsia="Times New Roman" w:hAnsi="Times New Roman"/>
          <w:sz w:val="20"/>
          <w:szCs w:val="20"/>
          <w:b w:val="1"/>
          <w:bCs w:val="1"/>
          <w:i w:val="1"/>
          <w:iCs w:val="1"/>
          <w:color w:val="auto"/>
        </w:rPr>
        <w:t>Investor</w:t>
      </w:r>
      <w:r>
        <w:rPr>
          <w:rFonts w:ascii="Times New Roman" w:cs="Times New Roman" w:eastAsia="Times New Roman" w:hAnsi="Times New Roman"/>
          <w:sz w:val="20"/>
          <w:szCs w:val="20"/>
          <w:color w:val="auto"/>
        </w:rPr>
        <w:t>,” any Additional Purchaser (as defined in the Purchase Agreement) or Investor (as defined in the Convertible Securities Purchase Agreement) that becomes a party to this Agreement in accordance with Section 7.15 hereof.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and certain of the Investors are parties to that certain Series G Preferred Stock Purchase Agreement dated June 8, 2022 (as amended from time to time, the “Purchase Agreement”);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Company and certain of the Investors are parties to the Amended and Restated Investors’ Rights Agreement dated as of October 12, 2021, by and among the Company and the other parties thereto (the “</w:t>
      </w:r>
      <w:r>
        <w:rPr>
          <w:rFonts w:ascii="Times New Roman" w:cs="Times New Roman" w:eastAsia="Times New Roman" w:hAnsi="Times New Roman"/>
          <w:sz w:val="20"/>
          <w:szCs w:val="20"/>
          <w:b w:val="1"/>
          <w:bCs w:val="1"/>
          <w:i w:val="1"/>
          <w:iCs w:val="1"/>
          <w:color w:val="auto"/>
        </w:rPr>
        <w:t>Prior Agreement</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Section 7.6 of the Prior Agreement, the written consent of the Company, the holders of a majority of the Registrable Securities then outstanding and held by the Major Investors, and the holders of a majority of the Registrable Securities then outstanding, is required to amend the Prior Agreement;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in order to induce the Company to enter into the Purchase Agreement and to induce the Investors to invest funds in the Company pursuant to the Purchase Agreement, the requisite Investors and the Company hereby amend and restate the Prior Agreement and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 and</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certain parties to the Prior Agreement desire to amend and restate the Prior Agreement and accept the rights and covenants hereof in lieu of their rights and covenants under the Prior Agreement.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recitals and the mutual promises hereinafter set forth, the parties hereto hereby agree as follows:</w:t>
      </w:r>
    </w:p>
    <w:p>
      <w:pPr>
        <w:spacing w:after="0" w:line="142" w:lineRule="exact"/>
        <w:rPr>
          <w:sz w:val="20"/>
          <w:szCs w:val="20"/>
          <w:color w:val="auto"/>
        </w:rPr>
      </w:pPr>
    </w:p>
    <w:p>
      <w:pPr>
        <w:ind w:left="1000" w:hanging="344"/>
        <w:spacing w:after="0"/>
        <w:tabs>
          <w:tab w:leader="none" w:pos="100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any specified Person, any other Person who or which, directly or indirectly, controls, is controlled by, or is under common control with such Person, including, without limitation, any general partner, managing member or partner, officer or director of such Person or any venture capital, private equity or similar investment fund now or hereafter existing that is controlled by one or more general partners or managing members of, or shares the same management company with, such Person. For purposes of this definition, the terms “</w:t>
      </w:r>
      <w:r>
        <w:rPr>
          <w:rFonts w:ascii="Times New Roman" w:cs="Times New Roman" w:eastAsia="Times New Roman" w:hAnsi="Times New Roman"/>
          <w:sz w:val="20"/>
          <w:szCs w:val="20"/>
          <w:b w:val="1"/>
          <w:bCs w:val="1"/>
          <w:i w:val="1"/>
          <w:iCs w:val="1"/>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controlled by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under common control with</w:t>
      </w:r>
      <w:r>
        <w:rPr>
          <w:rFonts w:ascii="Times New Roman" w:cs="Times New Roman" w:eastAsia="Times New Roman" w:hAnsi="Times New Roman"/>
          <w:sz w:val="20"/>
          <w:szCs w:val="20"/>
          <w:color w:val="auto"/>
        </w:rPr>
        <w:t>” shall mean the possession, directly or indirectly, of (a) the power to direct or cause the</w:t>
      </w:r>
    </w:p>
    <w:p>
      <w:pPr>
        <w:sectPr>
          <w:pgSz w:w="11900" w:h="16838" w:orient="portrait"/>
          <w:cols w:equalWidth="0" w:num="1">
            <w:col w:w="11240"/>
          </w:cols>
          <w:pgMar w:left="320" w:top="117" w:right="339" w:bottom="1440" w:gutter="0" w:footer="0" w:header="0"/>
        </w:sectPr>
      </w:pPr>
    </w:p>
    <w:bookmarkStart w:id="281" w:name="page282"/>
    <w:bookmarkEnd w:id="281"/>
    <w:p>
      <w:pPr>
        <w:jc w:val="both"/>
        <w:spacing w:after="0" w:line="261" w:lineRule="auto"/>
        <w:rPr>
          <w:sz w:val="20"/>
          <w:szCs w:val="20"/>
          <w:color w:val="auto"/>
        </w:rPr>
      </w:pPr>
      <w:r>
        <w:rPr>
          <w:rFonts w:ascii="Times New Roman" w:cs="Times New Roman" w:eastAsia="Times New Roman" w:hAnsi="Times New Roman"/>
          <w:sz w:val="20"/>
          <w:szCs w:val="20"/>
          <w:color w:val="auto"/>
        </w:rPr>
        <w:t>direction of the management and policies of a Person, whether through the ownership of voting securities, by contract, or otherwise, or (b) the power to elect or appoint at least 50% of the directors, managers, general partners, or persons exercising similar authority with respect to such Person.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Automatic Shelf Registration Statement</w:t>
      </w:r>
      <w:r>
        <w:rPr>
          <w:rFonts w:ascii="Times New Roman" w:cs="Times New Roman" w:eastAsia="Times New Roman" w:hAnsi="Times New Roman"/>
          <w:sz w:val="20"/>
          <w:szCs w:val="20"/>
          <w:color w:val="auto"/>
        </w:rPr>
        <w:t>” shall have the meaning given to that term in SEC Rule 405.</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 weekday on which banks are open for general banking business in San Francisco, California.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Company’s 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shares of the Company’s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Convertible Security</w:t>
      </w:r>
      <w:r>
        <w:rPr>
          <w:rFonts w:ascii="Times New Roman" w:cs="Times New Roman" w:eastAsia="Times New Roman" w:hAnsi="Times New Roman"/>
          <w:sz w:val="20"/>
          <w:szCs w:val="20"/>
          <w:color w:val="auto"/>
        </w:rPr>
        <w:t>” means a “Convertible Security” issued pursuant to that certain Convertible Securities Purchase Agreement dated as of June 1, 2020, by and among the Company and the Investors (as defined therein) (the “</w:t>
      </w:r>
      <w:r>
        <w:rPr>
          <w:rFonts w:ascii="Times New Roman" w:cs="Times New Roman" w:eastAsia="Times New Roman" w:hAnsi="Times New Roman"/>
          <w:sz w:val="20"/>
          <w:szCs w:val="20"/>
          <w:b w:val="1"/>
          <w:bCs w:val="1"/>
          <w:i w:val="1"/>
          <w:iCs w:val="1"/>
          <w:color w:val="auto"/>
        </w:rPr>
        <w:t>Convertible Securities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Damages</w:t>
      </w:r>
      <w:r>
        <w:rPr>
          <w:rFonts w:ascii="Times New Roman" w:cs="Times New Roman" w:eastAsia="Times New Roman" w:hAnsi="Times New Roman"/>
          <w:sz w:val="20"/>
          <w:szCs w:val="20"/>
          <w:color w:val="auto"/>
        </w:rPr>
        <w:t>” means any loss, damage, or liability (joint or several) to which a party hereto may become subject under the Securities Act, the Exchange Act, or other federal or state law, insofar as such loss, damage, or liability (or any action in respect thereof) arises out of or is based upon (a) any untrue statement or alleged untrue statement of a material fact contained in any registration statement of the Company, including any preliminary prospectus or final prospectus contained therein or any amendments or supplements thereto, and any free-writing prospectus and any issuer information (as defined in Rule 433 of the Securities Act) filed or required to be filed pursuant to Rule 433(d) under the Securities Act or any other document incident to such registration prepared by or on behalf of the Company or used or referred to by the Company;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Demand Notice</w:t>
      </w:r>
      <w:r>
        <w:rPr>
          <w:rFonts w:ascii="Times New Roman" w:cs="Times New Roman" w:eastAsia="Times New Roman" w:hAnsi="Times New Roman"/>
          <w:sz w:val="20"/>
          <w:szCs w:val="20"/>
          <w:color w:val="auto"/>
        </w:rPr>
        <w:t>” means notice sent by the Company to the Holders specifying that a demand registration has been requested as provided in Section 3.1.1.</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Derivative Securities</w:t>
      </w:r>
      <w:r>
        <w:rPr>
          <w:rFonts w:ascii="Times New Roman" w:cs="Times New Roman" w:eastAsia="Times New Roman" w:hAnsi="Times New Roman"/>
          <w:sz w:val="20"/>
          <w:szCs w:val="20"/>
          <w:color w:val="auto"/>
        </w:rPr>
        <w:t>” means any securities or rights convertible into, or exercisable or exchangeable for (in each case, directly or indirectly), Common Stock, including options, warrants, and the Convertible Securities.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Deemed Liquidation Event</w:t>
      </w:r>
      <w:r>
        <w:rPr>
          <w:rFonts w:ascii="Times New Roman" w:cs="Times New Roman" w:eastAsia="Times New Roman" w:hAnsi="Times New Roman"/>
          <w:sz w:val="20"/>
          <w:szCs w:val="20"/>
          <w:color w:val="auto"/>
        </w:rPr>
        <w:t>” has the meaning set forth for such term in the certificate of incorporation of the Company most recently filed with the Delaware Secretary of State that contains such a definition, whether or not the holders of outstanding shares of Preferred Stock elect otherwise by written notice sent to the Company as provided in such definition.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282" w:name="page283"/>
    <w:bookmarkEnd w:id="282"/>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Registration</w:t>
      </w:r>
      <w:r>
        <w:rPr>
          <w:rFonts w:ascii="Times New Roman" w:cs="Times New Roman" w:eastAsia="Times New Roman" w:hAnsi="Times New Roman"/>
          <w:sz w:val="20"/>
          <w:szCs w:val="20"/>
          <w:color w:val="auto"/>
        </w:rPr>
        <w:t>” means (a) a registration relating to the sale of securities to employees of the Company or a subsidiary pursuant to an equity incentive, stock option, stock purchase, or similar plan; (b) a registration relating to an SEC Rule 145 transaction; (c) a registration on any form that does not include substantially the same information as would be required to be included in a registration statement covering the sale of the Registrable Securities; or (d) a registration in which the only Common Stock being registered is Common Stock issuable upon conversion of debt securities that are also being registered.</w:t>
      </w:r>
    </w:p>
    <w:p>
      <w:pPr>
        <w:spacing w:after="0" w:line="1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S-1</w:t>
      </w:r>
      <w:r>
        <w:rPr>
          <w:rFonts w:ascii="Times New Roman" w:cs="Times New Roman" w:eastAsia="Times New Roman" w:hAnsi="Times New Roman"/>
          <w:sz w:val="20"/>
          <w:szCs w:val="20"/>
          <w:color w:val="auto"/>
        </w:rPr>
        <w:t>” means such form under the Securities Act as in effect on the date hereof or any successor registration form under the Securities Act subsequently adopted by the SEC.</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S-3</w:t>
      </w:r>
      <w:r>
        <w:rPr>
          <w:rFonts w:ascii="Times New Roman" w:cs="Times New Roman" w:eastAsia="Times New Roman" w:hAnsi="Times New Roman"/>
          <w:sz w:val="20"/>
          <w:szCs w:val="20"/>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Free Writing Prospectus</w:t>
      </w:r>
      <w:r>
        <w:rPr>
          <w:rFonts w:ascii="Times New Roman" w:cs="Times New Roman" w:eastAsia="Times New Roman" w:hAnsi="Times New Roman"/>
          <w:sz w:val="20"/>
          <w:szCs w:val="20"/>
          <w:color w:val="auto"/>
        </w:rPr>
        <w:t>” means a free-writing prospectus, as defined in Rule 405 under the Securities 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Fully Exercising Investor</w:t>
      </w:r>
      <w:r>
        <w:rPr>
          <w:rFonts w:ascii="Times New Roman" w:cs="Times New Roman" w:eastAsia="Times New Roman" w:hAnsi="Times New Roman"/>
          <w:sz w:val="20"/>
          <w:szCs w:val="20"/>
          <w:color w:val="auto"/>
        </w:rPr>
        <w:t>” shall have the meaning set forth in Section 4.2.</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 Investor</w:t>
      </w:r>
      <w:r>
        <w:rPr>
          <w:rFonts w:ascii="Times New Roman" w:cs="Times New Roman" w:eastAsia="Times New Roman" w:hAnsi="Times New Roman"/>
          <w:sz w:val="20"/>
          <w:szCs w:val="20"/>
          <w:color w:val="auto"/>
        </w:rPr>
        <w:t>” means each of the following entities, as long as such entity is a Major Investor: (i) Zeev 2008 Children’s Trust, Zeev Ventures II, LP, and Zeev Ventures II-A, LP, (ii) Lightspeed Venture Partners X, L.P., Lightspeed Affiliates X, L.P, Lightspeed Venture Partners Select II, L.P., and Lightspeed Venture Partners Select III, L.P., (iii) Andreessen Horowitz Fund V, L.P., as nominee, AH Parallel Fund V, L.P., as nominee, Andreessen Horowitz LSV Fund I, L.P., as nominee, Andreessen Horowitz LSV Fund II, L.P., as nominee, and Andreessen Horowitz LSV Fund III, L.P., for itself and as nominee, (iv) Greenoaks Capital Opportunities Fund III LP, Greenoaks Capital MS LP – Archie Goodwin Series and JDC Enterprises LTD., (v) Addition Two, L.P., (vi) Cosmic Capital Bet, LP and Cosmic 20202, L.P., and (vii) TPISV, LLC (together with its Affiliates “</w:t>
      </w:r>
      <w:r>
        <w:rPr>
          <w:rFonts w:ascii="Times New Roman" w:cs="Times New Roman" w:eastAsia="Times New Roman" w:hAnsi="Times New Roman"/>
          <w:sz w:val="20"/>
          <w:szCs w:val="20"/>
          <w:b w:val="1"/>
          <w:bCs w:val="1"/>
          <w:i w:val="1"/>
          <w:iCs w:val="1"/>
          <w:color w:val="auto"/>
        </w:rPr>
        <w:t>TPISV</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generally accepted accounting principles in the United States.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means any holder of Registrable Securities who is a party to this Agreement.</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Immediate Family Member</w:t>
      </w:r>
      <w:r>
        <w:rPr>
          <w:rFonts w:ascii="Times New Roman" w:cs="Times New Roman" w:eastAsia="Times New Roman" w:hAnsi="Times New Roman"/>
          <w:sz w:val="20"/>
          <w:szCs w:val="20"/>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Initiating Holders</w:t>
      </w:r>
      <w:r>
        <w:rPr>
          <w:rFonts w:ascii="Times New Roman" w:cs="Times New Roman" w:eastAsia="Times New Roman" w:hAnsi="Times New Roman"/>
          <w:sz w:val="20"/>
          <w:szCs w:val="20"/>
          <w:color w:val="auto"/>
        </w:rPr>
        <w:t>” means, collectively, Holders who properly initiate a registration request under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Investor Notice</w:t>
      </w:r>
      <w:r>
        <w:rPr>
          <w:rFonts w:ascii="Times New Roman" w:cs="Times New Roman" w:eastAsia="Times New Roman" w:hAnsi="Times New Roman"/>
          <w:sz w:val="20"/>
          <w:szCs w:val="20"/>
          <w:color w:val="auto"/>
        </w:rPr>
        <w:t>” shall have the meaning set forth in Section 4.2.</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IPO</w:t>
      </w:r>
      <w:r>
        <w:rPr>
          <w:rFonts w:ascii="Times New Roman" w:cs="Times New Roman" w:eastAsia="Times New Roman" w:hAnsi="Times New Roman"/>
          <w:sz w:val="20"/>
          <w:szCs w:val="20"/>
          <w:color w:val="auto"/>
        </w:rPr>
        <w:t>” means the Company’s first underwritten public offering of its Common Stock under the Securities Act.</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Major Investor</w:t>
      </w:r>
      <w:r>
        <w:rPr>
          <w:rFonts w:ascii="Times New Roman" w:cs="Times New Roman" w:eastAsia="Times New Roman" w:hAnsi="Times New Roman"/>
          <w:sz w:val="20"/>
          <w:szCs w:val="20"/>
          <w:color w:val="auto"/>
        </w:rPr>
        <w:t>” means any Investor that, individually or together with such Investor’s Affiliates, holds (i) at least 15,680,000 shares of Registrable Securities (as adjusted for any stock split, stock dividend, combination, or other recapitalization or reclassification effected after the date hereof) or (ii) Convertible Securities of more than $52,500,000 in aggregate Initial Investment Amount (as defined in the Convertible Securities). Notwithstanding the foregoing, (a) Base Growth III, LLC (together with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283" w:name="page284"/>
    <w:bookmarkEnd w:id="283"/>
    <w:p>
      <w:pPr>
        <w:jc w:val="both"/>
        <w:spacing w:after="0" w:line="263" w:lineRule="auto"/>
        <w:rPr>
          <w:sz w:val="20"/>
          <w:szCs w:val="20"/>
          <w:color w:val="auto"/>
        </w:rPr>
      </w:pPr>
      <w:r>
        <w:rPr>
          <w:rFonts w:ascii="Times New Roman" w:cs="Times New Roman" w:eastAsia="Times New Roman" w:hAnsi="Times New Roman"/>
          <w:sz w:val="20"/>
          <w:szCs w:val="20"/>
          <w:color w:val="auto"/>
        </w:rPr>
        <w:t>Affiliates, “</w:t>
      </w:r>
      <w:r>
        <w:rPr>
          <w:rFonts w:ascii="Times New Roman" w:cs="Times New Roman" w:eastAsia="Times New Roman" w:hAnsi="Times New Roman"/>
          <w:sz w:val="20"/>
          <w:szCs w:val="20"/>
          <w:b w:val="1"/>
          <w:bCs w:val="1"/>
          <w:i w:val="1"/>
          <w:iCs w:val="1"/>
          <w:color w:val="auto"/>
        </w:rPr>
        <w:t>Base</w:t>
      </w:r>
      <w:r>
        <w:rPr>
          <w:rFonts w:ascii="Times New Roman" w:cs="Times New Roman" w:eastAsia="Times New Roman" w:hAnsi="Times New Roman"/>
          <w:sz w:val="20"/>
          <w:szCs w:val="20"/>
          <w:color w:val="auto"/>
        </w:rPr>
        <w:t>”), shall be deemed a Major Investor for the purposes of this Agreement for so long as Base owns at least 4,088,754 shares of Registrable Securities, and (b) TPISV shall be deemed a Major Investor for the purposes of this Agreement for so long as TPISV owns at least 2,002,740 shares of Registrable Securities.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New Securities</w:t>
      </w:r>
      <w:r>
        <w:rPr>
          <w:rFonts w:ascii="Times New Roman" w:cs="Times New Roman" w:eastAsia="Times New Roman" w:hAnsi="Times New Roman"/>
          <w:sz w:val="20"/>
          <w:szCs w:val="20"/>
          <w:color w:val="auto"/>
        </w:rPr>
        <w:t>” means, collectively, equity securities of the Company, whether or not currently authorized, Derivative Securities and any rights, options, or warrants to purchase such equity securities, or securities of any type whatsoever that are, or may become,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convertible or exchangeable into or exercisable for (in each case, directly or indirectly) such equity securities;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that “New Securities shall exclude: (a) Exempted Securities (as defined in the Restated Certificate); (b) shares of Common Stock issued in the IPO; (c) shares of Series G Preferred Stock and/or Series G-1 Preferred Stock issued to Additional Purchasers pursuant to Section 1.3 of the Purchase Agreement; and (d) Convertible Securities.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 Notice</w:t>
      </w:r>
      <w:r>
        <w:rPr>
          <w:rFonts w:ascii="Times New Roman" w:cs="Times New Roman" w:eastAsia="Times New Roman" w:hAnsi="Times New Roman"/>
          <w:sz w:val="20"/>
          <w:szCs w:val="20"/>
          <w:color w:val="auto"/>
        </w:rPr>
        <w:t>” shall have the meaning set forth in Section 4.1.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individual, corporation, partnership, trust, limited liability company, association or other entity.</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Director</w:t>
      </w:r>
      <w:r>
        <w:rPr>
          <w:rFonts w:ascii="Times New Roman" w:cs="Times New Roman" w:eastAsia="Times New Roman" w:hAnsi="Times New Roman"/>
          <w:sz w:val="20"/>
          <w:szCs w:val="20"/>
          <w:color w:val="auto"/>
        </w:rPr>
        <w:t>” means any director of the Company that the holders of record of a class, classes or series of Preferred Stock are entitled to elect, exclusively and as a separate class, pursuant to the Restated Certificate.</w:t>
      </w:r>
    </w:p>
    <w:p>
      <w:pPr>
        <w:spacing w:after="0" w:line="16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Preferred Stock</w:t>
      </w:r>
      <w:r>
        <w:rPr>
          <w:rFonts w:ascii="Times New Roman" w:cs="Times New Roman" w:eastAsia="Times New Roman" w:hAnsi="Times New Roman"/>
          <w:sz w:val="19"/>
          <w:szCs w:val="19"/>
          <w:color w:val="auto"/>
        </w:rPr>
        <w:t>” means shares of (i) the Company’s Series Seed Preferred Stock, (ii) the Company’s Series A Preferred Stock, (iii) the Company’s Series A-1 Preferred Stock, (iv) the Company’s Series B Preferred Stock, (v) the Company’s Series C Preferred Stock, (vi) the Company’s Series C-1 Preferred Stock, (vii) the Company’s Series D Preferred Stock, (viii) the Company’s Series E Preferred Stock, (ix) the Company’s Series F Preferred Stock, (x) the Company’s Series G Preferred Stock and (xi) the Company’s Series G-1 Preferred Stock.</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Rata Amount</w:t>
      </w:r>
      <w:r>
        <w:rPr>
          <w:rFonts w:ascii="Times New Roman" w:cs="Times New Roman" w:eastAsia="Times New Roman" w:hAnsi="Times New Roman"/>
          <w:sz w:val="20"/>
          <w:szCs w:val="20"/>
          <w:color w:val="auto"/>
        </w:rPr>
        <w:t>” means, for each Major Investor, that portion of the New Securities identified in an Offer Notice which equals the proportion that the Common Stock then held by such Major Investor (including Common Stock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 provided that for purposes of determining “Pro Rata Amount” at any relevant measurement date, it shall be deemed that the Convertible Securities have been converted pursuant to their terms into Preferred Stock pursuant to an End Date Conversion (as defined in the Convertible Securities) as if the End Date (as defined in the Convertible Securities) is as of the applicable measurement date and, for the avoidance of doubt, using the yield and Discount Factor (as defined in the Convertible Securities) that would be used assuming the End Date is as of the applicable measurement date.</w:t>
      </w:r>
    </w:p>
    <w:p>
      <w:pPr>
        <w:spacing w:after="0" w:line="1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Registrable Securities</w:t>
      </w:r>
      <w:r>
        <w:rPr>
          <w:rFonts w:ascii="Times New Roman" w:cs="Times New Roman" w:eastAsia="Times New Roman" w:hAnsi="Times New Roman"/>
          <w:sz w:val="20"/>
          <w:szCs w:val="20"/>
          <w:color w:val="auto"/>
        </w:rPr>
        <w:t>” means (a) the Common Stock issuable or issued upon conversion of shares of the Preferred Stock held by the Investors, (b) any Common Stock issued upon conversion of Convertible Securities held by the Investors, (c) any Common Stock, or any Common Stock issued or issuable (directly or indirectly) upon conversion and/or exercise of any other securities of the Company, acquired by the Investors, (d) any Common Stock issuable upon conversion of Preferred Stock issuable upon conversion of the Convertible Securities pursuant to an End Date Conversion held by the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284" w:name="page285"/>
    <w:bookmarkEnd w:id="284"/>
    <w:p>
      <w:pPr>
        <w:jc w:val="both"/>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Conversion Shares</w:t>
      </w:r>
      <w:r>
        <w:rPr>
          <w:rFonts w:ascii="Times New Roman" w:cs="Times New Roman" w:eastAsia="Times New Roman" w:hAnsi="Times New Roman"/>
          <w:sz w:val="20"/>
          <w:szCs w:val="20"/>
          <w:color w:val="auto"/>
        </w:rPr>
        <w:t>”); provided that for purposes of determining the number of Conversion Shares at any relevant measurement date, it shall be deemed that the Convertible Securities have been converted pursuant to their terms into Preferred Stock pursuant to an End Date Conversion as if the End Date is as of the applicable measurement date and, for the avoidance of doubt, using the yield and Discount Factor that would be used assuming the End Date is as of the applicable measurement date, and (e) any Common Stock issued as (or issuable upon the conversion or exercise of any warrant, right, or other security that is issued as) a dividend or other distribution with respect to, or in exchange for or in replacement of, the shares referenced in clauses (a) through (d) above; excluding in all cases, however, any Registrable Securities sold by a Person in a transaction in which the applicable rights under this Agreement are not assigned pursuant to Section 7.1, and excluding for purposes of Section 3 any shares for which registration rights have terminated pursuant to Section 6.2 of this Agreement. Notwithstanding the foregoing, the Company shall in no event be obligated to register any Preferred Stock or Convertible Securities of the Company, and Holders of Registrable Securities will not be required to convert their Preferred Stock or Convertible Securities into Common Stock in order to exercise the registration rights granted hereunder, until immediately before the closing of the offering to which the registration relates.</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Registrable Securities then outstanding</w:t>
      </w:r>
      <w:r>
        <w:rPr>
          <w:rFonts w:ascii="Times New Roman" w:cs="Times New Roman" w:eastAsia="Times New Roman" w:hAnsi="Times New Roman"/>
          <w:sz w:val="20"/>
          <w:szCs w:val="20"/>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Restated Certificate</w:t>
      </w:r>
      <w:r>
        <w:rPr>
          <w:rFonts w:ascii="Times New Roman" w:cs="Times New Roman" w:eastAsia="Times New Roman" w:hAnsi="Times New Roman"/>
          <w:sz w:val="20"/>
          <w:szCs w:val="20"/>
          <w:color w:val="auto"/>
        </w:rPr>
        <w:t>” means the Company’s Amended and Restated Certificate of Incorporation (as may be amended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Securities</w:t>
      </w:r>
      <w:r>
        <w:rPr>
          <w:rFonts w:ascii="Times New Roman" w:cs="Times New Roman" w:eastAsia="Times New Roman" w:hAnsi="Times New Roman"/>
          <w:sz w:val="20"/>
          <w:szCs w:val="20"/>
          <w:color w:val="auto"/>
        </w:rPr>
        <w:t>” means the securities of the Company required to bear the legend set forth in Section 3.12.2 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Securities and Exchange Commission.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 Rule 144</w:t>
      </w:r>
      <w:r>
        <w:rPr>
          <w:rFonts w:ascii="Times New Roman" w:cs="Times New Roman" w:eastAsia="Times New Roman" w:hAnsi="Times New Roman"/>
          <w:sz w:val="20"/>
          <w:szCs w:val="20"/>
          <w:color w:val="auto"/>
        </w:rPr>
        <w:t>” means Rule 144 promulgated by the SEC under the Securities 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 Rule 145</w:t>
      </w:r>
      <w:r>
        <w:rPr>
          <w:rFonts w:ascii="Times New Roman" w:cs="Times New Roman" w:eastAsia="Times New Roman" w:hAnsi="Times New Roman"/>
          <w:sz w:val="20"/>
          <w:szCs w:val="20"/>
          <w:color w:val="auto"/>
        </w:rPr>
        <w:t>” means Rule 145 promulgated by the SEC under the Securities Act.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 Rule 405</w:t>
      </w:r>
      <w:r>
        <w:rPr>
          <w:rFonts w:ascii="Times New Roman" w:cs="Times New Roman" w:eastAsia="Times New Roman" w:hAnsi="Times New Roman"/>
          <w:sz w:val="20"/>
          <w:szCs w:val="20"/>
          <w:color w:val="auto"/>
        </w:rPr>
        <w:t>” means Rule 405 promulgated by the SEC under the Securities 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Selling Expenses</w:t>
      </w:r>
      <w:r>
        <w:rPr>
          <w:rFonts w:ascii="Times New Roman" w:cs="Times New Roman" w:eastAsia="Times New Roman" w:hAnsi="Times New Roman"/>
          <w:sz w:val="20"/>
          <w:szCs w:val="20"/>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Section 3.6.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Selling Holder Counsel</w:t>
      </w:r>
      <w:r>
        <w:rPr>
          <w:rFonts w:ascii="Times New Roman" w:cs="Times New Roman" w:eastAsia="Times New Roman" w:hAnsi="Times New Roman"/>
          <w:sz w:val="20"/>
          <w:szCs w:val="20"/>
          <w:color w:val="auto"/>
        </w:rPr>
        <w:t>” means one counsel for the selling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A Preferred Stock</w:t>
      </w:r>
      <w:r>
        <w:rPr>
          <w:rFonts w:ascii="Times New Roman" w:cs="Times New Roman" w:eastAsia="Times New Roman" w:hAnsi="Times New Roman"/>
          <w:sz w:val="20"/>
          <w:szCs w:val="20"/>
          <w:color w:val="auto"/>
        </w:rPr>
        <w:t>” means shares of the Company’s Series A Preferred Stock, par value $0.00000625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A-1 Preferred Stock</w:t>
      </w:r>
      <w:r>
        <w:rPr>
          <w:rFonts w:ascii="Times New Roman" w:cs="Times New Roman" w:eastAsia="Times New Roman" w:hAnsi="Times New Roman"/>
          <w:sz w:val="20"/>
          <w:szCs w:val="20"/>
          <w:color w:val="auto"/>
        </w:rPr>
        <w:t>” means shares of the Company’s Series A-1 Preferred Stock, par value $0.00000625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285" w:name="page286"/>
    <w:bookmarkEnd w:id="28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B Preferred Stock</w:t>
      </w:r>
      <w:r>
        <w:rPr>
          <w:rFonts w:ascii="Times New Roman" w:cs="Times New Roman" w:eastAsia="Times New Roman" w:hAnsi="Times New Roman"/>
          <w:sz w:val="20"/>
          <w:szCs w:val="20"/>
          <w:color w:val="auto"/>
        </w:rPr>
        <w:t>” means shares of the Company’s Series B Preferred Stock, par value $0.00000625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C Preferred Stock</w:t>
      </w:r>
      <w:r>
        <w:rPr>
          <w:rFonts w:ascii="Times New Roman" w:cs="Times New Roman" w:eastAsia="Times New Roman" w:hAnsi="Times New Roman"/>
          <w:sz w:val="20"/>
          <w:szCs w:val="20"/>
          <w:color w:val="auto"/>
        </w:rPr>
        <w:t>” means shares of the Company’s Series C Preferred Stock, par value $0.00000625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C-1 Preferred Stock</w:t>
      </w:r>
      <w:r>
        <w:rPr>
          <w:rFonts w:ascii="Times New Roman" w:cs="Times New Roman" w:eastAsia="Times New Roman" w:hAnsi="Times New Roman"/>
          <w:sz w:val="20"/>
          <w:szCs w:val="20"/>
          <w:color w:val="auto"/>
        </w:rPr>
        <w:t>” means shares of the Company’s Series C-1 Preferred Stock, par value $0.00000625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D Preferred Stock</w:t>
      </w:r>
      <w:r>
        <w:rPr>
          <w:rFonts w:ascii="Times New Roman" w:cs="Times New Roman" w:eastAsia="Times New Roman" w:hAnsi="Times New Roman"/>
          <w:sz w:val="20"/>
          <w:szCs w:val="20"/>
          <w:color w:val="auto"/>
        </w:rPr>
        <w:t>” means shares of the Company’s Series D Preferred Stock, par value $0.00000625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E Preferred Stock</w:t>
      </w:r>
      <w:r>
        <w:rPr>
          <w:rFonts w:ascii="Times New Roman" w:cs="Times New Roman" w:eastAsia="Times New Roman" w:hAnsi="Times New Roman"/>
          <w:sz w:val="20"/>
          <w:szCs w:val="20"/>
          <w:color w:val="auto"/>
        </w:rPr>
        <w:t>” means shares of the Company’s Series E Preferred Stock, par value $0.00000625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F Preferred Stock</w:t>
      </w:r>
      <w:r>
        <w:rPr>
          <w:rFonts w:ascii="Times New Roman" w:cs="Times New Roman" w:eastAsia="Times New Roman" w:hAnsi="Times New Roman"/>
          <w:sz w:val="20"/>
          <w:szCs w:val="20"/>
          <w:color w:val="auto"/>
        </w:rPr>
        <w:t>” means shares of the Company’s Series F Preferred Stock, par value $0.00000625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G Preferred Stock</w:t>
      </w:r>
      <w:r>
        <w:rPr>
          <w:rFonts w:ascii="Times New Roman" w:cs="Times New Roman" w:eastAsia="Times New Roman" w:hAnsi="Times New Roman"/>
          <w:sz w:val="20"/>
          <w:szCs w:val="20"/>
          <w:color w:val="auto"/>
        </w:rPr>
        <w:t>” means shares of the Company’s Series G Preferred Stock, par value $0.00000625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G-1 Preferred Stock</w:t>
      </w:r>
      <w:r>
        <w:rPr>
          <w:rFonts w:ascii="Times New Roman" w:cs="Times New Roman" w:eastAsia="Times New Roman" w:hAnsi="Times New Roman"/>
          <w:sz w:val="20"/>
          <w:szCs w:val="20"/>
          <w:color w:val="auto"/>
        </w:rPr>
        <w:t>” means shares of the Company’s Series G-1 Preferred Stock, par value $0.00000625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Seed Preferred Stock</w:t>
      </w:r>
      <w:r>
        <w:rPr>
          <w:rFonts w:ascii="Times New Roman" w:cs="Times New Roman" w:eastAsia="Times New Roman" w:hAnsi="Times New Roman"/>
          <w:sz w:val="20"/>
          <w:szCs w:val="20"/>
          <w:color w:val="auto"/>
        </w:rPr>
        <w:t>” means shares of the Company’s Series Seed Preferred Stock, par value $0.00000625 per share.</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Standoff Period</w:t>
      </w:r>
      <w:r>
        <w:rPr>
          <w:rFonts w:ascii="Times New Roman" w:cs="Times New Roman" w:eastAsia="Times New Roman" w:hAnsi="Times New Roman"/>
          <w:sz w:val="20"/>
          <w:szCs w:val="20"/>
          <w:color w:val="auto"/>
        </w:rPr>
        <w:t>” means the period commencing on the date of the final prospectus relating to an IPO and ending on the date specified by the Company and, if applicable, the managing underwriter (such period not to exceed one hundred eighty (180) days).</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Sale</w:t>
      </w:r>
      <w:r>
        <w:rPr>
          <w:rFonts w:ascii="Times New Roman" w:cs="Times New Roman" w:eastAsia="Times New Roman" w:hAnsi="Times New Roman"/>
          <w:sz w:val="20"/>
          <w:szCs w:val="20"/>
          <w:color w:val="auto"/>
        </w:rPr>
        <w:t>” means a sale by the Company’s stockholders, in one transaction or series of related transactions, of equity securities that represent, immediately prior to such transaction or transactions, at least a majority by voting power of the equity securities of the Company pursuant to an agreement approved by the Board and entered into by the Company.</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Voting Agreement</w:t>
      </w:r>
      <w:r>
        <w:rPr>
          <w:rFonts w:ascii="Times New Roman" w:cs="Times New Roman" w:eastAsia="Times New Roman" w:hAnsi="Times New Roman"/>
          <w:sz w:val="20"/>
          <w:szCs w:val="20"/>
          <w:color w:val="auto"/>
        </w:rPr>
        <w:t>” means that certain Amended and Restated Voting Agreement dated of even date hereof by and among the Company and the Investors.</w:t>
      </w:r>
    </w:p>
    <w:p>
      <w:pPr>
        <w:spacing w:after="0" w:line="152" w:lineRule="exact"/>
        <w:rPr>
          <w:sz w:val="20"/>
          <w:szCs w:val="20"/>
          <w:color w:val="auto"/>
        </w:rPr>
      </w:pPr>
    </w:p>
    <w:p>
      <w:pPr>
        <w:ind w:left="1000" w:hanging="344"/>
        <w:spacing w:after="0"/>
        <w:tabs>
          <w:tab w:leader="none" w:pos="100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INFORMATION RIGHTS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Delivery of Financial Statements</w:t>
      </w:r>
      <w:r>
        <w:rPr>
          <w:rFonts w:ascii="Times New Roman" w:cs="Times New Roman" w:eastAsia="Times New Roman" w:hAnsi="Times New Roman"/>
          <w:sz w:val="19"/>
          <w:szCs w:val="19"/>
          <w:b w:val="1"/>
          <w:bCs w:val="1"/>
          <w:color w:val="auto"/>
        </w:rPr>
        <w:t>.</w:t>
      </w:r>
    </w:p>
    <w:p>
      <w:pPr>
        <w:spacing w:after="0" w:line="229"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Information to be Delivered</w:t>
      </w:r>
      <w:r>
        <w:rPr>
          <w:rFonts w:ascii="Times New Roman" w:cs="Times New Roman" w:eastAsia="Times New Roman" w:hAnsi="Times New Roman"/>
          <w:sz w:val="20"/>
          <w:szCs w:val="20"/>
          <w:color w:val="auto"/>
        </w:rPr>
        <w:t xml:space="preserve">. The Company shall deliver the following to each Major Investor,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the Board has not reasonably determined that such Major Investor is a competitor of the Company, </w:t>
      </w:r>
      <w:r>
        <w:rPr>
          <w:rFonts w:ascii="Times New Roman" w:cs="Times New Roman" w:eastAsia="Times New Roman" w:hAnsi="Times New Roman"/>
          <w:sz w:val="20"/>
          <w:szCs w:val="20"/>
          <w:i w:val="1"/>
          <w:iCs w:val="1"/>
          <w:u w:val="single" w:color="auto"/>
          <w:color w:val="auto"/>
        </w:rPr>
        <w:t>provided further</w:t>
      </w:r>
      <w:r>
        <w:rPr>
          <w:rFonts w:ascii="Times New Roman" w:cs="Times New Roman" w:eastAsia="Times New Roman" w:hAnsi="Times New Roman"/>
          <w:sz w:val="20"/>
          <w:szCs w:val="20"/>
          <w:color w:val="auto"/>
        </w:rPr>
        <w:t xml:space="preserve"> that none of the Fund Investors shall be deemed a competitor of the Company for any purpose hereunder:</w:t>
      </w:r>
    </w:p>
    <w:p>
      <w:pPr>
        <w:spacing w:after="0" w:line="166" w:lineRule="exact"/>
        <w:rPr>
          <w:sz w:val="20"/>
          <w:szCs w:val="20"/>
          <w:color w:val="auto"/>
        </w:rPr>
      </w:pPr>
    </w:p>
    <w:p>
      <w:pPr>
        <w:ind w:firstLine="2600"/>
        <w:spacing w:after="0" w:line="283" w:lineRule="auto"/>
        <w:tabs>
          <w:tab w:leader="none" w:pos="306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one hundred twenty (120) days after the end of each fiscal year of the Company, the Company shall deliver, (i)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286" w:name="page287"/>
    <w:bookmarkEnd w:id="286"/>
    <w:p>
      <w:pPr>
        <w:jc w:val="both"/>
        <w:spacing w:after="0" w:line="261" w:lineRule="auto"/>
        <w:rPr>
          <w:sz w:val="20"/>
          <w:szCs w:val="20"/>
          <w:color w:val="auto"/>
        </w:rPr>
      </w:pPr>
      <w:r>
        <w:rPr>
          <w:rFonts w:ascii="Times New Roman" w:cs="Times New Roman" w:eastAsia="Times New Roman" w:hAnsi="Times New Roman"/>
          <w:sz w:val="20"/>
          <w:szCs w:val="20"/>
          <w:color w:val="auto"/>
        </w:rPr>
        <w:t>balance sheet as of the end of such year, (ii) statements of income and of cash flows for such year, and (iii) a statement of stockholders’ equity as of the end of such year, all of which shall be audited and certified by independent public accountants of nationally recognized standing selected by the Company, provided that the audit requirement may be waived by the Board.</w:t>
      </w:r>
    </w:p>
    <w:p>
      <w:pPr>
        <w:spacing w:after="0" w:line="181" w:lineRule="exact"/>
        <w:rPr>
          <w:sz w:val="20"/>
          <w:szCs w:val="20"/>
          <w:color w:val="auto"/>
        </w:rPr>
      </w:pPr>
    </w:p>
    <w:p>
      <w:pPr>
        <w:jc w:val="both"/>
        <w:ind w:firstLine="2600"/>
        <w:spacing w:after="0" w:line="253" w:lineRule="auto"/>
        <w:tabs>
          <w:tab w:leader="none" w:pos="307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forty-five (45) days after the end of each of the first three (3) quarters of each fiscal year of the Company, the Company shall deliver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91" w:lineRule="exact"/>
        <w:rPr>
          <w:rFonts w:ascii="Times New Roman" w:cs="Times New Roman" w:eastAsia="Times New Roman" w:hAnsi="Times New Roman"/>
          <w:sz w:val="20"/>
          <w:szCs w:val="20"/>
          <w:color w:val="auto"/>
        </w:rPr>
      </w:pPr>
    </w:p>
    <w:p>
      <w:pPr>
        <w:jc w:val="both"/>
        <w:ind w:firstLine="2600"/>
        <w:spacing w:after="0" w:line="251" w:lineRule="auto"/>
        <w:tabs>
          <w:tab w:leader="none" w:pos="300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92" w:lineRule="exact"/>
        <w:rPr>
          <w:rFonts w:ascii="Times New Roman" w:cs="Times New Roman" w:eastAsia="Times New Roman" w:hAnsi="Times New Roman"/>
          <w:sz w:val="20"/>
          <w:szCs w:val="20"/>
          <w:color w:val="auto"/>
        </w:rPr>
      </w:pPr>
    </w:p>
    <w:p>
      <w:pPr>
        <w:jc w:val="both"/>
        <w:ind w:firstLine="2600"/>
        <w:spacing w:after="0" w:line="261" w:lineRule="auto"/>
        <w:tabs>
          <w:tab w:leader="none" w:pos="308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w:t>
      </w:r>
      <w:r>
        <w:rPr>
          <w:rFonts w:ascii="Times New Roman" w:cs="Times New Roman" w:eastAsia="Times New Roman" w:hAnsi="Times New Roman"/>
          <w:sz w:val="20"/>
          <w:szCs w:val="20"/>
          <w:color w:val="auto"/>
        </w:rPr>
        <w:t xml:space="preserve"> If, for any period, the Company has any subsidiary whose accounts are consolidated with those of the Company, then in respect of such period the financial statements delivered pursuant to Section 2.1.1 shall be the consolidated and consolidating financial statements of the Company and all such consolidated subsidiaries.</w:t>
      </w:r>
    </w:p>
    <w:p>
      <w:pPr>
        <w:spacing w:after="0" w:line="181"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Suspension or Termination</w:t>
      </w:r>
      <w:r>
        <w:rPr>
          <w:rFonts w:ascii="Times New Roman" w:cs="Times New Roman" w:eastAsia="Times New Roman" w:hAnsi="Times New Roman"/>
          <w:sz w:val="20"/>
          <w:szCs w:val="20"/>
          <w:color w:val="auto"/>
        </w:rPr>
        <w:t xml:space="preserve">. Notwithstanding anything else in this Section 2.1 to the contrary but subject to Section 6.1, the Company may cease providing the information set forth in this Section 2.1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Company’s covenants under this Section 2.1 shall be reinstated at such time as the Company is no longer actively employing its reasonable efforts to cause such registration statement to become effective.</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b w:val="1"/>
          <w:bCs w:val="1"/>
          <w:u w:val="single" w:color="auto"/>
          <w:color w:val="auto"/>
        </w:rPr>
        <w:t>Inspection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permit each Major Investor, at such Major Investor’s expense, and on such Major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Investor’s written request,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Company shall not be obligated pursuant to this Section 2.2 to provide access to any information that it reasonably and in good faith considers to be confidential information (unless covered by an enforceable confidentiality agreement, in form reasonably acceptable to the Company), a trade secret or the disclosure of which would adversely affect the attorney-client privilege between the Company and its counsel.</w:t>
      </w:r>
    </w:p>
    <w:p>
      <w:pPr>
        <w:spacing w:after="0" w:line="173"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2.3 </w:t>
      </w: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Anything in this Agreement to the contrary notwithstanding, no Investor by reason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access to any trade secrets or confidential information of the Company. Each Investor agrees that such Investor will keep confidential and will not disclose, divulge, or use for any purpose (other than to monitor its investment in the Company) any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287" w:name="page288"/>
    <w:bookmarkEnd w:id="287"/>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information obtained from the Company pursuant to the terms of this Section 2 unless such confidential information (a) is known or becomes known to the public in general (other than as a result of a breach of this Section 2.3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an Investor may disclose confidential information (i) to its attorneys, accountants, consultants, advisors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professionals to the extent necessary to obtain their services in connection with monitoring its investment in the Company; (ii) to any existing Affiliate, partner, member, stockholder, or wholly owned subsidiary of such Investor in the ordinary course of business, but only if such Investor informs such Person that such information is confidential and directs such Person to maintain the confidentiality of such information; (iii) to any prospective purchaser of any Registrable Securities from such Investor, if such prospective purchaser agrees to be bound by the provisions of this Section 2.3; or (iv) as may otherwise be required by law if the Investor promptly notifies the Company of such disclosure and takes reasonable steps to minimize the extent of any such required disclosure.</w:t>
      </w:r>
    </w:p>
    <w:p>
      <w:pPr>
        <w:spacing w:after="0" w:line="196" w:lineRule="exact"/>
        <w:rPr>
          <w:sz w:val="20"/>
          <w:szCs w:val="20"/>
          <w:color w:val="auto"/>
        </w:rPr>
      </w:pPr>
    </w:p>
    <w:p>
      <w:pPr>
        <w:ind w:left="1300" w:right="7640" w:hanging="644"/>
        <w:spacing w:after="0" w:line="474" w:lineRule="auto"/>
        <w:tabs>
          <w:tab w:leader="none" w:pos="998"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REGISTRATION RIGHTS</w:t>
      </w:r>
      <w:r>
        <w:rPr>
          <w:rFonts w:ascii="Times New Roman" w:cs="Times New Roman" w:eastAsia="Times New Roman" w:hAnsi="Times New Roman"/>
          <w:sz w:val="20"/>
          <w:szCs w:val="20"/>
          <w:b w:val="1"/>
          <w:bCs w:val="1"/>
          <w:color w:val="auto"/>
        </w:rPr>
        <w:t xml:space="preserve">. 3.1 </w:t>
      </w:r>
      <w:r>
        <w:rPr>
          <w:rFonts w:ascii="Times New Roman" w:cs="Times New Roman" w:eastAsia="Times New Roman" w:hAnsi="Times New Roman"/>
          <w:sz w:val="20"/>
          <w:szCs w:val="20"/>
          <w:b w:val="1"/>
          <w:bCs w:val="1"/>
          <w:u w:val="single" w:color="auto"/>
          <w:color w:val="auto"/>
        </w:rPr>
        <w:t>Demand Registration</w:t>
      </w:r>
      <w:r>
        <w:rPr>
          <w:rFonts w:ascii="Times New Roman" w:cs="Times New Roman" w:eastAsia="Times New Roman" w:hAnsi="Times New Roman"/>
          <w:sz w:val="20"/>
          <w:szCs w:val="20"/>
          <w:b w:val="1"/>
          <w:bCs w:val="1"/>
          <w:color w:val="auto"/>
        </w:rPr>
        <w:t>.</w:t>
      </w:r>
    </w:p>
    <w:p>
      <w:pPr>
        <w:jc w:val="both"/>
        <w:ind w:firstLine="1944"/>
        <w:spacing w:after="0" w:line="250"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Form S-1 Demand</w:t>
      </w:r>
      <w:r>
        <w:rPr>
          <w:rFonts w:ascii="Times New Roman" w:cs="Times New Roman" w:eastAsia="Times New Roman" w:hAnsi="Times New Roman"/>
          <w:sz w:val="20"/>
          <w:szCs w:val="20"/>
          <w:color w:val="auto"/>
        </w:rPr>
        <w:t>. If at any time after the earlier of (a) five (5) years after the date of this Agreement or (b) one hundred eighty (180) days after the effective date of the registration statement for the IPO, the Company receives a request from Holders of a majority of the Registrable Securities then outstanding that the Company file a Form S-1 registration statement with respect to any Registrable Securities then outstanding (and the Registrable Securities subject to such request have an anticipated aggregate offering price, net of Selling Expenses, of at least $25,000,000), then the Company shall (i) within ten (10) days after the date such request is given, give a Demand Notice to all Holders other than the Initiating Holders; and (ii) use commercially reasonable efforts to as soon as practicable, and in any event within ninety (90)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after the date the Demand Notice is given, and in each case, subject to the limitations of Section 3.1.3 and Section 3.3.</w:t>
      </w:r>
    </w:p>
    <w:p>
      <w:pPr>
        <w:spacing w:after="0" w:line="186"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Form S-3 Demand</w:t>
      </w:r>
      <w:r>
        <w:rPr>
          <w:rFonts w:ascii="Times New Roman" w:cs="Times New Roman" w:eastAsia="Times New Roman" w:hAnsi="Times New Roman"/>
          <w:sz w:val="20"/>
          <w:szCs w:val="20"/>
          <w:color w:val="auto"/>
        </w:rPr>
        <w:t>. If at any time when it is eligible to use a Form S-3 registration statement, the Company receives a request from Holders of 25%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(a) within ten (10) days after the date such request is given, give a Demand Notice to all Holders other than the Initiating Holders; and (b) use commercially reasonable efforts to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Section 3.1.3 and Section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288" w:name="page289"/>
    <w:bookmarkEnd w:id="288"/>
    <w:p>
      <w:pPr>
        <w:jc w:val="both"/>
        <w:ind w:firstLine="1944"/>
        <w:spacing w:after="0" w:line="250"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Delay</w:t>
      </w:r>
      <w:r>
        <w:rPr>
          <w:rFonts w:ascii="Times New Roman" w:cs="Times New Roman" w:eastAsia="Times New Roman" w:hAnsi="Times New Roman"/>
          <w:sz w:val="20"/>
          <w:szCs w:val="20"/>
          <w:color w:val="auto"/>
        </w:rPr>
        <w:t xml:space="preserve">. Notwithstanding the foregoing obligations, if the Company furnishes to Holders requesting a registration pursuant to this Section 3.1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(i) the Company may not invoke this right more than once in any twelve (12) month period and (ii) the Company shall not register any securities for its own account or that of any other stockholder during such ninety (90) day period other than an Excluded Registration.</w:t>
      </w:r>
    </w:p>
    <w:p>
      <w:pPr>
        <w:spacing w:after="0" w:line="200"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The Company shall not be obligated to effect, or to take any action to effect, any registration pursuant to Section 3.1.1: (a) during the period that is sixty (60)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(b) after the Company has effected two (2) registrations pursuant to Section 3.1.1; or (c) if the Initiating Holders propose to dispose of shares of Registrable Securities that may be immediately registered on Form S-3 pursuant to a request made pursuant to Section 3.1.2. The Company shall not be obligated to effect, or to take any action to effect, any registration pursuant to Section 3.1.2: (i) during the period that is thirty</w:t>
      </w:r>
    </w:p>
    <w:p>
      <w:pPr>
        <w:spacing w:after="0" w:line="6" w:lineRule="exact"/>
        <w:rPr>
          <w:sz w:val="20"/>
          <w:szCs w:val="20"/>
          <w:color w:val="auto"/>
        </w:rPr>
      </w:pPr>
    </w:p>
    <w:p>
      <w:pPr>
        <w:jc w:val="both"/>
        <w:ind w:firstLine="8"/>
        <w:spacing w:after="0" w:line="249" w:lineRule="auto"/>
        <w:tabs>
          <w:tab w:leader="none" w:pos="39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(2) registrations pursuant to Section 3.1.2 within the twelve (12) month period immediately preceding the date of such request. A registration shall not be counted as “effected” for purposes of this Section 3.1.4 until such time as the applicable registration statement has been declared effective by the SEC, unless the Initiating Holders withdraw their request for such registration, elect not to pay the registration expenses therefor, and forfeit their right to one registration on Form S-1 or S-3, as applicable, pursuant to Section 3.6, in which case such withdrawn registration statement shall be counted as “effected” for purposes of this Section 3.1.4.</w:t>
      </w:r>
    </w:p>
    <w:p>
      <w:pPr>
        <w:spacing w:after="0" w:line="17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3.2 </w:t>
      </w:r>
      <w:r>
        <w:rPr>
          <w:rFonts w:ascii="Times New Roman" w:cs="Times New Roman" w:eastAsia="Times New Roman" w:hAnsi="Times New Roman"/>
          <w:sz w:val="19"/>
          <w:szCs w:val="19"/>
          <w:b w:val="1"/>
          <w:bCs w:val="1"/>
          <w:u w:val="single" w:color="auto"/>
          <w:color w:val="auto"/>
        </w:rPr>
        <w:t>Company Registration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the Company proposes to register (including, for this purpose, a registration effected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Section 3.3, cause to be registered all of the Registrable Securities that each such Holder has requested to be included in such registration. The Company shall have the right to terminate or withdraw any registration initiated by it under this Section 3.2 before the effective date of such registration, whether or not any Holder has elected to include Registrable Securities in such registration. The expenses (other than Selling Expenses) of such withdrawn registration shall be borne by the Company in accordance with Section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289" w:name="page290"/>
    <w:bookmarkEnd w:id="289"/>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19"/>
          <w:szCs w:val="19"/>
          <w:b w:val="1"/>
          <w:bCs w:val="1"/>
          <w:u w:val="single" w:color="auto"/>
          <w:color w:val="auto"/>
        </w:rPr>
        <w:t>Underwriting Requirements</w:t>
      </w:r>
      <w:r>
        <w:rPr>
          <w:rFonts w:ascii="Times New Roman" w:cs="Times New Roman" w:eastAsia="Times New Roman" w:hAnsi="Times New Roman"/>
          <w:sz w:val="19"/>
          <w:szCs w:val="19"/>
          <w:b w:val="1"/>
          <w:bCs w:val="1"/>
          <w:color w:val="auto"/>
        </w:rPr>
        <w:t>.</w:t>
      </w:r>
    </w:p>
    <w:p>
      <w:pPr>
        <w:spacing w:after="0" w:line="236"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19"/>
          <w:szCs w:val="19"/>
          <w:color w:val="auto"/>
        </w:rPr>
        <w:t xml:space="preserve">3.3.1 </w:t>
      </w:r>
      <w:r>
        <w:rPr>
          <w:rFonts w:ascii="Times New Roman" w:cs="Times New Roman" w:eastAsia="Times New Roman" w:hAnsi="Times New Roman"/>
          <w:sz w:val="19"/>
          <w:szCs w:val="19"/>
          <w:u w:val="single" w:color="auto"/>
          <w:color w:val="auto"/>
        </w:rPr>
        <w:t>Inclusion</w:t>
      </w:r>
      <w:r>
        <w:rPr>
          <w:rFonts w:ascii="Times New Roman" w:cs="Times New Roman" w:eastAsia="Times New Roman" w:hAnsi="Times New Roman"/>
          <w:sz w:val="19"/>
          <w:szCs w:val="19"/>
          <w:color w:val="auto"/>
        </w:rPr>
        <w:t>. If, pursuant to Section 3.1, the Initiating Holders intend to distribute the Registrable Securities covered by their request by means of an underwriting, they shall so advise the Company as a part of their request made pursuant to Section 3.1, and the Company shall include such information in the Demand Notice. The underwriter(s) will be selected by the Company, subject only to the reasonable approval of the holders of a majority of Registrable Securities held by the Initiating Holders. In such event, the right of any Holder to include such Holder’s Registrable Securities in such registration shall be conditioned upon such Holder’s participation in such underwriting. All Holders proposing to distribute their securities through such underwriting shall (together with the Company as provided in Section 3.4(e)) enter into an underwriting agreement in customary form with the underwriter(s) selected for such underwriting. Notwithstanding any other provision of this Section 3.3,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or held by each Holder or in such other proportion as shall mutually be agreed</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to by all such selling Holders;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number of Registrable Securities owned or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70"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9"/>
          <w:szCs w:val="19"/>
          <w:color w:val="auto"/>
        </w:rPr>
        <w:t xml:space="preserve">3.3.2 </w:t>
      </w:r>
      <w:r>
        <w:rPr>
          <w:rFonts w:ascii="Times New Roman" w:cs="Times New Roman" w:eastAsia="Times New Roman" w:hAnsi="Times New Roman"/>
          <w:sz w:val="19"/>
          <w:szCs w:val="19"/>
          <w:u w:val="single" w:color="auto"/>
          <w:color w:val="auto"/>
        </w:rPr>
        <w:t>Underwriter Cutback</w:t>
      </w:r>
      <w:r>
        <w:rPr>
          <w:rFonts w:ascii="Times New Roman" w:cs="Times New Roman" w:eastAsia="Times New Roman" w:hAnsi="Times New Roman"/>
          <w:sz w:val="19"/>
          <w:szCs w:val="19"/>
          <w:color w:val="auto"/>
        </w:rPr>
        <w:t>. In connection with any offering involving an underwriting of shares of the Company’s capital stock pursuant to Section 3.2, the Company shall not be required to include any of the Holders’ Registrable Securities in such underwriting unless the Holders accept the terms of the underwriting as agreed upon between the Company and its underwriters.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or held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w:t>
      </w:r>
    </w:p>
    <w:p>
      <w:pPr>
        <w:spacing w:after="0" w:line="8" w:lineRule="exact"/>
        <w:rPr>
          <w:sz w:val="20"/>
          <w:szCs w:val="20"/>
          <w:color w:val="auto"/>
        </w:rPr>
      </w:pPr>
    </w:p>
    <w:p>
      <w:pPr>
        <w:jc w:val="both"/>
        <w:ind w:firstLine="8"/>
        <w:spacing w:after="0" w:line="249" w:lineRule="auto"/>
        <w:tabs>
          <w:tab w:leader="none" w:pos="27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Registrable Securities included in the offering be reduced unless all other securities (other than securities to be sold by the Company) are first entirely excluded from the offering or (b) the number of Registrable Securities included in the offering be reduced below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Section 3.3.2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290" w:name="page291"/>
    <w:bookmarkEnd w:id="290"/>
    <w:p>
      <w:pPr>
        <w:jc w:val="both"/>
        <w:spacing w:after="0" w:line="261" w:lineRule="auto"/>
        <w:rPr>
          <w:sz w:val="20"/>
          <w:szCs w:val="20"/>
          <w:color w:val="auto"/>
        </w:rPr>
      </w:pPr>
      <w:r>
        <w:rPr>
          <w:rFonts w:ascii="Times New Roman" w:cs="Times New Roman" w:eastAsia="Times New Roman" w:hAnsi="Times New Roman"/>
          <w:sz w:val="20"/>
          <w:szCs w:val="20"/>
          <w:color w:val="auto"/>
        </w:rPr>
        <w:t>and retired members and any trusts for the benefit of any of the foregoing Persons, shall be deemed to be a single “selling Holder,” and any pro rata reduction with respect to such “selling Holder” shall be based upon the aggregate number of Registrable Securities owned or held by all Persons included in such “selling Holder,” as defined in this sentence.</w:t>
      </w:r>
    </w:p>
    <w:p>
      <w:pPr>
        <w:spacing w:after="0" w:line="181"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 xml:space="preserve">3.3.3 </w:t>
      </w:r>
      <w:r>
        <w:rPr>
          <w:rFonts w:ascii="Times New Roman" w:cs="Times New Roman" w:eastAsia="Times New Roman" w:hAnsi="Times New Roman"/>
          <w:sz w:val="20"/>
          <w:szCs w:val="20"/>
          <w:u w:val="single" w:color="auto"/>
          <w:color w:val="auto"/>
        </w:rPr>
        <w:t>Registration Not Effected</w:t>
      </w:r>
      <w:r>
        <w:rPr>
          <w:rFonts w:ascii="Times New Roman" w:cs="Times New Roman" w:eastAsia="Times New Roman" w:hAnsi="Times New Roman"/>
          <w:sz w:val="20"/>
          <w:szCs w:val="20"/>
          <w:color w:val="auto"/>
        </w:rPr>
        <w:t>. For purposes of Section 3.1, a registration shall not be counted as “effected” if, as a result of an exercise of the underwriter’s cutback provisions in Section 3.3.1, fewer than fifty percent (50%) of the total number of Registrable Securities that Holders have requested to be included in such registration statement are actually included.</w:t>
      </w:r>
    </w:p>
    <w:p>
      <w:pPr>
        <w:spacing w:after="0" w:line="177"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3.4 </w:t>
      </w:r>
      <w:r>
        <w:rPr>
          <w:rFonts w:ascii="Times New Roman" w:cs="Times New Roman" w:eastAsia="Times New Roman" w:hAnsi="Times New Roman"/>
          <w:sz w:val="20"/>
          <w:szCs w:val="20"/>
          <w:b w:val="1"/>
          <w:bCs w:val="1"/>
          <w:u w:val="single" w:color="auto"/>
          <w:color w:val="auto"/>
        </w:rPr>
        <w:t>Obligations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Whenever required under this Section 3 to effect the registration of any Registrable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the Company shall, as expeditiously as reasonably possible:</w:t>
      </w:r>
    </w:p>
    <w:p>
      <w:pPr>
        <w:spacing w:after="0" w:line="169" w:lineRule="exact"/>
        <w:rPr>
          <w:sz w:val="20"/>
          <w:szCs w:val="20"/>
          <w:color w:val="auto"/>
        </w:rPr>
      </w:pPr>
    </w:p>
    <w:p>
      <w:pPr>
        <w:jc w:val="both"/>
        <w:ind w:firstLine="2600"/>
        <w:spacing w:after="0" w:line="252" w:lineRule="auto"/>
        <w:tabs>
          <w:tab w:leader="none" w:pos="305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prepare and file with the SEC a registration statement with respect to such Registrable Securities and use its commercially reasonable efforts to cause such registration statement to become effective as promptly as practicable,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(i) such 120-day period shall be extended for a period of time equal to the period the Holder refrains, at the request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for up to sixty (60) days, if necessary, to keep the registration statement effective until all such Registrable Securities are sold;</w:t>
      </w:r>
    </w:p>
    <w:p>
      <w:pPr>
        <w:spacing w:after="0" w:line="175" w:lineRule="exact"/>
        <w:rPr>
          <w:rFonts w:ascii="Times New Roman" w:cs="Times New Roman" w:eastAsia="Times New Roman" w:hAnsi="Times New Roman"/>
          <w:sz w:val="20"/>
          <w:szCs w:val="20"/>
          <w:color w:val="auto"/>
        </w:rPr>
      </w:pPr>
    </w:p>
    <w:p>
      <w:pPr>
        <w:jc w:val="both"/>
        <w:ind w:firstLine="2600"/>
        <w:spacing w:after="0" w:line="261" w:lineRule="auto"/>
        <w:tabs>
          <w:tab w:leader="none" w:pos="309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file with the SEC such amendments and supplements to such registration statement, the prospectus and, if required, any Free Writing Prospectus used in connection with such registration statement as may be necessary to comply with the Securities Act in order to enable the disposition of all securities covered by such registration statement;</w:t>
      </w:r>
    </w:p>
    <w:p>
      <w:pPr>
        <w:spacing w:after="0" w:line="181" w:lineRule="exact"/>
        <w:rPr>
          <w:rFonts w:ascii="Times New Roman" w:cs="Times New Roman" w:eastAsia="Times New Roman" w:hAnsi="Times New Roman"/>
          <w:sz w:val="20"/>
          <w:szCs w:val="20"/>
          <w:color w:val="auto"/>
        </w:rPr>
      </w:pPr>
    </w:p>
    <w:p>
      <w:pPr>
        <w:jc w:val="both"/>
        <w:ind w:firstLine="2600"/>
        <w:spacing w:after="0" w:line="261" w:lineRule="auto"/>
        <w:tabs>
          <w:tab w:leader="none" w:pos="318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selling Holders such numbers of copies of a prospectus, including a preliminary prospectus and any Free Writing Prospectus, as required by the Securities Act, and such other documents as the Holders may reasonably request in order to facilitate their disposition of their Registrable Securities;</w:t>
      </w:r>
    </w:p>
    <w:p>
      <w:pPr>
        <w:spacing w:after="0" w:line="181" w:lineRule="exact"/>
        <w:rPr>
          <w:rFonts w:ascii="Times New Roman" w:cs="Times New Roman" w:eastAsia="Times New Roman" w:hAnsi="Times New Roman"/>
          <w:sz w:val="20"/>
          <w:szCs w:val="20"/>
          <w:color w:val="auto"/>
        </w:rPr>
      </w:pPr>
    </w:p>
    <w:p>
      <w:pPr>
        <w:jc w:val="both"/>
        <w:ind w:firstLine="2600"/>
        <w:spacing w:after="0" w:line="253" w:lineRule="auto"/>
        <w:tabs>
          <w:tab w:leader="none" w:pos="323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91" w:lineRule="exact"/>
        <w:rPr>
          <w:rFonts w:ascii="Times New Roman" w:cs="Times New Roman" w:eastAsia="Times New Roman" w:hAnsi="Times New Roman"/>
          <w:sz w:val="20"/>
          <w:szCs w:val="20"/>
          <w:color w:val="auto"/>
        </w:rPr>
      </w:pPr>
    </w:p>
    <w:p>
      <w:pPr>
        <w:ind w:right="20" w:firstLine="2600"/>
        <w:spacing w:after="0" w:line="269" w:lineRule="auto"/>
        <w:tabs>
          <w:tab w:leader="none" w:pos="315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underwritten public offering, enter into and perform its obligations under an underwriting agreement, in usual and customary form, with the underwriter(s) of such offering;</w:t>
      </w:r>
    </w:p>
    <w:p>
      <w:pPr>
        <w:spacing w:after="0" w:line="172" w:lineRule="exact"/>
        <w:rPr>
          <w:rFonts w:ascii="Times New Roman" w:cs="Times New Roman" w:eastAsia="Times New Roman" w:hAnsi="Times New Roman"/>
          <w:sz w:val="20"/>
          <w:szCs w:val="20"/>
          <w:color w:val="auto"/>
        </w:rPr>
      </w:pPr>
    </w:p>
    <w:p>
      <w:pPr>
        <w:ind w:firstLine="2600"/>
        <w:spacing w:after="0" w:line="269" w:lineRule="auto"/>
        <w:tabs>
          <w:tab w:leader="none" w:pos="30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reasonable efforts to cause all such Registrable Securities covered by such registration statement to be listed on a national securities exchange or trading system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20"/>
          <w:szCs w:val="20"/>
          <w:color w:val="auto"/>
        </w:rPr>
        <w:t>each securities exchange and trading system (if any) on which similar securities issued by the Company are then listed;</w:t>
      </w:r>
    </w:p>
    <w:p>
      <w:pPr>
        <w:spacing w:after="0" w:line="229" w:lineRule="exact"/>
        <w:rPr>
          <w:sz w:val="20"/>
          <w:szCs w:val="20"/>
          <w:color w:val="auto"/>
        </w:rPr>
      </w:pPr>
    </w:p>
    <w:p>
      <w:pPr>
        <w:jc w:val="both"/>
        <w:ind w:right="20" w:firstLine="2600"/>
        <w:spacing w:after="0" w:line="295" w:lineRule="auto"/>
        <w:tabs>
          <w:tab w:leader="none" w:pos="3227"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51" w:lineRule="exact"/>
        <w:rPr>
          <w:rFonts w:ascii="Times New Roman" w:cs="Times New Roman" w:eastAsia="Times New Roman" w:hAnsi="Times New Roman"/>
          <w:sz w:val="19"/>
          <w:szCs w:val="19"/>
          <w:color w:val="auto"/>
        </w:rPr>
      </w:pPr>
    </w:p>
    <w:p>
      <w:pPr>
        <w:jc w:val="both"/>
        <w:ind w:firstLine="2600"/>
        <w:spacing w:after="0" w:line="253" w:lineRule="auto"/>
        <w:tabs>
          <w:tab w:leader="none" w:pos="326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78" w:lineRule="exact"/>
        <w:rPr>
          <w:rFonts w:ascii="Times New Roman" w:cs="Times New Roman" w:eastAsia="Times New Roman" w:hAnsi="Times New Roman"/>
          <w:sz w:val="20"/>
          <w:szCs w:val="20"/>
          <w:color w:val="auto"/>
        </w:rPr>
      </w:pPr>
    </w:p>
    <w:p>
      <w:pPr>
        <w:jc w:val="both"/>
        <w:ind w:firstLine="2600"/>
        <w:spacing w:after="0" w:line="268" w:lineRule="auto"/>
        <w:tabs>
          <w:tab w:leader="none" w:pos="301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each selling Holder, promptly after the Company receives notice thereof, of the time when such registration statement has been declared effective or a supplement to any prospectus or Free-Writing Prospectus forming a part of such registration statement has been filed;</w:t>
      </w:r>
    </w:p>
    <w:p>
      <w:pPr>
        <w:spacing w:after="0" w:line="161" w:lineRule="exact"/>
        <w:rPr>
          <w:rFonts w:ascii="Times New Roman" w:cs="Times New Roman" w:eastAsia="Times New Roman" w:hAnsi="Times New Roman"/>
          <w:sz w:val="20"/>
          <w:szCs w:val="20"/>
          <w:color w:val="auto"/>
        </w:rPr>
      </w:pPr>
    </w:p>
    <w:p>
      <w:pPr>
        <w:ind w:right="20" w:firstLine="2600"/>
        <w:spacing w:after="0" w:line="283" w:lineRule="auto"/>
        <w:tabs>
          <w:tab w:leader="none" w:pos="305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such registration statement becomes effective, notify each selling Holder of any request by the SEC that the Company amend or supplement such registration statement or prospectus or Free-Writing Prospectus;</w:t>
      </w:r>
    </w:p>
    <w:p>
      <w:pPr>
        <w:spacing w:after="0" w:line="146" w:lineRule="exact"/>
        <w:rPr>
          <w:rFonts w:ascii="Times New Roman" w:cs="Times New Roman" w:eastAsia="Times New Roman" w:hAnsi="Times New Roman"/>
          <w:sz w:val="20"/>
          <w:szCs w:val="20"/>
          <w:color w:val="auto"/>
        </w:rPr>
      </w:pPr>
    </w:p>
    <w:p>
      <w:pPr>
        <w:jc w:val="both"/>
        <w:ind w:firstLine="2600"/>
        <w:spacing w:after="0" w:line="258" w:lineRule="auto"/>
        <w:tabs>
          <w:tab w:leader="none" w:pos="313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commercially reasonable efforts to obtain for the underwriters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w:t>
      </w:r>
    </w:p>
    <w:p>
      <w:pPr>
        <w:spacing w:after="0" w:line="185" w:lineRule="exact"/>
        <w:rPr>
          <w:rFonts w:ascii="Times New Roman" w:cs="Times New Roman" w:eastAsia="Times New Roman" w:hAnsi="Times New Roman"/>
          <w:sz w:val="20"/>
          <w:szCs w:val="20"/>
          <w:color w:val="auto"/>
        </w:rPr>
      </w:pPr>
    </w:p>
    <w:p>
      <w:pPr>
        <w:jc w:val="both"/>
        <w:ind w:firstLine="2600"/>
        <w:spacing w:after="0" w:line="253" w:lineRule="auto"/>
        <w:tabs>
          <w:tab w:leader="none" w:pos="305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commercially reasonable efforts to obtain for the underwriters on the date such securities are delivered to the underwriters for sale pursuant to such registration a legal opinion of the Company’s outside counsel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191" w:lineRule="exact"/>
        <w:rPr>
          <w:rFonts w:ascii="Times New Roman" w:cs="Times New Roman" w:eastAsia="Times New Roman" w:hAnsi="Times New Roman"/>
          <w:sz w:val="20"/>
          <w:szCs w:val="20"/>
          <w:color w:val="auto"/>
        </w:rPr>
      </w:pPr>
    </w:p>
    <w:p>
      <w:pPr>
        <w:jc w:val="both"/>
        <w:ind w:firstLine="2600"/>
        <w:spacing w:after="0" w:line="261" w:lineRule="auto"/>
        <w:tabs>
          <w:tab w:leader="none" w:pos="312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Company is a well-known seasoned issuer (as defined in SEC Rule 405 at the time any request for registration is submitted to the Company in accordance with Section 3.1, if so requested, file an Automatic Shelf Registration Statement to effect such registration; and</w:t>
      </w:r>
    </w:p>
    <w:p>
      <w:pPr>
        <w:spacing w:after="0" w:line="167" w:lineRule="exact"/>
        <w:rPr>
          <w:rFonts w:ascii="Times New Roman" w:cs="Times New Roman" w:eastAsia="Times New Roman" w:hAnsi="Times New Roman"/>
          <w:sz w:val="20"/>
          <w:szCs w:val="20"/>
          <w:color w:val="auto"/>
        </w:rPr>
      </w:pPr>
    </w:p>
    <w:p>
      <w:pPr>
        <w:jc w:val="both"/>
        <w:ind w:firstLine="2600"/>
        <w:spacing w:after="0" w:line="253" w:lineRule="auto"/>
        <w:tabs>
          <w:tab w:leader="none" w:pos="307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when the Company is required to re-evaluate its well-known seasoned issuer status for purposes of an outstanding Automatic Shelf Registration Statement used to effect a request for registration in accordance with Section 3.1.2 the Company determines that it is not a well-known seasoned issuer and (i) the registration statement is required to be kept effective in accordance with this Agreement and (ii) the registration rights of the applicable Holders have not terminated, use commercially reasonable efforts to promptly amend the registration statement on a form the Company is then eligible to use or file a new registration statement on such form, and keep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0"/>
          <w:szCs w:val="20"/>
          <w:color w:val="auto"/>
        </w:rPr>
        <w:t>registration statement effective in accordance with the requirements otherwise applicable under this Agreement.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3.5 </w:t>
      </w:r>
      <w:r>
        <w:rPr>
          <w:rFonts w:ascii="Times New Roman" w:cs="Times New Roman" w:eastAsia="Times New Roman" w:hAnsi="Times New Roman"/>
          <w:sz w:val="20"/>
          <w:szCs w:val="20"/>
          <w:b w:val="1"/>
          <w:bCs w:val="1"/>
          <w:u w:val="single" w:color="auto"/>
          <w:color w:val="auto"/>
        </w:rPr>
        <w:t>Furnish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shall be a condition precedent to the obligations of the Company to take any action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Section 3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3.6 </w:t>
      </w:r>
      <w:r>
        <w:rPr>
          <w:rFonts w:ascii="Times New Roman" w:cs="Times New Roman" w:eastAsia="Times New Roman" w:hAnsi="Times New Roman"/>
          <w:sz w:val="19"/>
          <w:szCs w:val="19"/>
          <w:b w:val="1"/>
          <w:bCs w:val="1"/>
          <w:u w:val="single" w:color="auto"/>
          <w:color w:val="auto"/>
        </w:rPr>
        <w:t>Expenses of Registration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expenses (other than Selling Expenses) incurred in connection with registrations,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filings, or qualifications pursuant to Section 3, including all registration, filing, and qualification fees; printers’ and accounting fees; fees and disbursements of counsel for the Company; and the reasonable fees and disbursements of one Selling Holder Counsel, not to exceed $30,000,</w:t>
      </w: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shall be borne and paid by the Company;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that (a) the Company shall not be required to pay for any expenses of any registration proceeding begun pursuant to Section 3.1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 3.1.1 or Section 3.1.2, as the case may be, and (b) if, at the time of such withdrawal, the Holders shall have learned of a material adverse change in the condition, business, or prospects of the Company not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 3.1.1 or Section 3.1.2. All Selling Expenses relating to Registrable Securities registered pursuant to this Section 3 shall be borne and paid by the Holders pro rata on the basis of the number of Registrable Securities registered on their behalf.</w:t>
      </w:r>
    </w:p>
    <w:p>
      <w:pPr>
        <w:spacing w:after="0" w:line="19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3.7 </w:t>
      </w:r>
      <w:r>
        <w:rPr>
          <w:rFonts w:ascii="Times New Roman" w:cs="Times New Roman" w:eastAsia="Times New Roman" w:hAnsi="Times New Roman"/>
          <w:sz w:val="20"/>
          <w:szCs w:val="20"/>
          <w:b w:val="1"/>
          <w:bCs w:val="1"/>
          <w:u w:val="single" w:color="auto"/>
          <w:color w:val="auto"/>
        </w:rPr>
        <w:t>Delay of Registration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Holder shall have any right to obtain or seek an injunction restraining or otherwise delaying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registration pursuant to this Agreement as the result of any controversy that might arise with respect to the interpretation or implementation of this Section 3.</w:t>
      </w:r>
    </w:p>
    <w:p>
      <w:pPr>
        <w:spacing w:after="0" w:line="162"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3.8</w:t>
      </w:r>
      <w:r>
        <w:rPr>
          <w:sz w:val="20"/>
          <w:szCs w:val="20"/>
          <w:color w:val="auto"/>
        </w:rPr>
        <w:tab/>
      </w:r>
      <w:r>
        <w:rPr>
          <w:rFonts w:ascii="Times New Roman" w:cs="Times New Roman" w:eastAsia="Times New Roman" w:hAnsi="Times New Roman"/>
          <w:sz w:val="19"/>
          <w:szCs w:val="19"/>
          <w:b w:val="1"/>
          <w:bCs w:val="1"/>
          <w:u w:val="single" w:color="auto"/>
          <w:color w:val="auto"/>
        </w:rPr>
        <w:t>Indemnification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If any Registrable Securities are included in a registration statement under this Section 3:</w:t>
      </w:r>
    </w:p>
    <w:p>
      <w:pPr>
        <w:spacing w:after="0" w:line="233"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color w:val="auto"/>
        </w:rPr>
        <w:t xml:space="preserve">3.8.1 </w:t>
      </w:r>
      <w:r>
        <w:rPr>
          <w:rFonts w:ascii="Times New Roman" w:cs="Times New Roman" w:eastAsia="Times New Roman" w:hAnsi="Times New Roman"/>
          <w:sz w:val="20"/>
          <w:szCs w:val="20"/>
          <w:u w:val="single" w:color="auto"/>
          <w:color w:val="auto"/>
        </w:rPr>
        <w:t>Company Indemnification</w:t>
      </w:r>
      <w:r>
        <w:rPr>
          <w:rFonts w:ascii="Times New Roman" w:cs="Times New Roman" w:eastAsia="Times New Roman" w:hAnsi="Times New Roman"/>
          <w:sz w:val="20"/>
          <w:szCs w:val="20"/>
          <w:color w:val="auto"/>
        </w:rPr>
        <w:t xml:space="preserve">. 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indemnity agreement contained in this Section 3.8.1 shall not apply to amounts paid in settlement of any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claim or proceeding if such settlement is effected without the consent of the Company, which consent shall not be unreasonably withheld, conditioned, or delayed nor shall the Company be liable for any Damages to the extent that they arise out of or are based upon actions or omissions made in reliance upon and in conformity with written information furnished by or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20"/>
          <w:szCs w:val="20"/>
          <w:color w:val="auto"/>
        </w:rPr>
        <w:t>of any such Holder, underwriter, controlling Person, or other aforementioned Person expressly for use in connection with such registration.</w:t>
      </w:r>
    </w:p>
    <w:p>
      <w:pPr>
        <w:spacing w:after="0" w:line="229" w:lineRule="exact"/>
        <w:rPr>
          <w:sz w:val="20"/>
          <w:szCs w:val="20"/>
          <w:color w:val="auto"/>
        </w:rPr>
      </w:pPr>
    </w:p>
    <w:p>
      <w:pPr>
        <w:jc w:val="both"/>
        <w:ind w:firstLine="1944"/>
        <w:spacing w:after="0" w:line="264" w:lineRule="auto"/>
        <w:rPr>
          <w:sz w:val="20"/>
          <w:szCs w:val="20"/>
          <w:color w:val="auto"/>
        </w:rPr>
      </w:pPr>
      <w:r>
        <w:rPr>
          <w:rFonts w:ascii="Times New Roman" w:cs="Times New Roman" w:eastAsia="Times New Roman" w:hAnsi="Times New Roman"/>
          <w:sz w:val="19"/>
          <w:szCs w:val="19"/>
          <w:color w:val="auto"/>
        </w:rPr>
        <w:t xml:space="preserve">3.8.2 </w:t>
      </w:r>
      <w:r>
        <w:rPr>
          <w:rFonts w:ascii="Times New Roman" w:cs="Times New Roman" w:eastAsia="Times New Roman" w:hAnsi="Times New Roman"/>
          <w:sz w:val="19"/>
          <w:szCs w:val="19"/>
          <w:u w:val="single" w:color="auto"/>
          <w:color w:val="auto"/>
        </w:rPr>
        <w:t>Selling Holder Indemnification</w:t>
      </w:r>
      <w:r>
        <w:rPr>
          <w:rFonts w:ascii="Times New Roman" w:cs="Times New Roman" w:eastAsia="Times New Roman" w:hAnsi="Times New Roman"/>
          <w:sz w:val="19"/>
          <w:szCs w:val="19"/>
          <w:color w:val="auto"/>
        </w:rPr>
        <w:t xml:space="preserve">.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that (a) the indemnity agreement contained in this Section 3.8.2 shall not apply to amounts paid in settlement of any such claim or proceeding if such settlement is effected without the consent of the Holder, which consent shall not be unreasonably withheld, conditioned or delayed, and (b) that in no event shall the aggregate amounts payable by any Holder by way of indemnity or contribution under Sections 3.8.2 and 3.8.4 exceed the proceeds from the offering received by such Holder (net of any Selling Expenses paid by such Holder), except in the case of fraud or willful misconduct by such Holder.</w:t>
      </w:r>
    </w:p>
    <w:p>
      <w:pPr>
        <w:spacing w:after="0" w:line="170"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20"/>
          <w:szCs w:val="20"/>
          <w:color w:val="auto"/>
        </w:rPr>
        <w:t xml:space="preserve">3.8.3 </w:t>
      </w:r>
      <w:r>
        <w:rPr>
          <w:rFonts w:ascii="Times New Roman" w:cs="Times New Roman" w:eastAsia="Times New Roman" w:hAnsi="Times New Roman"/>
          <w:sz w:val="20"/>
          <w:szCs w:val="20"/>
          <w:u w:val="single" w:color="auto"/>
          <w:color w:val="auto"/>
        </w:rPr>
        <w:t>Procedures</w:t>
      </w:r>
      <w:r>
        <w:rPr>
          <w:rFonts w:ascii="Times New Roman" w:cs="Times New Roman" w:eastAsia="Times New Roman" w:hAnsi="Times New Roman"/>
          <w:sz w:val="20"/>
          <w:szCs w:val="20"/>
          <w:color w:val="auto"/>
        </w:rPr>
        <w:t xml:space="preserve">. Promptly after receipt by an indemnified party under this Section 3.8 of notice of the commencement of any action (including any governmental action) for which a party may be entitled to indemnification hereunder, such indemnified party will, if a claim in respect thereof is to be made against any indemnifying party under this Section 3.8,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3.8, solely to the extent that such failure prejudices the indemnifying party’s ability to defend such action.</w:t>
      </w:r>
    </w:p>
    <w:p>
      <w:pPr>
        <w:spacing w:after="0" w:line="178"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0"/>
          <w:szCs w:val="20"/>
          <w:color w:val="auto"/>
        </w:rPr>
        <w:t xml:space="preserve">3.8.4 </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To provide for just and equitable contribution to joint liability under the Securities Act in any case in which either (a) any party otherwise entitled to indemnification hereunder makes a claim for indemnification pursuant to this Section 3.8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3.8 provides for indemnification in such case, or (b) contribution under the Securities Act may be required on the part of any party hereto for which indemnification is provided under this Section 3.8, then, and in each such case, such parties will contribute to the aggregate losses, claims, damages, liabilities, or expenses to which they may be subject (after contribution from others) in such proportion as is appropriate to reflect the relative fault of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294" w:name="page295"/>
    <w:bookmarkEnd w:id="29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w:t>
      </w:r>
    </w:p>
    <w:p>
      <w:pPr>
        <w:spacing w:after="0" w:line="192" w:lineRule="exact"/>
        <w:rPr>
          <w:sz w:val="20"/>
          <w:szCs w:val="20"/>
          <w:color w:val="auto"/>
        </w:rPr>
      </w:pPr>
    </w:p>
    <w:p>
      <w:pPr>
        <w:jc w:val="both"/>
        <w:ind w:firstLine="2600"/>
        <w:spacing w:after="0" w:line="254" w:lineRule="auto"/>
        <w:tabs>
          <w:tab w:leader="none" w:pos="308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such case, (A) no Holder will be required to contribute any amount in excess of the public offering price of all such Registrable Securities offered and sold by such Holder pursuant to such registration statement, and (B) no Person guilty of fraudulent misrepresentation (within the meaning of Section 11(f) of the Securities Act) will be entitled to contribution from any Person who was not guilty of such fraudulent misrepresentation; and</w:t>
      </w:r>
    </w:p>
    <w:p>
      <w:pPr>
        <w:spacing w:after="0" w:line="187" w:lineRule="exact"/>
        <w:rPr>
          <w:rFonts w:ascii="Times New Roman" w:cs="Times New Roman" w:eastAsia="Times New Roman" w:hAnsi="Times New Roman"/>
          <w:sz w:val="20"/>
          <w:szCs w:val="20"/>
          <w:color w:val="auto"/>
        </w:rPr>
      </w:pPr>
    </w:p>
    <w:p>
      <w:pPr>
        <w:jc w:val="both"/>
        <w:ind w:firstLine="2600"/>
        <w:spacing w:after="0" w:line="261" w:lineRule="auto"/>
        <w:tabs>
          <w:tab w:leader="none" w:pos="307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a Holder’s liability pursuant to this Section 3.8.4, when combined with the amounts paid or payable by such Holder pursuant to Section 3.8.2, exceed the proceeds from the offering received by such Holder (net of any Selling Expenses) paid by such Holder), except in the case of fraud or willful misconduct by such Holder.</w:t>
      </w:r>
    </w:p>
    <w:p>
      <w:pPr>
        <w:spacing w:after="0" w:line="181"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 xml:space="preserve">3.8.5 </w:t>
      </w:r>
      <w:r>
        <w:rPr>
          <w:rFonts w:ascii="Times New Roman" w:cs="Times New Roman" w:eastAsia="Times New Roman" w:hAnsi="Times New Roman"/>
          <w:sz w:val="20"/>
          <w:szCs w:val="20"/>
          <w:u w:val="single" w:color="auto"/>
          <w:color w:val="auto"/>
        </w:rPr>
        <w:t>Underwriting Agreement Controls</w:t>
      </w:r>
      <w:r>
        <w:rPr>
          <w:rFonts w:ascii="Times New Roman" w:cs="Times New Roman" w:eastAsia="Times New Roman" w:hAnsi="Times New Roman"/>
          <w:sz w:val="20"/>
          <w:szCs w:val="20"/>
          <w:color w:val="auto"/>
        </w:rPr>
        <w:t>.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 xml:space="preserve">3.8.6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Unless otherwise superseded by an underwriting agreement entered into in connection with the underwritten public offering, the obligations of the Company and Holders under this Section 3.8 shall survive the completion of any offering of Registrable Securities in a registration under this Section 3, and otherwise shall survive the termination of this Agreement.</w:t>
      </w:r>
    </w:p>
    <w:p>
      <w:pPr>
        <w:spacing w:after="0" w:line="16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3.9 </w:t>
      </w:r>
      <w:r>
        <w:rPr>
          <w:rFonts w:ascii="Times New Roman" w:cs="Times New Roman" w:eastAsia="Times New Roman" w:hAnsi="Times New Roman"/>
          <w:sz w:val="20"/>
          <w:szCs w:val="20"/>
          <w:b w:val="1"/>
          <w:bCs w:val="1"/>
          <w:u w:val="single" w:color="auto"/>
          <w:color w:val="auto"/>
        </w:rPr>
        <w:t>Reports under the Exchange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 view to making available to the Holders the benefits of SEC Rule 144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rule or regulation of the SEC that may at any time permit a Holder to sell securities of the Company to the public without registration or pursuant to a registration on Form S-3, the Company shall:</w:t>
      </w:r>
    </w:p>
    <w:p>
      <w:pPr>
        <w:spacing w:after="0" w:line="179" w:lineRule="exact"/>
        <w:rPr>
          <w:sz w:val="20"/>
          <w:szCs w:val="20"/>
          <w:color w:val="auto"/>
        </w:rPr>
      </w:pPr>
    </w:p>
    <w:p>
      <w:pPr>
        <w:jc w:val="both"/>
        <w:ind w:firstLine="1952"/>
        <w:spacing w:after="0" w:line="261" w:lineRule="auto"/>
        <w:tabs>
          <w:tab w:leader="none" w:pos="240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make and keep available adequate current public information, as those terms are understood and defined in SEC Rule 144, at all times after the effective date of the registration statement filed by the Company for the IPO;</w:t>
      </w:r>
    </w:p>
    <w:p>
      <w:pPr>
        <w:spacing w:after="0" w:line="181" w:lineRule="exact"/>
        <w:rPr>
          <w:rFonts w:ascii="Times New Roman" w:cs="Times New Roman" w:eastAsia="Times New Roman" w:hAnsi="Times New Roman"/>
          <w:sz w:val="20"/>
          <w:szCs w:val="20"/>
          <w:color w:val="auto"/>
        </w:rPr>
      </w:pPr>
    </w:p>
    <w:p>
      <w:pPr>
        <w:jc w:val="both"/>
        <w:ind w:firstLine="1952"/>
        <w:spacing w:after="0" w:line="261" w:lineRule="auto"/>
        <w:tabs>
          <w:tab w:leader="none" w:pos="2429"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8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39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295" w:name="page296"/>
    <w:bookmarkEnd w:id="295"/>
    <w:p>
      <w:pPr>
        <w:jc w:val="both"/>
        <w:spacing w:after="0" w:line="261" w:lineRule="auto"/>
        <w:rPr>
          <w:sz w:val="20"/>
          <w:szCs w:val="20"/>
          <w:color w:val="auto"/>
        </w:rPr>
      </w:pPr>
      <w:r>
        <w:rPr>
          <w:rFonts w:ascii="Times New Roman" w:cs="Times New Roman" w:eastAsia="Times New Roman" w:hAnsi="Times New Roman"/>
          <w:sz w:val="20"/>
          <w:szCs w:val="20"/>
          <w:color w:val="auto"/>
        </w:rPr>
        <w:t>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7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3.10 </w:t>
      </w:r>
      <w:r>
        <w:rPr>
          <w:rFonts w:ascii="Times New Roman" w:cs="Times New Roman" w:eastAsia="Times New Roman" w:hAnsi="Times New Roman"/>
          <w:sz w:val="20"/>
          <w:szCs w:val="20"/>
          <w:b w:val="1"/>
          <w:bCs w:val="1"/>
          <w:u w:val="single" w:color="auto"/>
          <w:color w:val="auto"/>
        </w:rPr>
        <w:t>Limitations on Subsequent Registration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and after the date of this Agreement, the Company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prior written consent of the Holders of a majority of the Registrable Securities then outstanding, enter into any agreement with any holder or prospective holder of any securities of the Company that would allow such holder or prospective holder to include such securities in any registration if such agreement (a) would allow such holder or prospective holder to include a portion of its securities in any “piggyback” registration if such inclusion could reduce the number of Registrable Securities that selling Holders could be entitled to include in such registration under Sections 3.2 and 3.3.2 hereof or (b) would allow such holder or prospective holder to initiate a demand for registration of any of its securities at a time earlier than the Holders of Registrable Securities can demand registration under Section 3.1 hereof.</w:t>
      </w:r>
    </w:p>
    <w:p>
      <w:pPr>
        <w:spacing w:after="0" w:line="188"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3.11 </w:t>
      </w:r>
      <w:r>
        <w:rPr>
          <w:rFonts w:ascii="Times New Roman" w:cs="Times New Roman" w:eastAsia="Times New Roman" w:hAnsi="Times New Roman"/>
          <w:sz w:val="20"/>
          <w:szCs w:val="20"/>
          <w:b w:val="1"/>
          <w:bCs w:val="1"/>
          <w:u w:val="single" w:color="auto"/>
          <w:color w:val="auto"/>
        </w:rPr>
        <w:t>“Market Stand-off”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Holder hereby agrees that, during the Standoff Period, such Holder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prior written consent of the Company or the managing underwriter,</w:t>
      </w:r>
    </w:p>
    <w:p>
      <w:pPr>
        <w:spacing w:after="0" w:line="169" w:lineRule="exact"/>
        <w:rPr>
          <w:sz w:val="20"/>
          <w:szCs w:val="20"/>
          <w:color w:val="auto"/>
        </w:rPr>
      </w:pPr>
    </w:p>
    <w:p>
      <w:pPr>
        <w:jc w:val="both"/>
        <w:ind w:right="20" w:firstLine="2600"/>
        <w:spacing w:after="0" w:line="258" w:lineRule="auto"/>
        <w:tabs>
          <w:tab w:leader="none" w:pos="303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172" w:lineRule="exact"/>
        <w:rPr>
          <w:rFonts w:ascii="Times New Roman" w:cs="Times New Roman" w:eastAsia="Times New Roman" w:hAnsi="Times New Roman"/>
          <w:sz w:val="20"/>
          <w:szCs w:val="20"/>
          <w:color w:val="auto"/>
        </w:rPr>
      </w:pPr>
    </w:p>
    <w:p>
      <w:pPr>
        <w:jc w:val="both"/>
        <w:ind w:firstLine="2600"/>
        <w:spacing w:after="0" w:line="261" w:lineRule="auto"/>
        <w:tabs>
          <w:tab w:leader="none" w:pos="312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foregoing provisions of this Section 3.11 shall only apply to the IPO and shall not apply to the sale of any shares to an underwriter pursuant to an underwriting agreement, and shall be applicable to the Holders only if all officers, directors, and stockholders individually owning more than one percent (1%) of the Company’s outstanding Common Stock (after giving effect to conversion into Common Stock of all outstanding Preferred Stock) are similarly bound. For purposes of this Section 3.11,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3.11 and to impose stop transfer instructions with respect to such shares until the end of such period. The underwriters in connection with such registration are intended third-party beneficiaries of this Section 3.11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Section 3.11 or that are necessary to give further effect thereto.</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3.12</w:t>
      </w:r>
      <w:r>
        <w:rPr>
          <w:sz w:val="20"/>
          <w:szCs w:val="20"/>
          <w:color w:val="auto"/>
        </w:rPr>
        <w:tab/>
      </w:r>
      <w:r>
        <w:rPr>
          <w:rFonts w:ascii="Times New Roman" w:cs="Times New Roman" w:eastAsia="Times New Roman" w:hAnsi="Times New Roman"/>
          <w:sz w:val="19"/>
          <w:szCs w:val="19"/>
          <w:b w:val="1"/>
          <w:bCs w:val="1"/>
          <w:u w:val="single" w:color="auto"/>
          <w:color w:val="auto"/>
        </w:rPr>
        <w:t>Restrictions on Transfer</w:t>
      </w:r>
      <w:r>
        <w:rPr>
          <w:rFonts w:ascii="Times New Roman" w:cs="Times New Roman" w:eastAsia="Times New Roman" w:hAnsi="Times New Roman"/>
          <w:sz w:val="19"/>
          <w:szCs w:val="19"/>
          <w:b w:val="1"/>
          <w:bCs w:val="1"/>
          <w:color w:val="auto"/>
        </w:rPr>
        <w:t>.</w:t>
      </w:r>
    </w:p>
    <w:p>
      <w:pPr>
        <w:spacing w:after="0" w:line="223" w:lineRule="exact"/>
        <w:rPr>
          <w:sz w:val="20"/>
          <w:szCs w:val="20"/>
          <w:color w:val="auto"/>
        </w:rPr>
      </w:pPr>
    </w:p>
    <w:p>
      <w:pPr>
        <w:jc w:val="both"/>
        <w:ind w:firstLine="1944"/>
        <w:spacing w:after="0" w:line="293" w:lineRule="auto"/>
        <w:rPr>
          <w:sz w:val="20"/>
          <w:szCs w:val="20"/>
          <w:color w:val="auto"/>
        </w:rPr>
      </w:pPr>
      <w:r>
        <w:rPr>
          <w:rFonts w:ascii="Times New Roman" w:cs="Times New Roman" w:eastAsia="Times New Roman" w:hAnsi="Times New Roman"/>
          <w:sz w:val="20"/>
          <w:szCs w:val="20"/>
          <w:color w:val="auto"/>
        </w:rPr>
        <w:t xml:space="preserve">3.12.1 </w:t>
      </w:r>
      <w:r>
        <w:rPr>
          <w:rFonts w:ascii="Times New Roman" w:cs="Times New Roman" w:eastAsia="Times New Roman" w:hAnsi="Times New Roman"/>
          <w:sz w:val="20"/>
          <w:szCs w:val="20"/>
          <w:u w:val="single" w:color="auto"/>
          <w:color w:val="auto"/>
        </w:rPr>
        <w:t>Agreement Binding</w:t>
      </w:r>
      <w:r>
        <w:rPr>
          <w:rFonts w:ascii="Times New Roman" w:cs="Times New Roman" w:eastAsia="Times New Roman" w:hAnsi="Times New Roman"/>
          <w:sz w:val="20"/>
          <w:szCs w:val="20"/>
          <w:color w:val="auto"/>
        </w:rPr>
        <w:t>. The Preferred Stock and the Registrable Securities shall not be sold, pledged, or otherwise transferred, and the Company shall not recognize and shall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96" w:name="page297"/>
    <w:bookmarkEnd w:id="296"/>
    <w:p>
      <w:pPr>
        <w:jc w:val="both"/>
        <w:spacing w:after="0" w:line="258" w:lineRule="auto"/>
        <w:rPr>
          <w:sz w:val="20"/>
          <w:szCs w:val="20"/>
          <w:color w:val="auto"/>
        </w:rPr>
      </w:pPr>
      <w:r>
        <w:rPr>
          <w:rFonts w:ascii="Times New Roman" w:cs="Times New Roman" w:eastAsia="Times New Roman" w:hAnsi="Times New Roman"/>
          <w:sz w:val="20"/>
          <w:szCs w:val="20"/>
          <w:color w:val="auto"/>
        </w:rPr>
        <w:t>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76"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20"/>
          <w:szCs w:val="20"/>
          <w:color w:val="auto"/>
        </w:rPr>
        <w:t xml:space="preserve">3.12.2 </w:t>
      </w: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Each certificate or instrument representing (a) the Preferred Stock, (b) the Registrable Securities, and (c) any other securities issued in respect of the securities referenced in clauses (a) and (b), upon any stock split, stock dividend, recapitalization, merger, consolidation, or similar event, shall (unless otherwise permitted by the provisions of Section 3.12.1) be stamped or otherwise imprinted with a legend substantially in the following form:</w:t>
      </w:r>
    </w:p>
    <w:p>
      <w:pPr>
        <w:spacing w:after="0" w:line="176" w:lineRule="exact"/>
        <w:rPr>
          <w:sz w:val="20"/>
          <w:szCs w:val="20"/>
          <w:color w:val="auto"/>
        </w:rPr>
      </w:pPr>
    </w:p>
    <w:p>
      <w:pPr>
        <w:jc w:val="both"/>
        <w:ind w:left="660" w:right="640"/>
        <w:spacing w:after="0" w:line="254" w:lineRule="auto"/>
        <w:rPr>
          <w:sz w:val="20"/>
          <w:szCs w:val="20"/>
          <w:color w:val="auto"/>
        </w:rPr>
      </w:pPr>
      <w:r>
        <w:rPr>
          <w:rFonts w:ascii="Times New Roman" w:cs="Times New Roman" w:eastAsia="Times New Roman" w:hAnsi="Times New Roman"/>
          <w:sz w:val="20"/>
          <w:szCs w:val="20"/>
          <w:i w:val="1"/>
          <w:iCs w:val="1"/>
          <w:color w:val="auto"/>
        </w:rPr>
        <w:t>THE SHARES REPRESENTED BY THIS CERTIFICATE HAVE NOT BEEN REGISTERED UNDER THE SECURITIES ACT OF 1933, AS AMENDED, AND HAVE BEEN ACQUIRED FOR INVESTMENT AND NOT WITH A VIEW TO, OR IN CONNECTION WITH, THE SALE OR DISTRIBUTION THEREOF. NO TRANSFER MAY BE EFFECTED WITHOUT AN EFFECTIVE REGISTRATION STATEMENT RELATED THERETO OR AN OPINION OF COUNSEL IN A FORM REASONABLY SATISFACTORY TO THE COMPANY THAT SUCH REGISTRATION IS NOT REQUIRED UNDER THE SECURITIES ACT OF 1933, AS AMENDED.</w:t>
      </w:r>
    </w:p>
    <w:p>
      <w:pPr>
        <w:spacing w:after="0" w:line="173" w:lineRule="exact"/>
        <w:rPr>
          <w:sz w:val="20"/>
          <w:szCs w:val="20"/>
          <w:color w:val="auto"/>
        </w:rPr>
      </w:pPr>
    </w:p>
    <w:p>
      <w:pPr>
        <w:jc w:val="both"/>
        <w:ind w:left="660" w:right="660"/>
        <w:spacing w:after="0" w:line="270" w:lineRule="auto"/>
        <w:rPr>
          <w:sz w:val="20"/>
          <w:szCs w:val="20"/>
          <w:color w:val="auto"/>
        </w:rPr>
      </w:pPr>
      <w:r>
        <w:rPr>
          <w:rFonts w:ascii="Times New Roman" w:cs="Times New Roman" w:eastAsia="Times New Roman" w:hAnsi="Times New Roman"/>
          <w:sz w:val="20"/>
          <w:szCs w:val="20"/>
          <w:i w:val="1"/>
          <w:iCs w:val="1"/>
          <w:color w:val="auto"/>
        </w:rPr>
        <w:t>THE SHARES REPRESENTED BY THIS CERTIFICATE MAY BE TRANSFERRED ONLY IN ACCORDANCE WITH THE TERMS OF AN AGREEMENT BETWEEN THE COMPANY AND THE STOCKHOLDER, A COPY OF WHICH IS ON FILE WITH THE SECRETARY OF THE COMPANY.</w:t>
      </w:r>
    </w:p>
    <w:p>
      <w:pPr>
        <w:spacing w:after="0" w:line="15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Holders consent to the Company making a notation in its records and giving instructions to any transfer agent of the Restricted Securities in order to implement the restrictions on transfer set forth in this Section 3.12.</w:t>
      </w:r>
    </w:p>
    <w:p>
      <w:pPr>
        <w:spacing w:after="0" w:line="150"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20"/>
          <w:szCs w:val="20"/>
          <w:color w:val="auto"/>
        </w:rPr>
        <w:t xml:space="preserve">3.12.3 </w:t>
      </w:r>
      <w:r>
        <w:rPr>
          <w:rFonts w:ascii="Times New Roman" w:cs="Times New Roman" w:eastAsia="Times New Roman" w:hAnsi="Times New Roman"/>
          <w:sz w:val="20"/>
          <w:szCs w:val="20"/>
          <w:u w:val="single" w:color="auto"/>
          <w:color w:val="auto"/>
        </w:rPr>
        <w:t>Procedure</w:t>
      </w:r>
      <w:r>
        <w:rPr>
          <w:rFonts w:ascii="Times New Roman" w:cs="Times New Roman" w:eastAsia="Times New Roman" w:hAnsi="Times New Roman"/>
          <w:sz w:val="20"/>
          <w:szCs w:val="20"/>
          <w:color w:val="auto"/>
        </w:rPr>
        <w:t>. The holder of each certificate representing Restricted Securities, by acceptance thereof, agrees to comply in all respects with the provisions of this Section 3.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(a) a written opinion of legal counsel who shall, and whose legal opinion shall, be reasonably satisfactory to the Company, addressed to the Company, to the effect that the proposed transaction may be effected without registration under the Securities Act; (b) a “no action” letter from the SEC to the effect that the proposed sale, pledge, or transfer of such Restricted Securities without registration will not result in a recommendation by the staff of the SEC that action be taken with respect thereto; or (c)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(i) in any transaction in compliance with SEC Rule 144 or (ii) in any transaction in which such Holder distributes Restricted Securities to an Affiliate of such Holder for no consideration; provided that each transferee agrees in writing to be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297" w:name="page298"/>
    <w:bookmarkEnd w:id="29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to the terms of this Section 3.12. Each certificate or instrument evidencing the Restricted Securities transferred as above provided shall bear, except if such transfer is made pursuant to SEC Rule 144, the appropriate restrictive legend set forth in Section 3.12.2, except that such certificate shall not bear such restrictive legend if, in the opinion of counsel for such Holder and the Company, such legend is not required in order to establish compliance with any provisions of the Securities Act. Until the IPO, no Holder shall transfer any Restricted Securities to any person or entity that is determined to be a competitor of the Company, in the good faith judgment of the Board,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this sentence shall not apply to any transfer by a Fund Investor to any Affiliate, limited partner, retired or former partner, member, retired or former member, or stockholder of a Fund Investor or such Fund Investor’s Affiliate.</w:t>
      </w:r>
    </w:p>
    <w:p>
      <w:pPr>
        <w:spacing w:after="0" w:line="175" w:lineRule="exact"/>
        <w:rPr>
          <w:sz w:val="20"/>
          <w:szCs w:val="20"/>
          <w:color w:val="auto"/>
        </w:rPr>
      </w:pPr>
    </w:p>
    <w:p>
      <w:pPr>
        <w:jc w:val="both"/>
        <w:ind w:firstLine="656"/>
        <w:spacing w:after="0" w:line="254" w:lineRule="auto"/>
        <w:tabs>
          <w:tab w:leader="none" w:pos="1102"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RIGHTS TO FUTURE STOCK ISSUANCES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of this Section 3.12.1 and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laws, if the Company proposes to sell any New Securities, the Company shall offer to sell a portion of New Securities to each Major Investor as described in this Section 3.12.1. A Major Investor shall be entitled to apportion the right of first refusal hereby granted to it among itself and its Affiliates in such proportions as it deems appropriate. The right of first refusal in this Section 3.12.1 shall not be applicable with respect to any Major Investor, if at the time of such subsequent securities issuance, the Major Investor is not an “accredited investor,” as that term is then defined in Rule 501(a) under the Securities Act.</w:t>
      </w:r>
    </w:p>
    <w:p>
      <w:pPr>
        <w:spacing w:after="0" w:line="18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Company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give notice (the “</w:t>
      </w:r>
      <w:r>
        <w:rPr>
          <w:rFonts w:ascii="Times New Roman" w:cs="Times New Roman" w:eastAsia="Times New Roman" w:hAnsi="Times New Roman"/>
          <w:sz w:val="20"/>
          <w:szCs w:val="20"/>
          <w:b w:val="1"/>
          <w:bCs w:val="1"/>
          <w:i w:val="1"/>
          <w:iCs w:val="1"/>
          <w:color w:val="auto"/>
        </w:rPr>
        <w:t>Offer Notice</w:t>
      </w:r>
      <w:r>
        <w:rPr>
          <w:rFonts w:ascii="Times New Roman" w:cs="Times New Roman" w:eastAsia="Times New Roman" w:hAnsi="Times New Roman"/>
          <w:sz w:val="20"/>
          <w:szCs w:val="20"/>
          <w:color w:val="auto"/>
        </w:rPr>
        <w:t>”) to each Major Investor, stating (a) its bona fide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intention to sell such New Securities, (b) the number of such New Securities to be sold and (c) the price and terms, if any, upon which it proposes to sell such New Securities.</w:t>
      </w:r>
    </w:p>
    <w:p>
      <w:pPr>
        <w:spacing w:after="0" w:line="17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Investor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written notice (the “</w:t>
      </w:r>
      <w:r>
        <w:rPr>
          <w:rFonts w:ascii="Times New Roman" w:cs="Times New Roman" w:eastAsia="Times New Roman" w:hAnsi="Times New Roman"/>
          <w:sz w:val="20"/>
          <w:szCs w:val="20"/>
          <w:b w:val="1"/>
          <w:bCs w:val="1"/>
          <w:i w:val="1"/>
          <w:iCs w:val="1"/>
          <w:color w:val="auto"/>
        </w:rPr>
        <w:t>Investor Notice</w:t>
      </w:r>
      <w:r>
        <w:rPr>
          <w:rFonts w:ascii="Times New Roman" w:cs="Times New Roman" w:eastAsia="Times New Roman" w:hAnsi="Times New Roman"/>
          <w:sz w:val="20"/>
          <w:szCs w:val="20"/>
          <w:color w:val="auto"/>
        </w:rPr>
        <w:t>”) to the Company within twenty (20) days after the Offer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is given, each Major Investor may elect to purchase or otherwise acquire, at the price and on the terms specified in the Offer Notice, up to such Major Investor’s Pro Rata Amount. In addition, each Major Investor that elects to purchase or acquire all of its Pro Rata Amount (each, a “</w:t>
      </w:r>
      <w:r>
        <w:rPr>
          <w:rFonts w:ascii="Times New Roman" w:cs="Times New Roman" w:eastAsia="Times New Roman" w:hAnsi="Times New Roman"/>
          <w:sz w:val="20"/>
          <w:szCs w:val="20"/>
          <w:b w:val="1"/>
          <w:bCs w:val="1"/>
          <w:i w:val="1"/>
          <w:iCs w:val="1"/>
          <w:color w:val="auto"/>
        </w:rPr>
        <w:t>Fully Exercising Investor</w:t>
      </w:r>
      <w:r>
        <w:rPr>
          <w:rFonts w:ascii="Times New Roman" w:cs="Times New Roman" w:eastAsia="Times New Roman" w:hAnsi="Times New Roman"/>
          <w:sz w:val="20"/>
          <w:szCs w:val="20"/>
          <w:color w:val="auto"/>
        </w:rPr>
        <w:t>”) may, in the Investor Notice, elect to purchase or acquire, in addition to its Pro Rata Amount, a portion of the New Securities, if any, for which other Major Investors were entitled to subscribe but that are not subscribed for by such Major Investors. The amount of such overallotment that each Fully Exercising Investor shall be entitled to purchase is equal to the proportion that the Common Stock then held by such Fully Exercising Investor (including Common Stock issuable (directly or indirectly) upon conversion and/or exercise, as applicable, of Preferred Stock and any other Derivative Securities then held by such Fully Exercising Investor) bears to the total Common Stock issued and held, or issuable (directly or indirectly) upon conversion and/or exercise, as applicable, of the Preferred Stock and any other Derivative Securities then held, by all Fully Exercising Investors who wish to purchase such unsubscribed shares; provided that, for purposes of determining the overallotment amounts for each Fully Exercising Investor at any relevant measurement date, it shall be deemed that the Convertible Securities have been converted pursuant to their terms into Preferred Stock pursuant to an End Date Conversion as if the End Date is as of the applicable measurement date and, for the avoidance of doubt, using the yield and Discount Factor that would be used assuming the End Date is as of the applicable measurement date. A Major Investor’s election may be conditioned on the consummation of the transaction described in the Offer Notice. The closing of any sale pursuant to this Section 4.2 shall occur on the earlier of one hundred and twenty (120) days after the date that the Offer Notice is given and the date of initial sale of New Securities pursuant to Section 4.3.</w:t>
      </w:r>
    </w:p>
    <w:p>
      <w:pPr>
        <w:spacing w:after="0" w:line="196"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b w:val="1"/>
          <w:bCs w:val="1"/>
          <w:u w:val="single" w:color="auto"/>
          <w:color w:val="auto"/>
        </w:rPr>
        <w:t>Sale of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all New Securities referred to in the Offer Notice are not elected to be purchased or acquired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Section 4.2, the Company may, during the ninety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298" w:name="page299"/>
    <w:bookmarkEnd w:id="298"/>
    <w:p>
      <w:pPr>
        <w:jc w:val="both"/>
        <w:spacing w:after="0" w:line="253" w:lineRule="auto"/>
        <w:rPr>
          <w:sz w:val="20"/>
          <w:szCs w:val="20"/>
          <w:color w:val="auto"/>
        </w:rPr>
      </w:pPr>
      <w:r>
        <w:rPr>
          <w:rFonts w:ascii="Times New Roman" w:cs="Times New Roman" w:eastAsia="Times New Roman" w:hAnsi="Times New Roman"/>
          <w:sz w:val="20"/>
          <w:szCs w:val="20"/>
          <w:color w:val="auto"/>
        </w:rPr>
        <w:t>day period following the expiration of the periods provided in Section 4.2,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Section 3.12.1.</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b w:val="1"/>
          <w:bCs w:val="1"/>
          <w:u w:val="single" w:color="auto"/>
          <w:color w:val="auto"/>
        </w:rPr>
        <w:t>Alternate Procedure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 provision hereof to the contrary, in lieu of complying with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Sections 4.1 and 4.2, the Company may elect to give notice to the Major Investors within thirty (30) days after the issuance of New Securities. Such notice shall describe the type, price, and terms of the New Securities, and the identities of the Persons to whom the New Securities were sold. Each Major Investor shall have twenty (20) days after the date the Company’s notice is given to elect, by giving notice to the Company, to purchase up to the number of New Securities that such Major Investor would otherwise have the right to purchase pursuant to Section 4.2 above had the Company complied with the provisions of Section 4.1 and 4.2 in connection with the issuance of such New Securities under the terms and conditions set forth in the Company’s notice pursuant to this Section 4.4. Any Major Investors electing to purchase such New Securities shall also have rights of oversubscription to purchase New Securities that were purchasable by other Major Investors pursuant to the foregoing sentence but were not so purchased, and such rights of oversubscription shall be apportioned in a manner consistent with the apportionment among Fully Exercising Investors described in Section 4.2. The closing of such sale shall occur within sixty (60) days of the date notice is given to the Major Investors.</w:t>
      </w:r>
    </w:p>
    <w:p>
      <w:pPr>
        <w:spacing w:after="0" w:line="189" w:lineRule="exact"/>
        <w:rPr>
          <w:sz w:val="20"/>
          <w:szCs w:val="20"/>
          <w:color w:val="auto"/>
        </w:rPr>
      </w:pPr>
    </w:p>
    <w:p>
      <w:pPr>
        <w:ind w:left="1000" w:hanging="344"/>
        <w:spacing w:after="0"/>
        <w:tabs>
          <w:tab w:leader="none" w:pos="100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COVENANTS</w:t>
      </w:r>
      <w:r>
        <w:rPr>
          <w:rFonts w:ascii="Times New Roman" w:cs="Times New Roman" w:eastAsia="Times New Roman" w:hAnsi="Times New Roman"/>
          <w:sz w:val="20"/>
          <w:szCs w:val="20"/>
          <w:b w:val="1"/>
          <w:bCs w:val="1"/>
          <w:color w:val="auto"/>
        </w:rPr>
        <w:t>.</w:t>
      </w:r>
    </w:p>
    <w:p>
      <w:pPr>
        <w:spacing w:after="0" w:line="210"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b w:val="1"/>
          <w:bCs w:val="1"/>
          <w:u w:val="single" w:color="auto"/>
          <w:color w:val="auto"/>
        </w:rPr>
        <w:t>Directors’ and Officers’ Insurance</w:t>
      </w:r>
      <w:r>
        <w:rPr>
          <w:rFonts w:ascii="Times New Roman" w:cs="Times New Roman" w:eastAsia="Times New Roman" w:hAnsi="Times New Roman"/>
          <w:sz w:val="23"/>
          <w:szCs w:val="23"/>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shall continue to maintain, from financially sound and reputable</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insurers, Directors and Officers liability insurance with a limit of at least $3,000,000.00 and on terms and conditions satisfactory to the Board, and will use commercially reasonable efforts to cause such insurance policies to be maintained until such time as the Board determines that such insurance should be discontinued. Additionally, the Company shall obtain, within ninety (90) days of the date hereof, from financially sound and reputable insurers term “key person” insurance on Ariel Cohen and Ilan Twig, each in an amount and on terms and conditions satisfactory to the Board, and will use commercially reasonable efforts to cause such insurance policy to be maintained until such time as the Board determines that such insurance should be discontinued. The key person policy shall name the Company as loss payee, and neither policy shall be cancelable by the Company without prior approval by the Board, including the approval of at a majority of the Preferred Directors (the “</w:t>
      </w:r>
      <w:r>
        <w:rPr>
          <w:rFonts w:ascii="Times New Roman" w:cs="Times New Roman" w:eastAsia="Times New Roman" w:hAnsi="Times New Roman"/>
          <w:sz w:val="19"/>
          <w:szCs w:val="19"/>
          <w:b w:val="1"/>
          <w:bCs w:val="1"/>
          <w:i w:val="1"/>
          <w:iCs w:val="1"/>
          <w:color w:val="auto"/>
        </w:rPr>
        <w:t>Requisite Preferred Director Vote</w:t>
      </w:r>
      <w:r>
        <w:rPr>
          <w:rFonts w:ascii="Times New Roman" w:cs="Times New Roman" w:eastAsia="Times New Roman" w:hAnsi="Times New Roman"/>
          <w:sz w:val="19"/>
          <w:szCs w:val="19"/>
          <w:color w:val="auto"/>
        </w:rPr>
        <w:t>”). Notwithstanding any other provision of this Section 5.1 to the contrary, for so long as a Preferred Director is serving on the Board, the Company shall not cease to maintain a Directors and Officers liability insurance policy in an amount of at least three (3) million unless approved by such Preferred Director, shall include the Investors entitled to designate the Preferred Directors pursuant to the Voting Agreement as additional insureds in such policy, and shall annually, within one hundred twenty</w:t>
      </w:r>
    </w:p>
    <w:p>
      <w:pPr>
        <w:spacing w:after="0" w:line="2" w:lineRule="exact"/>
        <w:rPr>
          <w:sz w:val="20"/>
          <w:szCs w:val="20"/>
          <w:color w:val="auto"/>
        </w:rPr>
      </w:pPr>
    </w:p>
    <w:p>
      <w:pPr>
        <w:jc w:val="both"/>
        <w:ind w:firstLine="8"/>
        <w:spacing w:after="0" w:line="251" w:lineRule="auto"/>
        <w:tabs>
          <w:tab w:leader="none" w:pos="48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end of each fiscal year of the Company, deliver to the Investors a certification that such a Directors and Officers liability insurance policy remains in effect. Each Key Holder hereby covenants and agrees that, to the extent such Key Holder is named under such key person policy, such Key Holder will execute and deliver to the Company, as reasonably requested, a written notice and consent form with respect to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299" w:name="page300"/>
    <w:bookmarkEnd w:id="299"/>
    <w:p>
      <w:pPr>
        <w:ind w:left="13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u w:val="single" w:color="auto"/>
          <w:color w:val="auto"/>
        </w:rPr>
        <w:t>Employee Agreements</w:t>
      </w: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Unless otherwise approved by the Board, including the Requisite Preferred Director Vote, the</w:t>
      </w:r>
    </w:p>
    <w:p>
      <w:pPr>
        <w:spacing w:after="0" w:line="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Company will cause each Person now or hereafter employed by it or by any subsidiary (or engaged by the Company or any subsidiary as a consultant/independent contractor) with access to confidential information and/or trade secrets to enter into a nondisclosure, proprietary rights assignment and non-solicitation agreement. In addition, the Company shall not amend, modify, terminate, waive, or otherwise alter, in whole or in part, any of the above-referenced agreements or any restricted stock agreement between the Company and any employee, without the consent of the Board, including the Requisite Preferred Director Vote.</w:t>
      </w:r>
    </w:p>
    <w:p>
      <w:pPr>
        <w:spacing w:after="0" w:line="185"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20"/>
          <w:szCs w:val="20"/>
          <w:b w:val="1"/>
          <w:bCs w:val="1"/>
          <w:u w:val="single" w:color="auto"/>
          <w:color w:val="auto"/>
        </w:rPr>
        <w:t>Employee Stock</w:t>
      </w:r>
      <w:r>
        <w:rPr>
          <w:rFonts w:ascii="Times New Roman" w:cs="Times New Roman" w:eastAsia="Times New Roman" w:hAnsi="Times New Roman"/>
          <w:sz w:val="23"/>
          <w:szCs w:val="23"/>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Unless otherwise approved by the Board, including the Requisite Preferred Director Vote, all</w:t>
      </w:r>
    </w:p>
    <w:p>
      <w:pPr>
        <w:spacing w:after="0" w:line="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employees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Section 3.11. Without the prior approval by the Board, including the Requisite Preferred Director Vote, the Company shall not amend, modify, terminate, waive or otherwise alter, in whole or in part, any stock purchase, stock restriction or option agreement with any existing employee or service provider if such amendment would cause it to be inconsistent with this Section 5.3. In addition, unless otherwise approved by the Board, including the Requisite Preferred Director Vote, the Company (x) shall not offer or allow any acceleration of vesting, and (y) shall retain (and not waive) a “right of first refusal” on employee transfers until the Company’s IPO and shall have the right to repurchase unvested shares at cost upon termination of employment of a holder of restricted stock.</w:t>
      </w:r>
    </w:p>
    <w:p>
      <w:pPr>
        <w:spacing w:after="0" w:line="17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Board Matters</w:t>
      </w:r>
      <w:r>
        <w:rPr>
          <w:rFonts w:ascii="Times New Roman" w:cs="Times New Roman" w:eastAsia="Times New Roman" w:hAnsi="Times New Roman"/>
          <w:sz w:val="23"/>
          <w:szCs w:val="23"/>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reimburse the nonemployee directors for all reasonable out-of-pocket travel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incurred (consistent with the Company’s travel policy) in connection with attending meetings of the Board and any committees and subcommittees thereof. The Company shall cause to be established, as soon as practicable after such request, and will maintain, an audit and compensation committee, each of which shall consist solely of non-management directors. Each non-employee director shall be entitled in such person’s discretion to be a member of all committees and subcommittees of the Board.</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5.5 </w:t>
      </w:r>
      <w:r>
        <w:rPr>
          <w:rFonts w:ascii="Times New Roman" w:cs="Times New Roman" w:eastAsia="Times New Roman" w:hAnsi="Times New Roman"/>
          <w:sz w:val="20"/>
          <w:szCs w:val="20"/>
          <w:b w:val="1"/>
          <w:bCs w:val="1"/>
          <w:u w:val="single" w:color="auto"/>
          <w:color w:val="auto"/>
        </w:rPr>
        <w:t>Successor Indemnification</w:t>
      </w:r>
      <w:r>
        <w:rPr>
          <w:rFonts w:ascii="Times New Roman" w:cs="Times New Roman" w:eastAsia="Times New Roman" w:hAnsi="Times New Roman"/>
          <w:sz w:val="23"/>
          <w:szCs w:val="23"/>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Company or any of its successors or assignees consolidates with or merges into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Certificate of Incorporation, or elsewhere, as the case may be.</w:t>
      </w:r>
    </w:p>
    <w:p>
      <w:pPr>
        <w:spacing w:after="0" w:line="17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5.6</w:t>
      </w:r>
      <w:r>
        <w:rPr>
          <w:sz w:val="20"/>
          <w:szCs w:val="20"/>
          <w:color w:val="auto"/>
        </w:rPr>
        <w:tab/>
      </w:r>
      <w:r>
        <w:rPr>
          <w:rFonts w:ascii="Times New Roman" w:cs="Times New Roman" w:eastAsia="Times New Roman" w:hAnsi="Times New Roman"/>
          <w:sz w:val="20"/>
          <w:szCs w:val="20"/>
          <w:b w:val="1"/>
          <w:bCs w:val="1"/>
          <w:u w:val="single" w:color="auto"/>
          <w:color w:val="auto"/>
        </w:rPr>
        <w:t>Indemnification Matters</w:t>
      </w:r>
      <w:r>
        <w:rPr>
          <w:rFonts w:ascii="Times New Roman" w:cs="Times New Roman" w:eastAsia="Times New Roman" w:hAnsi="Times New Roman"/>
          <w:sz w:val="23"/>
          <w:szCs w:val="23"/>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hereby acknowledges that one (1) or more of the Preferred Directors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nominated to serve on the Board by one (1) or more Fund Investors may have certain rights to indemnification, advancement of expenses and/or insurance provided by one (1) or more of the Fund Investors and certain of their Affiliates (collectively, the “</w:t>
      </w:r>
      <w:r>
        <w:rPr>
          <w:rFonts w:ascii="Times New Roman" w:cs="Times New Roman" w:eastAsia="Times New Roman" w:hAnsi="Times New Roman"/>
          <w:sz w:val="20"/>
          <w:szCs w:val="20"/>
          <w:b w:val="1"/>
          <w:bCs w:val="1"/>
          <w:i w:val="1"/>
          <w:iCs w:val="1"/>
          <w:color w:val="auto"/>
        </w:rPr>
        <w:t>Investor Indemnitors</w:t>
      </w:r>
      <w:r>
        <w:rPr>
          <w:rFonts w:ascii="Times New Roman" w:cs="Times New Roman" w:eastAsia="Times New Roman" w:hAnsi="Times New Roman"/>
          <w:sz w:val="20"/>
          <w:szCs w:val="20"/>
          <w:color w:val="auto"/>
        </w:rPr>
        <w:t>”). The Company hereby agrees (a) that it is the indemnitor of first resort (i.e., its obligations to any such Preferred Director are primary and any obligation of the Investor Indemnitors to advance expenses or to provide indemnification for the same expenses or liabilities incurred by such Preferred Director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04" w:right="339" w:bottom="1440" w:gutter="0" w:footer="0" w:header="0"/>
        </w:sectPr>
      </w:pPr>
    </w:p>
    <w:bookmarkStart w:id="300" w:name="page301"/>
    <w:bookmarkEnd w:id="300"/>
    <w:p>
      <w:pPr>
        <w:jc w:val="both"/>
        <w:spacing w:after="0" w:line="265" w:lineRule="auto"/>
        <w:rPr>
          <w:sz w:val="20"/>
          <w:szCs w:val="20"/>
          <w:color w:val="auto"/>
        </w:rPr>
      </w:pPr>
      <w:r>
        <w:rPr>
          <w:rFonts w:ascii="Times New Roman" w:cs="Times New Roman" w:eastAsia="Times New Roman" w:hAnsi="Times New Roman"/>
          <w:sz w:val="19"/>
          <w:szCs w:val="19"/>
          <w:color w:val="auto"/>
        </w:rPr>
        <w:t>secondary), (b) 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Certificate of Incorporation or Bylaws of the Company (or any agreement between the Company and such Preferred Director), without regard to any rights such Preferred Director may have against the Investor Indemnitors, and,</w:t>
      </w:r>
    </w:p>
    <w:p>
      <w:pPr>
        <w:spacing w:after="0" w:line="2" w:lineRule="exact"/>
        <w:rPr>
          <w:sz w:val="20"/>
          <w:szCs w:val="20"/>
          <w:color w:val="auto"/>
        </w:rPr>
      </w:pPr>
    </w:p>
    <w:p>
      <w:pPr>
        <w:jc w:val="both"/>
        <w:ind w:firstLine="8"/>
        <w:spacing w:after="0" w:line="249" w:lineRule="auto"/>
        <w:tabs>
          <w:tab w:leader="none" w:pos="27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Preferred Director with respect to any claim for which such Preferred Director has sought indemnification from the Company shall affect the foregoing and the Investor Indemnitors shall have a right of contribution and/or be subrogated to the extent of such advancement or payment to all of the rights of recovery of such Preferred Director against the Company. The Preferred Directors and the Investor Indemnitors are intended third-party beneficiaries of this Section 5.7 and shall have the right, power and authority to enforce the provisions of this Section 5.7 as though they were a party to this Agreement.</w:t>
      </w:r>
    </w:p>
    <w:p>
      <w:pPr>
        <w:spacing w:after="0" w:line="19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5.7 </w:t>
      </w:r>
      <w:r>
        <w:rPr>
          <w:rFonts w:ascii="Times New Roman" w:cs="Times New Roman" w:eastAsia="Times New Roman" w:hAnsi="Times New Roman"/>
          <w:sz w:val="20"/>
          <w:szCs w:val="20"/>
          <w:b w:val="1"/>
          <w:bCs w:val="1"/>
          <w:u w:val="single" w:color="auto"/>
          <w:color w:val="auto"/>
        </w:rPr>
        <w:t>Anti-Harassment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approved by the Board, including a majority of the Preferred Directors,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maintain in effect (i) a Code of Conduct governing appropriate workplace behavior and (ii) an Anti-Harassment and Discrimination Policy prohibiting discrimination and harassment at the Company.</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5.8 </w:t>
      </w:r>
      <w:r>
        <w:rPr>
          <w:rFonts w:ascii="Times New Roman" w:cs="Times New Roman" w:eastAsia="Times New Roman" w:hAnsi="Times New Roman"/>
          <w:sz w:val="20"/>
          <w:szCs w:val="20"/>
          <w:b w:val="1"/>
          <w:bCs w:val="1"/>
          <w:u w:val="single" w:color="auto"/>
          <w:color w:val="auto"/>
        </w:rPr>
        <w:t>Cybersecurity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approved by the Board, including a majority of the Preferred Directors,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maintain in effect a Cybersecurity Policy to (a) identify and restrict access (including through physical and/or technical controls) to the Company’s confidential business information and trade secrets and any information about identified or identifiable natural persons maintained by or on behalf of the Company (collectively, “</w:t>
      </w:r>
      <w:r>
        <w:rPr>
          <w:rFonts w:ascii="Times New Roman" w:cs="Times New Roman" w:eastAsia="Times New Roman" w:hAnsi="Times New Roman"/>
          <w:sz w:val="20"/>
          <w:szCs w:val="20"/>
          <w:b w:val="1"/>
          <w:bCs w:val="1"/>
          <w:i w:val="1"/>
          <w:iCs w:val="1"/>
          <w:color w:val="auto"/>
        </w:rPr>
        <w:t>Protected Data</w:t>
      </w:r>
      <w:r>
        <w:rPr>
          <w:rFonts w:ascii="Times New Roman" w:cs="Times New Roman" w:eastAsia="Times New Roman" w:hAnsi="Times New Roman"/>
          <w:sz w:val="20"/>
          <w:szCs w:val="20"/>
          <w:color w:val="auto"/>
        </w:rPr>
        <w:t>”) to those individuals who have a need to access it and (b) implement reasonable physical, technical and administrative safeguards designed to protect the confidentiality, integrity and availability of its technology and systems (including servers, laptops, desktops, cloud, containers, virtual environments and data centers) and all Protected Data. The Company shall evaluate on a periodic basis at least annually whether such safeguards should be updated to maintain a level of security appropriate to the risk posed to Company systems and Protected Data. The Company shall educate its employees about the proper use and storage of Protected Data, including periodic training as determined reasonably necessary by the Company or the Board.</w:t>
      </w:r>
    </w:p>
    <w:p>
      <w:pPr>
        <w:spacing w:after="0" w:line="18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5.9 </w:t>
      </w:r>
      <w:r>
        <w:rPr>
          <w:rFonts w:ascii="Times New Roman" w:cs="Times New Roman" w:eastAsia="Times New Roman" w:hAnsi="Times New Roman"/>
          <w:sz w:val="20"/>
          <w:szCs w:val="20"/>
          <w:b w:val="1"/>
          <w:bCs w:val="1"/>
          <w:u w:val="single" w:color="auto"/>
          <w:color w:val="auto"/>
        </w:rPr>
        <w:t>Right to Conduct Activities</w:t>
      </w:r>
      <w:r>
        <w:rPr>
          <w:rFonts w:ascii="Times New Roman" w:cs="Times New Roman" w:eastAsia="Times New Roman" w:hAnsi="Times New Roman"/>
          <w:sz w:val="23"/>
          <w:szCs w:val="23"/>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hereby agrees and acknowledges that each of the Fund Investors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professional investment organization, and as such reviews the business plans and related proprietary information of many enterprises, some of which may compete directly or indirectly with the Company’s business (as currently conducted or as currently proposed to be conducted). The Company hereby agrees that, to the extent permitted under applicable law, the Fund Investors shall not be liable to the Company for any claim arising out of, or based upon, (i) the investment by a Fund Investor in any entity competitive with the Company, or (ii) actions taken by any partner, officer, employee or other representative of a Fund Investor (or its Affiliates)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or (y) any director or officer of the Company from any liability associated with his or her fiduciary duties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301" w:name="page302"/>
    <w:bookmarkEnd w:id="301"/>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5.10</w:t>
      </w:r>
      <w:r>
        <w:rPr>
          <w:sz w:val="20"/>
          <w:szCs w:val="20"/>
          <w:color w:val="auto"/>
        </w:rPr>
        <w:tab/>
      </w:r>
      <w:r>
        <w:rPr>
          <w:rFonts w:ascii="Times New Roman" w:cs="Times New Roman" w:eastAsia="Times New Roman" w:hAnsi="Times New Roman"/>
          <w:sz w:val="19"/>
          <w:szCs w:val="19"/>
          <w:b w:val="1"/>
          <w:bCs w:val="1"/>
          <w:u w:val="single" w:color="auto"/>
          <w:color w:val="auto"/>
        </w:rPr>
        <w:t>Assignment of Right of First Refusal</w:t>
      </w:r>
      <w:r>
        <w:rPr>
          <w:rFonts w:ascii="Times New Roman" w:cs="Times New Roman" w:eastAsia="Times New Roman" w:hAnsi="Times New Roman"/>
          <w:sz w:val="22"/>
          <w:szCs w:val="22"/>
          <w:color w:val="auto"/>
        </w:rPr>
        <w:t>.</w:t>
      </w:r>
    </w:p>
    <w:p>
      <w:pPr>
        <w:spacing w:after="0" w:line="256"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19"/>
          <w:szCs w:val="19"/>
          <w:color w:val="auto"/>
        </w:rPr>
        <w:t>5.10.1 Until October 12, 2022, the Company shall elect not to exercise any right of first refusal or right of first offer the Company may have on a proposed transfer of any of the Company’s outstanding capital stock pursuant to the Company’s charter documents, by contract or otherwise, and instead shall, to the extent it may do so, assign such right of first refusal or right of first offer to the holders of Series F Preferred Stock (each, a “</w:t>
      </w:r>
      <w:r>
        <w:rPr>
          <w:rFonts w:ascii="Times New Roman" w:cs="Times New Roman" w:eastAsia="Times New Roman" w:hAnsi="Times New Roman"/>
          <w:sz w:val="19"/>
          <w:szCs w:val="19"/>
          <w:b w:val="1"/>
          <w:bCs w:val="1"/>
          <w:i w:val="1"/>
          <w:iCs w:val="1"/>
          <w:color w:val="auto"/>
        </w:rPr>
        <w:t>Series F Investor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Series F Investors”</w:t>
      </w:r>
      <w:r>
        <w:rPr>
          <w:rFonts w:ascii="Times New Roman" w:cs="Times New Roman" w:eastAsia="Times New Roman" w:hAnsi="Times New Roman"/>
          <w:sz w:val="19"/>
          <w:szCs w:val="19"/>
          <w:color w:val="auto"/>
        </w:rPr>
        <w:t>) and purchasers of Series G Preferred Stock and/or Series G-1 Preferred Stock under the Purchase Agreement (each, a “</w:t>
      </w:r>
      <w:r>
        <w:rPr>
          <w:rFonts w:ascii="Times New Roman" w:cs="Times New Roman" w:eastAsia="Times New Roman" w:hAnsi="Times New Roman"/>
          <w:sz w:val="19"/>
          <w:szCs w:val="19"/>
          <w:b w:val="1"/>
          <w:bCs w:val="1"/>
          <w:i w:val="1"/>
          <w:iCs w:val="1"/>
          <w:color w:val="auto"/>
        </w:rPr>
        <w:t>Series G Investor</w:t>
      </w:r>
      <w:r>
        <w:rPr>
          <w:rFonts w:ascii="Times New Roman" w:cs="Times New Roman" w:eastAsia="Times New Roman" w:hAnsi="Times New Roman"/>
          <w:sz w:val="19"/>
          <w:szCs w:val="19"/>
          <w:color w:val="auto"/>
        </w:rPr>
        <w:t>”, collectively, the “</w:t>
      </w:r>
      <w:r>
        <w:rPr>
          <w:rFonts w:ascii="Times New Roman" w:cs="Times New Roman" w:eastAsia="Times New Roman" w:hAnsi="Times New Roman"/>
          <w:sz w:val="19"/>
          <w:szCs w:val="19"/>
          <w:b w:val="1"/>
          <w:bCs w:val="1"/>
          <w:i w:val="1"/>
          <w:iCs w:val="1"/>
          <w:color w:val="auto"/>
        </w:rPr>
        <w:t>Series 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Investors</w:t>
      </w:r>
      <w:r>
        <w:rPr>
          <w:rFonts w:ascii="Times New Roman" w:cs="Times New Roman" w:eastAsia="Times New Roman" w:hAnsi="Times New Roman"/>
          <w:sz w:val="19"/>
          <w:szCs w:val="19"/>
          <w:color w:val="auto"/>
        </w:rPr>
        <w:t>”, and together with the Series F Investors, the “</w:t>
      </w:r>
      <w:r>
        <w:rPr>
          <w:rFonts w:ascii="Times New Roman" w:cs="Times New Roman" w:eastAsia="Times New Roman" w:hAnsi="Times New Roman"/>
          <w:sz w:val="19"/>
          <w:szCs w:val="19"/>
          <w:b w:val="1"/>
          <w:bCs w:val="1"/>
          <w:i w:val="1"/>
          <w:iCs w:val="1"/>
          <w:color w:val="auto"/>
        </w:rPr>
        <w:t>Secondary Investors</w:t>
      </w:r>
      <w:r>
        <w:rPr>
          <w:rFonts w:ascii="Times New Roman" w:cs="Times New Roman" w:eastAsia="Times New Roman" w:hAnsi="Times New Roman"/>
          <w:sz w:val="19"/>
          <w:szCs w:val="19"/>
          <w:color w:val="auto"/>
        </w:rPr>
        <w:t>”). In the event of such assignment, each such Secondary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Investor shall have a right to purchase its Pro Rata Portion of the capital stock proposed to be transferred. Each Secondary Investor’s “</w:t>
      </w:r>
      <w:r>
        <w:rPr>
          <w:rFonts w:ascii="Times New Roman" w:cs="Times New Roman" w:eastAsia="Times New Roman" w:hAnsi="Times New Roman"/>
          <w:sz w:val="19"/>
          <w:szCs w:val="19"/>
          <w:b w:val="1"/>
          <w:bCs w:val="1"/>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Rata Portion</w:t>
      </w:r>
      <w:r>
        <w:rPr>
          <w:rFonts w:ascii="Times New Roman" w:cs="Times New Roman" w:eastAsia="Times New Roman" w:hAnsi="Times New Roman"/>
          <w:sz w:val="19"/>
          <w:szCs w:val="19"/>
          <w:color w:val="auto"/>
        </w:rPr>
        <w:t>” shall be equal to the product obtained by multiplying (i) the aggregate number of shares proposed to be transferred by (ii)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fraction, the numerator of which is the number of shares of Series F Preferred Stock, Series G Preferred Stock and Series G-1 Preferred Stock held by such Secondary Investor at the time of the proposed transfer and the denominator of which is the total number of Series F Preferred Stock, Series G Preferred Stock and Series G-1 Preferred Stock owned by all Secondary Investors at the time of such proposed transfer.</w:t>
      </w:r>
    </w:p>
    <w:p>
      <w:pPr>
        <w:spacing w:after="0" w:line="168"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0"/>
          <w:szCs w:val="20"/>
          <w:color w:val="auto"/>
        </w:rPr>
        <w:t>5.10.2 From October 13, 2022 until the one year anniversary of the Initial Closing (as defined in the Purchase Agreement), the Company shall elect not to exercise any right of first refusal or right of first offer the Company may have on a proposed transfer of any of the Company’s outstanding capital stock pursuant to the Company’s charter documents, by contract or otherwise, and instead shall, to the extent it may do so, assign such right of first refusal or right of first offer to the Series G Investors. In the event of such assignment, each such Series G Investor shall have a right to purchase its Series G Pro Rata Portion of the capital stock proposed to be transferred. Each Series G Investor’s “</w:t>
      </w:r>
      <w:r>
        <w:rPr>
          <w:rFonts w:ascii="Times New Roman" w:cs="Times New Roman" w:eastAsia="Times New Roman" w:hAnsi="Times New Roman"/>
          <w:sz w:val="20"/>
          <w:szCs w:val="20"/>
          <w:b w:val="1"/>
          <w:bCs w:val="1"/>
          <w:i w:val="1"/>
          <w:iCs w:val="1"/>
          <w:color w:val="auto"/>
        </w:rPr>
        <w:t>Series G Pro Rata Portion</w:t>
      </w:r>
      <w:r>
        <w:rPr>
          <w:rFonts w:ascii="Times New Roman" w:cs="Times New Roman" w:eastAsia="Times New Roman" w:hAnsi="Times New Roman"/>
          <w:sz w:val="20"/>
          <w:szCs w:val="20"/>
          <w:color w:val="auto"/>
        </w:rPr>
        <w:t>” shall be equal to the product obtained by multiplying (i) the aggregate number of shares proposed to be transferred by (ii) a fraction, the numerator of which is the number of shares of Series G Preferred Stock and Series G-1 Preferred Stock held by such Series G Investor at the time of the proposed transfer and the denominator of which is the total number of Series G Preferred Stock and Series G-1 Preferred Stock owned by all Series G Investors at the time of such proposed transfer.</w:t>
      </w:r>
    </w:p>
    <w:p>
      <w:pPr>
        <w:spacing w:after="0" w:line="18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0"/>
          <w:szCs w:val="20"/>
          <w:color w:val="auto"/>
        </w:rPr>
        <w:t>5.10.3 Notwithstanding the foregoing, the Company shall not be required to assign its right of first refusal or right of first offer related to any transfer of not less than all of Series G Preferred Stock (or shares issuable or issued upon conversion thereof) by TPISV to a Permitted Transferee, or Permitted Transferees, (as defined in that certain letter agreement between TPISV and the Company dated of even date herewith, and such letter agreement the “</w:t>
      </w:r>
      <w:r>
        <w:rPr>
          <w:rFonts w:ascii="Times New Roman" w:cs="Times New Roman" w:eastAsia="Times New Roman" w:hAnsi="Times New Roman"/>
          <w:sz w:val="20"/>
          <w:szCs w:val="20"/>
          <w:b w:val="1"/>
          <w:bCs w:val="1"/>
          <w:i w:val="1"/>
          <w:iCs w:val="1"/>
          <w:color w:val="auto"/>
        </w:rPr>
        <w:t>Letter Agreement</w:t>
      </w:r>
      <w:r>
        <w:rPr>
          <w:rFonts w:ascii="Times New Roman" w:cs="Times New Roman" w:eastAsia="Times New Roman" w:hAnsi="Times New Roman"/>
          <w:sz w:val="20"/>
          <w:szCs w:val="20"/>
          <w:color w:val="auto"/>
        </w:rPr>
        <w:t>”) (it also being understood that the Company does not have a right of first refusal or right of first offer on any such transfer by TPISV).</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5.11 </w:t>
      </w:r>
      <w:r>
        <w:rPr>
          <w:rFonts w:ascii="Times New Roman" w:cs="Times New Roman" w:eastAsia="Times New Roman" w:hAnsi="Times New Roman"/>
          <w:sz w:val="20"/>
          <w:szCs w:val="20"/>
          <w:b w:val="1"/>
          <w:bCs w:val="1"/>
          <w:u w:val="single" w:color="auto"/>
          <w:color w:val="auto"/>
        </w:rPr>
        <w:t>FCPA</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covenants that it shall not (and shall not permit any of its subsidiaries or Affiliates or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Times New Roman" w:cs="Times New Roman" w:eastAsia="Times New Roman" w:hAnsi="Times New Roman"/>
          <w:sz w:val="20"/>
          <w:szCs w:val="20"/>
          <w:b w:val="1"/>
          <w:bCs w:val="1"/>
          <w:i w:val="1"/>
          <w:iCs w:val="1"/>
          <w:color w:val="auto"/>
        </w:rPr>
        <w:t>FCPA</w:t>
      </w:r>
      <w:r>
        <w:rPr>
          <w:rFonts w:ascii="Times New Roman" w:cs="Times New Roman" w:eastAsia="Times New Roman" w:hAnsi="Times New Roman"/>
          <w:sz w:val="20"/>
          <w:szCs w:val="20"/>
          <w:color w:val="auto"/>
        </w:rPr>
        <w:t>”)), in each case, in violation of the FCPA, the U.K. Bribery Act, or any other applicable anti-bribery or anti-corruption law. The Company further covenants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04" w:right="339" w:bottom="1440" w:gutter="0" w:footer="0" w:header="0"/>
        </w:sectPr>
      </w:pPr>
    </w:p>
    <w:bookmarkStart w:id="302" w:name="page303"/>
    <w:bookmarkEnd w:id="302"/>
    <w:p>
      <w:pPr>
        <w:jc w:val="both"/>
        <w:spacing w:after="0" w:line="251" w:lineRule="auto"/>
        <w:rPr>
          <w:sz w:val="20"/>
          <w:szCs w:val="20"/>
          <w:color w:val="auto"/>
        </w:rPr>
      </w:pPr>
      <w:r>
        <w:rPr>
          <w:rFonts w:ascii="Times New Roman" w:cs="Times New Roman" w:eastAsia="Times New Roman" w:hAnsi="Times New Roman"/>
          <w:sz w:val="20"/>
          <w:szCs w:val="20"/>
          <w:color w:val="auto"/>
        </w:rPr>
        <w:t>U.K. Bribery Act, or any other applicable anti-bribery or anti-corruption law. The Company further covenants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5.12</w:t>
      </w:r>
      <w:r>
        <w:rPr>
          <w:sz w:val="20"/>
          <w:szCs w:val="20"/>
          <w:color w:val="auto"/>
        </w:rPr>
        <w:tab/>
      </w:r>
      <w:r>
        <w:rPr>
          <w:rFonts w:ascii="Times New Roman" w:cs="Times New Roman" w:eastAsia="Times New Roman" w:hAnsi="Times New Roman"/>
          <w:sz w:val="20"/>
          <w:szCs w:val="20"/>
          <w:b w:val="1"/>
          <w:bCs w:val="1"/>
          <w:u w:val="single" w:color="auto"/>
          <w:color w:val="auto"/>
        </w:rPr>
        <w:t>Compliance with Sanctions and Anti-Money Laundering Laws</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shall not knowingly directly or</w:t>
      </w:r>
    </w:p>
    <w:p>
      <w:pPr>
        <w:spacing w:after="0" w:line="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indirectly use the proceeds of the issuance of shares of its capital stock, or to lend, contribute or otherwise make available such proceeds to any subsidiary, affiliate, joint venture partner or other person or entity, for the purpose of unlawfully financing or facilitating any activity of or transaction with any person or entity, or in any country or territory, that, at the time of such funding or facilitation, is a person, entity, country, or territory with which dealings are restricted or prohibited by any Sanctions (including any person owned or controlled by any person subject to any Sanctions). “</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means any economic or trade sanctions or restrictive measures enacted, administered, imposed or enforced by the U.S. Department of the Treasury’s Office of Foreign Assets Control, the U.S. Department of State, the United Nations Security Council, the European Union and/or the French Republic.</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5.13</w:t>
      </w:r>
      <w:r>
        <w:rPr>
          <w:sz w:val="20"/>
          <w:szCs w:val="20"/>
          <w:color w:val="auto"/>
        </w:rPr>
        <w:tab/>
      </w:r>
      <w:r>
        <w:rPr>
          <w:rFonts w:ascii="Times New Roman" w:cs="Times New Roman" w:eastAsia="Times New Roman" w:hAnsi="Times New Roman"/>
          <w:sz w:val="20"/>
          <w:szCs w:val="20"/>
          <w:b w:val="1"/>
          <w:bCs w:val="1"/>
          <w:u w:val="single" w:color="auto"/>
          <w:color w:val="auto"/>
        </w:rPr>
        <w:t>Real Property Holding Corporation</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shall conduct its affairs so as to avoid the Company being</w:t>
      </w:r>
    </w:p>
    <w:p>
      <w:pPr>
        <w:spacing w:after="0" w:line="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treated as a “United States Real Property Holding Corporation” within the meaning of Section 897(c)(2) of the Code and any applicable regulations promulgated thereunder (“</w:t>
      </w:r>
      <w:r>
        <w:rPr>
          <w:rFonts w:ascii="Times New Roman" w:cs="Times New Roman" w:eastAsia="Times New Roman" w:hAnsi="Times New Roman"/>
          <w:sz w:val="20"/>
          <w:szCs w:val="20"/>
          <w:b w:val="1"/>
          <w:bCs w:val="1"/>
          <w:i w:val="1"/>
          <w:iCs w:val="1"/>
          <w:color w:val="auto"/>
        </w:rPr>
        <w:t>USRPHC</w:t>
      </w:r>
      <w:r>
        <w:rPr>
          <w:rFonts w:ascii="Times New Roman" w:cs="Times New Roman" w:eastAsia="Times New Roman" w:hAnsi="Times New Roman"/>
          <w:sz w:val="20"/>
          <w:szCs w:val="20"/>
          <w:color w:val="auto"/>
        </w:rPr>
        <w:t>”). The Company shall notify the Investors promptly following any “determination date” (as defined in Treasury Regulations section 1.897-2(c)(1)) or otherwise within five (5) business days of becoming aware that the Company is, or is reasonably likely to be, a “United States real property holding corporation” within the meaning of Section 897(c)(2) of the Code. In addition, promptly following (and in any event within ten (10) days after receipt of) a written request by an Investor, the Company shall issue a statement to the Investor, in form and substance as described in Treasury Regulations sections 1.897-2(h)(1) and 1.1445-2(c) (or any successor regulations) and signed under penalties of perjury, regarding whether any interest in the Company constitutes a “U.S. real property interest” within the meaning of Section 897(c) of the Code, together with an executed notice to the IRS described in Treasury Regulations section 1.897-2(h)(2) (or any successor regulation).</w:t>
      </w:r>
    </w:p>
    <w:p>
      <w:pPr>
        <w:spacing w:after="0" w:line="189" w:lineRule="exact"/>
        <w:rPr>
          <w:sz w:val="20"/>
          <w:szCs w:val="20"/>
          <w:color w:val="auto"/>
        </w:rPr>
      </w:pPr>
    </w:p>
    <w:p>
      <w:pPr>
        <w:jc w:val="right"/>
        <w:spacing w:after="0"/>
        <w:tabs>
          <w:tab w:leader="none" w:pos="9240" w:val="left"/>
        </w:tabs>
        <w:rPr>
          <w:sz w:val="20"/>
          <w:szCs w:val="20"/>
          <w:color w:val="auto"/>
        </w:rPr>
      </w:pPr>
      <w:r>
        <w:rPr>
          <w:rFonts w:ascii="Times New Roman" w:cs="Times New Roman" w:eastAsia="Times New Roman" w:hAnsi="Times New Roman"/>
          <w:sz w:val="20"/>
          <w:szCs w:val="20"/>
          <w:b w:val="1"/>
          <w:bCs w:val="1"/>
          <w:color w:val="auto"/>
        </w:rPr>
        <w:t>5.14</w:t>
      </w:r>
      <w:r>
        <w:rPr>
          <w:sz w:val="20"/>
          <w:szCs w:val="20"/>
          <w:color w:val="auto"/>
        </w:rPr>
        <w:tab/>
      </w:r>
      <w:r>
        <w:rPr>
          <w:rFonts w:ascii="Times New Roman" w:cs="Times New Roman" w:eastAsia="Times New Roman" w:hAnsi="Times New Roman"/>
          <w:sz w:val="20"/>
          <w:szCs w:val="20"/>
          <w:b w:val="1"/>
          <w:bCs w:val="1"/>
          <w:u w:val="single" w:color="auto"/>
          <w:color w:val="auto"/>
        </w:rPr>
        <w:t>C-Corp</w:t>
      </w:r>
      <w:r>
        <w:rPr>
          <w:rFonts w:ascii="Times New Roman" w:cs="Times New Roman" w:eastAsia="Times New Roman" w:hAnsi="Times New Roman"/>
          <w:sz w:val="23"/>
          <w:szCs w:val="23"/>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shall take such actions, including making an election to be treated as a corporation or</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refraining from making an election to be treated as a partnership, as may be required to ensure that at all times the Company is classified as corporation for United States federal income tax purposes.</w:t>
      </w:r>
    </w:p>
    <w:p>
      <w:pPr>
        <w:spacing w:after="0" w:line="182" w:lineRule="exact"/>
        <w:rPr>
          <w:sz w:val="20"/>
          <w:szCs w:val="20"/>
          <w:color w:val="auto"/>
        </w:rPr>
      </w:pPr>
    </w:p>
    <w:p>
      <w:pPr>
        <w:ind w:left="1000" w:hanging="344"/>
        <w:spacing w:after="0"/>
        <w:tabs>
          <w:tab w:leader="none" w:pos="100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6.1 </w:t>
      </w:r>
      <w:r>
        <w:rPr>
          <w:rFonts w:ascii="Times New Roman" w:cs="Times New Roman" w:eastAsia="Times New Roman" w:hAnsi="Times New Roman"/>
          <w:sz w:val="20"/>
          <w:szCs w:val="20"/>
          <w:b w:val="1"/>
          <w:bCs w:val="1"/>
          <w:u w:val="single" w:color="auto"/>
          <w:color w:val="auto"/>
        </w:rPr>
        <w:t>Generally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covenants set forth in Section 2.1 and Section 2.2 shall terminate and be of no further force or effect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earliest to occur of: (a) immediately before the consummation of the IPO; (b) when the Company first becomes subject to the periodic reporting requirements of Section 12(g) or 15(d) of the Exchange Act; or (c) upon a Deemed Liquidation Event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303" w:name="page304"/>
    <w:bookmarkEnd w:id="303"/>
    <w:p>
      <w:pPr>
        <w:jc w:val="both"/>
        <w:spacing w:after="0" w:line="261" w:lineRule="auto"/>
        <w:rPr>
          <w:sz w:val="20"/>
          <w:szCs w:val="20"/>
          <w:color w:val="auto"/>
        </w:rPr>
      </w:pPr>
      <w:r>
        <w:rPr>
          <w:rFonts w:ascii="Times New Roman" w:cs="Times New Roman" w:eastAsia="Times New Roman" w:hAnsi="Times New Roman"/>
          <w:sz w:val="20"/>
          <w:szCs w:val="20"/>
          <w:color w:val="auto"/>
        </w:rPr>
        <w:t>Stock Sale. The covenants set forth in Section 4 and Section 5 shall terminate and be of no further force or effect upon the earliest to occur of: (a) immediately before the consummation of a Qualified IPO (as defined in the Restated Certificate); or (b) upon a Deemed Liquidation Event or a Stock Sale.</w:t>
      </w:r>
    </w:p>
    <w:p>
      <w:pPr>
        <w:spacing w:after="0" w:line="17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6.2 </w:t>
      </w:r>
      <w:r>
        <w:rPr>
          <w:rFonts w:ascii="Times New Roman" w:cs="Times New Roman" w:eastAsia="Times New Roman" w:hAnsi="Times New Roman"/>
          <w:sz w:val="20"/>
          <w:szCs w:val="20"/>
          <w:b w:val="1"/>
          <w:bCs w:val="1"/>
          <w:u w:val="single" w:color="auto"/>
          <w:color w:val="auto"/>
        </w:rPr>
        <w:t>Registration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right of any Holder to request registration or inclusion of Registrable Securities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 pursuant to Section 3.1 or Section 3.2 shall terminate upon the earliest to occur of: (a) when all of such Holder’s Registrable Securities could be sold without any restriction on volume or manner of sale in any three-month period under SEC Rule 144 or any successor; (b) upon a Deemed Liquidation Event or a Stock Sale with distribution of proceeds to the Stockholders from such Stock Sale in accordance with the Restated Certificate; and (c) the fifth (5th) anniversary of the IPO</w:t>
      </w:r>
    </w:p>
    <w:p>
      <w:pPr>
        <w:spacing w:after="0" w:line="187" w:lineRule="exact"/>
        <w:rPr>
          <w:sz w:val="20"/>
          <w:szCs w:val="20"/>
          <w:color w:val="auto"/>
        </w:rPr>
      </w:pPr>
    </w:p>
    <w:p>
      <w:pPr>
        <w:ind w:left="1000" w:hanging="344"/>
        <w:spacing w:after="0"/>
        <w:tabs>
          <w:tab w:leader="none" w:pos="1000"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PROVISIONS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7.1 </w:t>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rights under this Agreement may be assigned (but only with all related obligations) by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Holder to a transferee of Registrable Securities that (a) is an Affiliate, partner, member, limited partner, retired or former partner, retired or former member, or stockholder of a Holder or such Holder’s Affiliate; (b) is a Holder’s Immediate Family Member or trust for the benefit of an individual Holder or one or more of such Holder’s Immediate Family Members; (c) after such transfer, holds at least two percent (2%) of the shares of Registrable Securities (or if the transferring Holder owns less than two percent (2%) of the Registrable Securities, then all Registrable Securities held by the transferring Holder); (d) is a venture capital, private equity or similar investment fund that is controlled by or under common control with one or more general partners or managing partners or managing members of, or shares the same management company with, the Holder; or (e) or, in the case of TPISV, such transfer is of all, but not less than all, Registrable Securities held by TPISV to a Permitted Transferee, or Permitted Transferees, (as defined in the Letter Agreement) and for the avoidance of doubt, Section 3.12 shall not</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apply to such transfer;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that (i) the Company is, within a reasonable time after such transfer, furnished with written notice of the name and address of such transferee and the Registrable Securities with respect to which such rights are being transferred; and (ii) such transferee agrees in a written instrument delivered to the Company to be bound by and subject to the terms and conditions of this Agreement, including the provisions of Section 3.11. For the purposes of determining the number of shares of Registrable Securities held by a transferee, the holdings of a transferee (A) that is an Affiliate, limited partner, retired or former partner, member, retired or former member, or stockholder of a Holder or such Holder’s Affiliate; (B) who is a Holder’s Immediate Family Member; or (C) that is a trust for the benefit of an individual Holder or such Holder’s Immediate Family Member shall be aggregated together and with those of the transferring Holder.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In the event that TPISV transfers all, but not less than all, its Registrable Securities to a Permitted Transferee, or Permitted Transferees, (as defined in the Letter Agreement) in compliance with Section 7 of the Letter Agreement, upon the effective transfer of such Registrable Securities and the full assignment of TPISV’s rights and obligations to and assumption thereof by such Permitted Transferee, or Permitted Transferees on an aggregated basis, all references to TPISV set forth herein shall thereafter be to such Permitted Transferee, or Permitted Transferees on an aggregated basis, on and after such date without any need to amend this Agreement or the consent or approval any other party hereto. For the avoidance of doubt, and notwithstanding anything to the contrary, all parties to this Agreement hereby consent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304" w:name="page305"/>
    <w:bookmarkEnd w:id="304"/>
    <w:p>
      <w:pPr>
        <w:jc w:val="both"/>
        <w:spacing w:after="0" w:line="283" w:lineRule="auto"/>
        <w:rPr>
          <w:sz w:val="20"/>
          <w:szCs w:val="20"/>
          <w:color w:val="auto"/>
        </w:rPr>
      </w:pPr>
      <w:r>
        <w:rPr>
          <w:rFonts w:ascii="Times New Roman" w:cs="Times New Roman" w:eastAsia="Times New Roman" w:hAnsi="Times New Roman"/>
          <w:sz w:val="20"/>
          <w:szCs w:val="20"/>
          <w:color w:val="auto"/>
        </w:rPr>
        <w:t>agree that TPISV may transfer its Registrable Securities to a Permitted Transferee without restriction or the consent or approval of any other party hereto.</w:t>
      </w:r>
    </w:p>
    <w:p>
      <w:pPr>
        <w:spacing w:after="0" w:line="142"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7.2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governed by, and construed in accordance with,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regardless of the laws that might otherwise govern under applicable principles of conflicts of laws.</w:t>
      </w:r>
    </w:p>
    <w:p>
      <w:pPr>
        <w:spacing w:after="0" w:line="13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7.3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may be executed in two or more counterparts, each of which shall be deemed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original, but all of which together shall constitute one and the same instrument. Counterparts may be delivered via facsimile, electronic mail (including pdf or any electronic signature complying with the U.S. federal ESIGN Act of 2000, e.g., </w:t>
      </w:r>
      <w:r>
        <w:rPr>
          <w:rFonts w:ascii="Times New Roman" w:cs="Times New Roman" w:eastAsia="Times New Roman" w:hAnsi="Times New Roman"/>
          <w:sz w:val="20"/>
          <w:szCs w:val="20"/>
          <w:u w:val="single" w:color="auto"/>
          <w:color w:val="0000FF"/>
        </w:rPr>
        <w:t>www.docusign.com</w:t>
      </w:r>
      <w:r>
        <w:rPr>
          <w:rFonts w:ascii="Times New Roman" w:cs="Times New Roman" w:eastAsia="Times New Roman" w:hAnsi="Times New Roman"/>
          <w:sz w:val="20"/>
          <w:szCs w:val="20"/>
          <w:color w:val="auto"/>
        </w:rPr>
        <w:t>) or other transmission method and any counterpart so delivered shall be deemed to have been duly and validly delivered and be valid and effective for all purposes.</w:t>
      </w:r>
    </w:p>
    <w:p>
      <w:pPr>
        <w:spacing w:after="0" w:line="16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7.4 </w:t>
      </w:r>
      <w:r>
        <w:rPr>
          <w:rFonts w:ascii="Times New Roman" w:cs="Times New Roman" w:eastAsia="Times New Roman" w:hAnsi="Times New Roman"/>
          <w:sz w:val="20"/>
          <w:szCs w:val="20"/>
          <w:b w:val="1"/>
          <w:bCs w:val="1"/>
          <w:u w:val="single" w:color="auto"/>
          <w:color w:val="auto"/>
        </w:rPr>
        <w:t>Titles and Subtitles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titles and subtitles used in this Agreement are for convenience only and are not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considered in construing or interpreting this Agreement.</w:t>
      </w:r>
    </w:p>
    <w:p>
      <w:pPr>
        <w:spacing w:after="0" w:line="15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7.5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notices, requests, and other communications given, made or delivered pursuant to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writing and shall be deemed effectively given, made or delivered upon the earlier of actual receipt or: (a) personal delivery to the party to be notified; (b) when sent, if sent by electronic mail or facsimile during the recipient’s normal business hours, and if not sent during normal business hours, then on the recipient’s next business day; (c) five (5) 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Schedule A hereto, or to the principal office of the Company and to the attention of the Chief Executive Officer, in the case of the Company, or to such address, electronic mail address or facsimile number as subsequently modified by written notice given in accordance with this Section 7.5. If notice is given to the Company, it shall be sent to 1501 Page Mill Road, Building 1, Palo Alto, CA 94304, marked “Attention: Chief Executive Officer”; and a copy (which shall not constitute notice) shall also be sent to Fenwick &amp; West LLP, Silicon Valley Center, 801 California Street, Mountain View, California 94041, Attn: Cynthia Clarfield Hess. If no facsimile number is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for a party (or above in the case of the Company), notices and communications given or made by facsimile shall not be deemed effectively given to such party.</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7.6 </w:t>
      </w:r>
      <w:r>
        <w:rPr>
          <w:rFonts w:ascii="Times New Roman" w:cs="Times New Roman" w:eastAsia="Times New Roman" w:hAnsi="Times New Roman"/>
          <w:sz w:val="20"/>
          <w:szCs w:val="20"/>
          <w:b w:val="1"/>
          <w:bCs w:val="1"/>
          <w:u w:val="single" w:color="auto"/>
          <w:color w:val="auto"/>
        </w:rPr>
        <w:t>Consent to Electronic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Investor and Key Holder consents to the delivery of any stockholder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Delaware General Corporation Law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as amended or superseded from time to time, by electronic transmission pursuant to Section 232 of the DGCL (or any successor thereto) at the electronic mail address set forth below such Investor’s or Key Holder’s name on the Schedules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and Key Holder agrees to promptly notify the Company of any change in such stockholder’s electronic mail address, and that failure to do so shall not affect the foregoing.</w:t>
      </w:r>
    </w:p>
    <w:p>
      <w:pPr>
        <w:spacing w:after="0" w:line="18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7.7 </w:t>
      </w:r>
      <w:r>
        <w:rPr>
          <w:rFonts w:ascii="Times New Roman" w:cs="Times New Roman" w:eastAsia="Times New Roman" w:hAnsi="Times New Roman"/>
          <w:sz w:val="20"/>
          <w:szCs w:val="20"/>
          <w:b w:val="1"/>
          <w:bCs w:val="1"/>
          <w:u w:val="single" w:color="auto"/>
          <w:color w:val="auto"/>
        </w:rPr>
        <w:t>Amendments and Waivers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may only be amended or terminated and the observance of any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may be waived (either generally or in a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305" w:name="page306"/>
    <w:bookmarkEnd w:id="305"/>
    <w:p>
      <w:pPr>
        <w:jc w:val="both"/>
        <w:spacing w:after="0" w:line="248" w:lineRule="auto"/>
        <w:rPr>
          <w:sz w:val="20"/>
          <w:szCs w:val="20"/>
          <w:color w:val="auto"/>
        </w:rPr>
      </w:pPr>
      <w:r>
        <w:rPr>
          <w:rFonts w:ascii="Times New Roman" w:cs="Times New Roman" w:eastAsia="Times New Roman" w:hAnsi="Times New Roman"/>
          <w:sz w:val="20"/>
          <w:szCs w:val="20"/>
          <w:color w:val="auto"/>
        </w:rPr>
        <w:t>instance, and either retroactively or prospectively) only by a written instrument executed by the Company and (a) with respect to Sections 2 and 3.12.1 and any other provision of this Agreement to the extent such provision pertains to Section 2 or 3.12.1, the holders of a majority of the Registrable Securities (other than Conversion Shares) then outstanding and held by the Major Investors, (b) with respect to Section 3 and any other provision of this Agreement (other than as provided by Section 7.6(a)), the holders of a majority of the Registrable Securities (other than Conversion Shares) then outstanding or (c) for so long as Convertible Securities remain outstanding, with respect to (1) the definition of “Convertible Security”, the words “and the Convertible Securities” in the definition of “Derivative Securities”, clause (ii) of the definition of “Major Investor”, clause (d) of the definition of “New Securities”, the proviso in the definition of “Pro Rata Amount”, clauses (b) and (c) of the definition of “Registrable Securities”, and this sub-clause (c)(1), the consent of the Majority Holders (as defined in the Convertible Securities) and (2) any change to the introductory paragraph of this Agreement, Section 4.2, Section 7.14, and any other provision of this Agreement to the extent such provision pertains to the definitions in the preceding clause (1) of this Section 7.6, but, in each case with respect to this clause (2), solely to the extent such amendment, termination or waiver is directly applicable to the Convertible Securities and adverse to holders thereof with respect to their Convertible Securities in a manner disproportionate to any adverse effect such amendment, termination or waiver would have on holders of Registrable Securities (other than Registrable Securities issued or issuable upon conversion of Convertible Securities) with respect to such Registrable Securities, and this sub-clause (c)(2), the consent of the Majority Holders; provided that (i) the Company may in its sole discretion waive compliance with Section 3.12 (and the Company’s failure to object promptly in writing after notification of a proposed assignment allegedly in violation of Section 3.12 shall be deemed to be a waiver); (ii) any provision hereof may be waived by any waiving party on such party’s own behalf, without the consent of any other party; (iii) the Company may, without the consent or approval of any other party hereto, cause additional persons to become party to this Agreement as Investors pursuant to Section 7.14 hereto and amend Schedule A hereto accordingly; (iv) for so long as the Series F Investors and Series G Investors have rights under Section 5.10.1 of this Agreement, such Section 5.10.1 and this clause (b)(iv) may not be amended, modified or terminated without the consent of the Series F Investors holding at least 65% of the Registrable Securities then outstanding and held by the Series F Investors and the Series G Investors holding at least a majority of the Registrable Securities then outstanding and held by the Series G Investors, which such majority shall include the affirmative vote or written consent of the Lead Purchaser (as defined in the Purchase Agreement), (v) for so long as the Series G Investors have rights under Section 5.10.2 of this Agreement, such Section 5.10.2 and this clause (b)(v) may not be amended, modified or terminated without the consent of the Series G Investors holding at least a majority of the Registrable Securities then outstanding and held by the Series G Investors, which such majority shall include the affirmative vote or witten consent of the Lead Purchaser, and (vi) no provision of this Agreement may be amended, terminated or waived with respect to any Investor without the written consent of such Investor unless such amendment, termination or waiver applies to all Investors in the same fashion. If the rights of a Fund Investor under (i) Section 4 with respect to an offering of New Securities, or (ii) Section 5.3 with respect to a proposed transfer of any of the Company’s outstanding capital stock, are waived without the consent of such Fund Investor, and any Fund Investor or its Affiliates actually purchases any New Securities in any such offering or capital stock in stuck transfer (as applicable), then each Fund Investor who did not consent to such waiver shall be permitted to participate in such offering or transfer on a pro rata basis (based on the level of participation of the Fund Investor or its Affiliates purchasing the largest portion of such Fund Investor’s pro rata share). The preceding sentence or the definition of “Fund Investor” may not be amended or waived with respect to any Fund Investor without the consent of such Fund Investor. Notwithstanding the foregoing, this Agreement may not be amended, modified or terminated and the observance of any term hereunder may not be waived with respect to any Investor without the written consent of such Investor, if such amendment, modification, termination or waiver would adversely affect, based upon a plain reading of the text,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306" w:name="page307"/>
    <w:bookmarkEnd w:id="306"/>
    <w:p>
      <w:pPr>
        <w:jc w:val="both"/>
        <w:spacing w:after="0" w:line="253" w:lineRule="auto"/>
        <w:rPr>
          <w:sz w:val="20"/>
          <w:szCs w:val="20"/>
          <w:color w:val="auto"/>
        </w:rPr>
      </w:pPr>
      <w:r>
        <w:rPr>
          <w:rFonts w:ascii="Times New Roman" w:cs="Times New Roman" w:eastAsia="Times New Roman" w:hAnsi="Times New Roman"/>
          <w:sz w:val="20"/>
          <w:szCs w:val="20"/>
          <w:color w:val="auto"/>
        </w:rPr>
        <w:t>rights of such Investor in a manner disproportionate to any adverse effect such amendment, modification, termination or waiver would have on the rights of the other Investors under this Agreement. The Company shall give prompt notice of any amendment or termination hereof or waiver hereunder to any party hereto that did not consent in writing to such amendment, termination, or waiver. Any amendment, termination, or waiver effected in accordance with this Section 7.6 shall be binding on each party hereto and all of such party’s successors and permitted assigns, regardless of whether or not any such party, successor or assignee entered into or approved such amendment, termination, or waiver. No waivers of or exceptions to any term, condition, or provision of this Agreement, in any one or more instances, shall be deemed to be or construed as a further or continuing waiver of any such term, condition, or provision.</w:t>
      </w:r>
    </w:p>
    <w:p>
      <w:pPr>
        <w:spacing w:after="0" w:line="17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7.8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case any one or more of the provisions contained in this Agreement is for any reason held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7.9 </w:t>
      </w:r>
      <w:r>
        <w:rPr>
          <w:rFonts w:ascii="Times New Roman" w:cs="Times New Roman" w:eastAsia="Times New Roman" w:hAnsi="Times New Roman"/>
          <w:sz w:val="20"/>
          <w:szCs w:val="20"/>
          <w:b w:val="1"/>
          <w:bCs w:val="1"/>
          <w:u w:val="single" w:color="auto"/>
          <w:color w:val="auto"/>
        </w:rPr>
        <w:t>Aggregation of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shares of Registrable Securities held or acquired by affiliates shall be aggregated together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purpose of determining the availability of any rights under this Agreement and such affiliated persons may apportion such rights as among themselves in any manner they deem appropriate.</w:t>
      </w:r>
    </w:p>
    <w:p>
      <w:pPr>
        <w:spacing w:after="0" w:line="16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7.10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(including any Schedules and Exhibits hereto) constitutes the full and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superseded and replaced in its entirety by this Agreement, and shall be of no further force or effect.</w:t>
      </w:r>
    </w:p>
    <w:p>
      <w:pPr>
        <w:spacing w:after="0" w:line="177" w:lineRule="exact"/>
        <w:rPr>
          <w:sz w:val="20"/>
          <w:szCs w:val="20"/>
          <w:color w:val="auto"/>
        </w:rPr>
      </w:pPr>
    </w:p>
    <w:p>
      <w:pPr>
        <w:jc w:val="both"/>
        <w:ind w:firstLine="1296"/>
        <w:spacing w:after="0" w:line="320" w:lineRule="auto"/>
        <w:rPr>
          <w:sz w:val="20"/>
          <w:szCs w:val="20"/>
          <w:color w:val="auto"/>
        </w:rPr>
      </w:pPr>
      <w:r>
        <w:rPr>
          <w:rFonts w:ascii="Times New Roman" w:cs="Times New Roman" w:eastAsia="Times New Roman" w:hAnsi="Times New Roman"/>
          <w:sz w:val="19"/>
          <w:szCs w:val="19"/>
          <w:b w:val="1"/>
          <w:bCs w:val="1"/>
          <w:color w:val="auto"/>
        </w:rPr>
        <w:t xml:space="preserve">7.11 </w:t>
      </w:r>
      <w:r>
        <w:rPr>
          <w:rFonts w:ascii="Times New Roman" w:cs="Times New Roman" w:eastAsia="Times New Roman" w:hAnsi="Times New Roman"/>
          <w:sz w:val="19"/>
          <w:szCs w:val="19"/>
          <w:b w:val="1"/>
          <w:bCs w:val="1"/>
          <w:u w:val="single" w:color="auto"/>
          <w:color w:val="auto"/>
        </w:rPr>
        <w:t>Third Parties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Except as set forth in Section 3.11, nothing in this Agreement, express or implied, is intended to confer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upon any person, other than the parties hereto and their successors and assigns, any rights or remedies under or by reason of this Agreement.</w:t>
      </w:r>
    </w:p>
    <w:p>
      <w:pPr>
        <w:spacing w:after="0" w:line="1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7.12 </w:t>
      </w:r>
      <w:r>
        <w:rPr>
          <w:rFonts w:ascii="Times New Roman" w:cs="Times New Roman" w:eastAsia="Times New Roman" w:hAnsi="Times New Roman"/>
          <w:sz w:val="20"/>
          <w:szCs w:val="20"/>
          <w:b w:val="1"/>
          <w:bCs w:val="1"/>
          <w:u w:val="single" w:color="auto"/>
          <w:color w:val="auto"/>
        </w:rPr>
        <w:t>Delays or Omissions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delay or omission to exercise any right, power, or remedy accruing to any party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7"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7.13 </w:t>
      </w:r>
      <w:r>
        <w:rPr>
          <w:rFonts w:ascii="Times New Roman" w:cs="Times New Roman" w:eastAsia="Times New Roman" w:hAnsi="Times New Roman"/>
          <w:sz w:val="19"/>
          <w:szCs w:val="19"/>
          <w:b w:val="1"/>
          <w:bCs w:val="1"/>
          <w:u w:val="single" w:color="auto"/>
          <w:color w:val="auto"/>
        </w:rPr>
        <w:t>Dispute Resolution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parties (a) hereby irrevocably and unconditionally submit to the jurisdiction of the federal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 courts located in the District of Delaware for the purpose of any suit, action or other proceeding arising out of or based upon this Agreement, (b) agree not to commence any suit, action or other proceeding arising out of or based upon this Agreement except in the federal or state courts located in the District of Delaware, and (c) hereby waive, and agree not to assert, by way of motion, as a defense, or otherwise, in any such suit, action or proceeding, any claim that a party is not subject to the jurisdiction of the above-named courts, that its property is exempt or immune from attachment or execution based upon judgment or order of such court(s), that any suit,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307" w:name="page308"/>
    <w:bookmarkEnd w:id="307"/>
    <w:p>
      <w:pPr>
        <w:jc w:val="both"/>
        <w:spacing w:after="0" w:line="253" w:lineRule="auto"/>
        <w:rPr>
          <w:sz w:val="20"/>
          <w:szCs w:val="20"/>
          <w:color w:val="auto"/>
        </w:rPr>
      </w:pPr>
      <w:r>
        <w:rPr>
          <w:rFonts w:ascii="Times New Roman" w:cs="Times New Roman" w:eastAsia="Times New Roman" w:hAnsi="Times New Roman"/>
          <w:sz w:val="20"/>
          <w:szCs w:val="20"/>
          <w:color w:val="auto"/>
        </w:rPr>
        <w:t>arising out of or based upon this Agreement commenced in the federal or state courts located in the District of Delaware is brought in an inconvenient forum, that the venue of such suit, action or proceeding is improper or that this Agreement or the subject matter hereof may not be enforced in or by such court. Should any party commence a suit, action or other proceeding arising out of or based upon this Agreement in a forum other than the federal or state courts located in the District of Delaware, or should any party otherwise seek to transfer or dismiss such suit, action or proceeding from such court(s), that party shall indemnify and reimburse the other party for all legal costs and expenses incurred in enforcing this provision.</w:t>
      </w:r>
    </w:p>
    <w:p>
      <w:pPr>
        <w:spacing w:after="0" w:line="179"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7.14 </w:t>
      </w: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PARTY HEREBY WAIVES ITS RIGHTS TO A JURY TRIAL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7.15 </w:t>
      </w:r>
      <w:r>
        <w:rPr>
          <w:rFonts w:ascii="Times New Roman" w:cs="Times New Roman" w:eastAsia="Times New Roman" w:hAnsi="Times New Roman"/>
          <w:sz w:val="20"/>
          <w:szCs w:val="20"/>
          <w:b w:val="1"/>
          <w:bCs w:val="1"/>
          <w:u w:val="single" w:color="auto"/>
          <w:color w:val="auto"/>
        </w:rPr>
        <w:t>Attorneys’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action at law or in equity is necessary to enforce or interpret the terms of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non-prevailing party shall pay all costs and expenses incurred by the prevailing party, including, without limitation, all reasonable attorneys’ fees.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7.16 </w:t>
      </w:r>
      <w:r>
        <w:rPr>
          <w:rFonts w:ascii="Times New Roman" w:cs="Times New Roman" w:eastAsia="Times New Roman" w:hAnsi="Times New Roman"/>
          <w:sz w:val="20"/>
          <w:szCs w:val="20"/>
          <w:b w:val="1"/>
          <w:bCs w:val="1"/>
          <w:u w:val="single" w:color="auto"/>
          <w:color w:val="auto"/>
        </w:rPr>
        <w:t>Additional Investors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contained herein, if the Company issues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Series G Preferred Stock or Series G-1 Preferred Stock after the date hereof, any purchaser of such shares of Series G Preferred Stock or Series G-1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as applicable.</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0"/>
          <w:szCs w:val="20"/>
          <w:b w:val="1"/>
          <w:bCs w:val="1"/>
          <w:color w:val="auto"/>
        </w:rPr>
        <w:t xml:space="preserve">7.17 </w:t>
      </w:r>
      <w:r>
        <w:rPr>
          <w:rFonts w:ascii="Times New Roman" w:cs="Times New Roman" w:eastAsia="Times New Roman" w:hAnsi="Times New Roman"/>
          <w:sz w:val="20"/>
          <w:szCs w:val="20"/>
          <w:b w:val="1"/>
          <w:bCs w:val="1"/>
          <w:u w:val="single" w:color="auto"/>
          <w:color w:val="auto"/>
        </w:rPr>
        <w:t>Waiver of Rights to Future Stock Issuances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undersigned Holders that are Major Investors hereby waive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to future stock issuances, including the related notice requirements, set forth in Section 4 of the Prior Agreement with respect to the issuance of shares of Series G Preferred Stock pursuant to the Purchase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308" w:name="page309"/>
    <w:bookmarkEnd w:id="308"/>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TRIPACTIONS, INC.</w:t>
      </w: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Ariel Cohen</w:t>
      </w:r>
    </w:p>
    <w:p>
      <w:pPr>
        <w:spacing w:after="0" w:line="2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-140335</wp:posOffset>
            </wp:positionV>
            <wp:extent cx="29743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1220"/>
          </w:cols>
          <w:pgMar w:left="320" w:top="1409" w:right="359" w:bottom="1440" w:gutter="0" w:footer="0" w:header="0"/>
        </w:sectPr>
      </w:pPr>
    </w:p>
    <w:bookmarkStart w:id="309" w:name="page310"/>
    <w:bookmarkEnd w:id="309"/>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TPISV, LLC</w:t>
      </w:r>
    </w:p>
    <w:p>
      <w:pPr>
        <w:spacing w:after="0" w:line="30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Tpisv Associates, LLC</w:t>
      </w:r>
    </w:p>
    <w:p>
      <w:pPr>
        <w:spacing w:after="0" w:line="2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Its:</w:t>
        <w:tab/>
        <w:t>Manager</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Tim Guleri</w:t>
      </w:r>
    </w:p>
    <w:p>
      <w:pPr>
        <w:spacing w:after="0" w:line="2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Tim Guleri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-140335</wp:posOffset>
            </wp:positionV>
            <wp:extent cx="30175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tab/>
        <w:t>Manager</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Sandesh Patnam</w:t>
      </w:r>
    </w:p>
    <w:p>
      <w:pPr>
        <w:spacing w:after="0" w:line="28"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Sandesh Patnam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-140335</wp:posOffset>
            </wp:positionV>
            <wp:extent cx="30175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Title:</w:t>
        <w:tab/>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1220"/>
          </w:cols>
          <w:pgMar w:left="320" w:top="1409" w:right="359" w:bottom="1440" w:gutter="0" w:footer="0" w:header="0"/>
        </w:sectPr>
      </w:pPr>
    </w:p>
    <w:bookmarkStart w:id="310" w:name="page311"/>
    <w:bookmarkEnd w:id="310"/>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r>
        <w:rPr>
          <w:rFonts w:ascii="Times New Roman" w:cs="Times New Roman" w:eastAsia="Times New Roman" w:hAnsi="Times New Roman"/>
          <w:sz w:val="20"/>
          <w:szCs w:val="20"/>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 TWO,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ITSELF AND AS NOMINEE</w:t>
      </w:r>
    </w:p>
    <w:p>
      <w:pPr>
        <w:spacing w:after="0" w:line="28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Addition Two General Partner, L.P.</w:t>
      </w:r>
    </w:p>
    <w:p>
      <w:pPr>
        <w:spacing w:after="0" w:line="2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Its:</w:t>
        <w:tab/>
        <w:t>General Partner</w:t>
      </w:r>
    </w:p>
    <w:p>
      <w:pPr>
        <w:spacing w:after="0" w:line="24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Addition Two General Partner, Ltd.</w:t>
      </w:r>
    </w:p>
    <w:p>
      <w:pPr>
        <w:spacing w:after="0" w:line="2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Its:</w:t>
        <w:tab/>
        <w:t>General Partner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Ward Breeze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Ward Breeze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-140335</wp:posOffset>
            </wp:positionV>
            <wp:extent cx="30175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tab/>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1220"/>
          </w:cols>
          <w:pgMar w:left="320" w:top="1409" w:right="359" w:bottom="1440" w:gutter="0" w:footer="0" w:header="0"/>
        </w:sectPr>
      </w:pPr>
    </w:p>
    <w:bookmarkStart w:id="311" w:name="page312"/>
    <w:bookmarkEnd w:id="311"/>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CLF PARTNERS, L.P.</w:t>
      </w:r>
    </w:p>
    <w:p>
      <w:pPr>
        <w:spacing w:after="0" w:line="260"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AH Equity Partner V, L.L.C.</w:t>
      </w:r>
    </w:p>
    <w:p>
      <w:pPr>
        <w:spacing w:after="0" w:line="2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Its:</w:t>
        <w:tab/>
        <w:t>General Partner</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Scott Kupor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-140335</wp:posOffset>
            </wp:positionV>
            <wp:extent cx="30175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tab/>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1220"/>
          </w:cols>
          <w:pgMar w:left="320" w:top="1409" w:right="359" w:bottom="1440" w:gutter="0" w:footer="0" w:header="0"/>
        </w:sectPr>
      </w:pPr>
    </w:p>
    <w:bookmarkStart w:id="312" w:name="page313"/>
    <w:bookmarkEnd w:id="312"/>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r>
        <w:rPr>
          <w:rFonts w:ascii="Times New Roman" w:cs="Times New Roman" w:eastAsia="Times New Roman" w:hAnsi="Times New Roman"/>
          <w:sz w:val="20"/>
          <w:szCs w:val="20"/>
          <w:b w:val="1"/>
          <w:bCs w:val="1"/>
          <w:color w:val="auto"/>
        </w:rPr>
        <w:t>:</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AH PARALLEL FUND V, L.P.</w:t>
            </w: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ANDREESSEN HOROWITZ LSV FUND I, L.P</w:t>
            </w:r>
          </w:p>
        </w:tc>
      </w:tr>
      <w:tr>
        <w:trPr>
          <w:trHeight w:val="243"/>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 itself and as nominee for</w:t>
            </w: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For itself and as nominee for</w:t>
            </w:r>
          </w:p>
        </w:tc>
      </w:tr>
      <w:tr>
        <w:trPr>
          <w:trHeight w:val="243"/>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AH Parallel Fund V-A, L.P.,</w:t>
            </w: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Andreessen Horowitz LSV Fund I-B, L.P. and</w:t>
            </w: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AH Parallel Fund V-B, L.P. and</w:t>
            </w: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Andreessen Horowitz LSV Fund I-Q, L.P.</w:t>
            </w:r>
          </w:p>
        </w:tc>
      </w:tr>
      <w:tr>
        <w:trPr>
          <w:trHeight w:val="25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AH Parallel Fund V-Q, L.P.</w:t>
            </w:r>
          </w:p>
        </w:tc>
        <w:tc>
          <w:tcPr>
            <w:tcW w:w="1060" w:type="dxa"/>
            <w:vAlign w:val="bottom"/>
          </w:tcPr>
          <w:p>
            <w:pPr>
              <w:spacing w:after="0"/>
              <w:rPr>
                <w:sz w:val="22"/>
                <w:szCs w:val="22"/>
                <w:color w:val="auto"/>
              </w:rPr>
            </w:pPr>
          </w:p>
        </w:tc>
        <w:tc>
          <w:tcPr>
            <w:tcW w:w="5020" w:type="dxa"/>
            <w:vAlign w:val="bottom"/>
          </w:tcPr>
          <w:p>
            <w:pPr>
              <w:spacing w:after="0"/>
              <w:rPr>
                <w:sz w:val="22"/>
                <w:szCs w:val="22"/>
                <w:color w:val="auto"/>
              </w:rPr>
            </w:pPr>
          </w:p>
        </w:tc>
      </w:tr>
      <w:tr>
        <w:trPr>
          <w:trHeight w:val="268"/>
        </w:trPr>
        <w:tc>
          <w:tcPr>
            <w:tcW w:w="54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By: AH Equity Partners LSV I, L.L.C</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AH Equity Partners V (Parallel), L.L.C.</w:t>
            </w: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258"/>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Its general partner</w:t>
            </w:r>
          </w:p>
        </w:tc>
        <w:tc>
          <w:tcPr>
            <w:tcW w:w="1060" w:type="dxa"/>
            <w:vAlign w:val="bottom"/>
          </w:tcPr>
          <w:p>
            <w:pPr>
              <w:spacing w:after="0"/>
              <w:rPr>
                <w:sz w:val="22"/>
                <w:szCs w:val="22"/>
                <w:color w:val="auto"/>
              </w:rPr>
            </w:pPr>
          </w:p>
        </w:tc>
        <w:tc>
          <w:tcPr>
            <w:tcW w:w="5020" w:type="dxa"/>
            <w:vAlign w:val="bottom"/>
          </w:tcPr>
          <w:p>
            <w:pPr>
              <w:spacing w:after="0"/>
              <w:rPr>
                <w:sz w:val="22"/>
                <w:szCs w:val="22"/>
                <w:color w:val="auto"/>
              </w:rPr>
            </w:pPr>
          </w:p>
        </w:tc>
      </w:tr>
      <w:tr>
        <w:trPr>
          <w:trHeight w:val="717"/>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Scott Kupor</w:t>
            </w:r>
          </w:p>
        </w:tc>
        <w:tc>
          <w:tcPr>
            <w:tcW w:w="10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Scott Kupor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4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Scott Kupor</w:t>
            </w:r>
          </w:p>
        </w:tc>
        <w:tc>
          <w:tcPr>
            <w:tcW w:w="10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Name:</w:t>
            </w:r>
          </w:p>
        </w:tc>
        <w:tc>
          <w:tcPr>
            <w:tcW w:w="5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Scott Kupor</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Chief Operating Officer</w:t>
            </w:r>
          </w:p>
        </w:tc>
        <w:tc>
          <w:tcPr>
            <w:tcW w:w="10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Title:</w:t>
            </w: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Operating Officer</w:t>
            </w:r>
          </w:p>
        </w:tc>
      </w:tr>
      <w:tr>
        <w:trPr>
          <w:trHeight w:val="457"/>
        </w:trPr>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ANDREESSEN HOROWITZ FUND V, L.P</w:t>
            </w: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ANDREESSEN HOROWITZ LSV FUND II, L.P.,</w:t>
            </w:r>
          </w:p>
        </w:tc>
      </w:tr>
      <w:tr>
        <w:trPr>
          <w:trHeight w:val="258"/>
        </w:trPr>
        <w:tc>
          <w:tcPr>
            <w:tcW w:w="54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for itself and as nominee for</w:t>
            </w:r>
          </w:p>
        </w:tc>
      </w:tr>
    </w:tbl>
    <w:p>
      <w:pPr>
        <w:spacing w:after="0" w:line="39" w:lineRule="exact"/>
        <w:rPr>
          <w:sz w:val="20"/>
          <w:szCs w:val="20"/>
          <w:color w:val="auto"/>
        </w:rPr>
      </w:pPr>
    </w:p>
    <w:p>
      <w:pPr>
        <w:sectPr>
          <w:pgSz w:w="11900" w:h="16838" w:orient="portrait"/>
          <w:cols w:equalWidth="0" w:num="1">
            <w:col w:w="11240"/>
          </w:cols>
          <w:pgMar w:left="320" w:top="1409" w:right="339" w:bottom="1440" w:gutter="0" w:footer="0" w:header="0"/>
        </w:sectPr>
      </w:pPr>
    </w:p>
    <w:p>
      <w:pPr>
        <w:ind w:left="20"/>
        <w:spacing w:after="0"/>
        <w:rPr>
          <w:sz w:val="20"/>
          <w:szCs w:val="20"/>
          <w:color w:val="auto"/>
        </w:rPr>
      </w:pPr>
      <w:r>
        <w:rPr>
          <w:rFonts w:ascii="Times New Roman" w:cs="Times New Roman" w:eastAsia="Times New Roman" w:hAnsi="Times New Roman"/>
          <w:sz w:val="20"/>
          <w:szCs w:val="20"/>
          <w:color w:val="auto"/>
        </w:rPr>
        <w:t>For itself and as nominee for</w:t>
      </w:r>
    </w:p>
    <w:p>
      <w:pPr>
        <w:spacing w:after="0" w:line="22" w:lineRule="exact"/>
        <w:rPr>
          <w:sz w:val="20"/>
          <w:szCs w:val="20"/>
          <w:color w:val="auto"/>
        </w:rPr>
      </w:pPr>
    </w:p>
    <w:p>
      <w:pPr>
        <w:jc w:val="both"/>
        <w:ind w:left="20" w:right="1060"/>
        <w:spacing w:after="0" w:line="256" w:lineRule="auto"/>
        <w:rPr>
          <w:sz w:val="20"/>
          <w:szCs w:val="20"/>
          <w:color w:val="auto"/>
        </w:rPr>
      </w:pPr>
      <w:r>
        <w:rPr>
          <w:rFonts w:ascii="Times New Roman" w:cs="Times New Roman" w:eastAsia="Times New Roman" w:hAnsi="Times New Roman"/>
          <w:sz w:val="20"/>
          <w:szCs w:val="20"/>
          <w:color w:val="auto"/>
        </w:rPr>
        <w:t>Andreessen Horowitz Fund V-A, L.P., Andreessen Horowitz Fund V-B, L.P. and Andreessen Horowitz Fund V-Q, L.P.</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AH Equity Partners V, L.L.C.</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Scott Kupor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-140335</wp:posOffset>
            </wp:positionV>
            <wp:extent cx="29146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0"/>
          <w:szCs w:val="20"/>
          <w:color w:val="auto"/>
        </w:rPr>
        <w:t>Title:</w:t>
        <w:tab/>
        <w:t>Chief Operating Officer</w:t>
      </w:r>
    </w:p>
    <w:p>
      <w:pPr>
        <w:spacing w:after="0" w:line="358" w:lineRule="exact"/>
        <w:rPr>
          <w:sz w:val="20"/>
          <w:szCs w:val="20"/>
          <w:color w:val="auto"/>
        </w:rPr>
      </w:pPr>
    </w:p>
    <w:p>
      <w:pPr>
        <w:ind w:left="20" w:right="7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ANDREESSEN HOROWITZ LSV FUND III, L.P., </w:t>
      </w:r>
      <w:r>
        <w:rPr>
          <w:rFonts w:ascii="Times New Roman" w:cs="Times New Roman" w:eastAsia="Times New Roman" w:hAnsi="Times New Roman"/>
          <w:sz w:val="20"/>
          <w:szCs w:val="20"/>
          <w:color w:val="auto"/>
        </w:rPr>
        <w:t>for itself and as nominee for</w:t>
      </w:r>
    </w:p>
    <w:p>
      <w:pPr>
        <w:spacing w:after="0" w:line="1" w:lineRule="exact"/>
        <w:rPr>
          <w:sz w:val="20"/>
          <w:szCs w:val="20"/>
          <w:color w:val="auto"/>
        </w:rPr>
      </w:pPr>
    </w:p>
    <w:p>
      <w:pPr>
        <w:ind w:left="20" w:right="1340"/>
        <w:spacing w:after="0" w:line="267" w:lineRule="auto"/>
        <w:rPr>
          <w:sz w:val="20"/>
          <w:szCs w:val="20"/>
          <w:color w:val="auto"/>
        </w:rPr>
      </w:pPr>
      <w:r>
        <w:rPr>
          <w:rFonts w:ascii="Times New Roman" w:cs="Times New Roman" w:eastAsia="Times New Roman" w:hAnsi="Times New Roman"/>
          <w:sz w:val="20"/>
          <w:szCs w:val="20"/>
          <w:color w:val="auto"/>
        </w:rPr>
        <w:t>Andreessen Horowitz LSV Fund III-B, L.P. and AH 2022 Annual Fund, L.P.</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AH Equity Partners LSV III, L.L.C.</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General Partner</w:t>
      </w:r>
    </w:p>
    <w:p>
      <w:pPr>
        <w:spacing w:after="0" w:line="35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Scott Kupor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-140335</wp:posOffset>
            </wp:positionV>
            <wp:extent cx="29146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0"/>
          <w:szCs w:val="20"/>
          <w:color w:val="auto"/>
        </w:rPr>
        <w:t>Title:</w:t>
        <w:tab/>
        <w:t>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Andreessen Horowitz LSV Fund II-B, L.P. and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Andreessen Horowitz LSV Fund II-Q, L.P.</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AH Equity Partners LSV II,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0" w:lineRule="exact"/>
        <w:rPr>
          <w:sz w:val="20"/>
          <w:szCs w:val="20"/>
          <w:color w:val="auto"/>
        </w:rPr>
      </w:pPr>
    </w:p>
    <w:p>
      <w:pPr>
        <w:spacing w:after="0" w:line="3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Scott Kupor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-140335</wp:posOffset>
            </wp:positionV>
            <wp:extent cx="31889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tab/>
        <w:t>Chief Operating Officer</w:t>
      </w:r>
    </w:p>
    <w:p>
      <w:pPr>
        <w:spacing w:after="0" w:line="3871" w:lineRule="exact"/>
        <w:rPr>
          <w:sz w:val="20"/>
          <w:szCs w:val="20"/>
          <w:color w:val="auto"/>
        </w:rPr>
      </w:pPr>
    </w:p>
    <w:p>
      <w:pPr>
        <w:sectPr>
          <w:pgSz w:w="11900" w:h="16838" w:orient="portrait"/>
          <w:cols w:equalWidth="0" w:num="2">
            <w:col w:w="4940" w:space="720"/>
            <w:col w:w="5580"/>
          </w:cols>
          <w:pgMar w:left="320" w:top="14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AMENDED AND RESTATED INVESTORS’ RIGHTS AGREEMENT]</w:t>
      </w:r>
    </w:p>
    <w:p>
      <w:pPr>
        <w:sectPr>
          <w:pgSz w:w="11900" w:h="16838" w:orient="portrait"/>
          <w:cols w:equalWidth="0" w:num="1">
            <w:col w:w="11240"/>
          </w:cols>
          <w:pgMar w:left="320" w:top="1409" w:right="339" w:bottom="1440" w:gutter="0" w:footer="0" w:header="0"/>
          <w:type w:val="continuous"/>
        </w:sectPr>
      </w:pPr>
    </w:p>
    <w:bookmarkStart w:id="313" w:name="page314"/>
    <w:bookmarkEnd w:id="313"/>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INVESTORS:</w:t>
            </w:r>
          </w:p>
        </w:tc>
        <w:tc>
          <w:tcPr>
            <w:tcW w:w="12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BASE CROSSOVER STRATEGY I, LLC,</w:t>
            </w:r>
          </w:p>
        </w:tc>
        <w:tc>
          <w:tcPr>
            <w:tcW w:w="6140" w:type="dxa"/>
            <w:vAlign w:val="bottom"/>
            <w:gridSpan w:val="2"/>
          </w:tcPr>
          <w:p>
            <w:pPr>
              <w:ind w:left="680"/>
              <w:spacing w:after="0"/>
              <w:rPr>
                <w:sz w:val="20"/>
                <w:szCs w:val="20"/>
                <w:color w:val="auto"/>
              </w:rPr>
            </w:pPr>
            <w:r>
              <w:rPr>
                <w:rFonts w:ascii="Times New Roman" w:cs="Times New Roman" w:eastAsia="Times New Roman" w:hAnsi="Times New Roman"/>
                <w:sz w:val="20"/>
                <w:szCs w:val="20"/>
                <w:b w:val="1"/>
                <w:bCs w:val="1"/>
                <w:color w:val="auto"/>
              </w:rPr>
              <w:t>BASE GROWTH II, LLC</w:t>
            </w:r>
          </w:p>
        </w:tc>
        <w:tc>
          <w:tcPr>
            <w:tcW w:w="0" w:type="dxa"/>
            <w:vAlign w:val="bottom"/>
          </w:tcPr>
          <w:p>
            <w:pPr>
              <w:spacing w:after="0"/>
              <w:rPr>
                <w:sz w:val="1"/>
                <w:szCs w:val="1"/>
                <w:color w:val="auto"/>
              </w:rPr>
            </w:pPr>
          </w:p>
        </w:tc>
      </w:tr>
      <w:tr>
        <w:trPr>
          <w:trHeight w:val="258"/>
        </w:trPr>
        <w:tc>
          <w:tcPr>
            <w:tcW w:w="5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61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0" w:type="dxa"/>
            <w:vAlign w:val="bottom"/>
          </w:tcPr>
          <w:p>
            <w:pPr>
              <w:spacing w:after="0"/>
              <w:rPr>
                <w:sz w:val="1"/>
                <w:szCs w:val="1"/>
                <w:color w:val="auto"/>
              </w:rPr>
            </w:pPr>
          </w:p>
        </w:tc>
      </w:tr>
      <w:tr>
        <w:trPr>
          <w:trHeight w:val="484"/>
        </w:trPr>
        <w:tc>
          <w:tcPr>
            <w:tcW w:w="5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Base Partners Consultoria De Investimentos</w:t>
            </w:r>
          </w:p>
        </w:tc>
        <w:tc>
          <w:tcPr>
            <w:tcW w:w="61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By: Base Partners Consultoria De Investimentos</w:t>
            </w:r>
          </w:p>
        </w:tc>
        <w:tc>
          <w:tcPr>
            <w:tcW w:w="0" w:type="dxa"/>
            <w:vAlign w:val="bottom"/>
          </w:tcPr>
          <w:p>
            <w:pPr>
              <w:spacing w:after="0"/>
              <w:rPr>
                <w:sz w:val="1"/>
                <w:szCs w:val="1"/>
                <w:color w:val="auto"/>
              </w:rPr>
            </w:pPr>
          </w:p>
        </w:tc>
      </w:tr>
      <w:tr>
        <w:trPr>
          <w:trHeight w:val="258"/>
        </w:trPr>
        <w:tc>
          <w:tcPr>
            <w:tcW w:w="5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 Negócios Ltda., a Brazilian limited liability Company</w:t>
            </w:r>
          </w:p>
        </w:tc>
        <w:tc>
          <w:tcPr>
            <w:tcW w:w="61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E Negócios Ltda., a Brazilian limited liability Company</w:t>
            </w:r>
          </w:p>
        </w:tc>
        <w:tc>
          <w:tcPr>
            <w:tcW w:w="0" w:type="dxa"/>
            <w:vAlign w:val="bottom"/>
          </w:tcPr>
          <w:p>
            <w:pPr>
              <w:spacing w:after="0"/>
              <w:rPr>
                <w:sz w:val="1"/>
                <w:szCs w:val="1"/>
                <w:color w:val="auto"/>
              </w:rPr>
            </w:pPr>
          </w:p>
        </w:tc>
      </w:tr>
      <w:tr>
        <w:trPr>
          <w:trHeight w:val="716"/>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Fernando Spnola</w:t>
            </w:r>
          </w:p>
        </w:tc>
        <w:tc>
          <w:tcPr>
            <w:tcW w:w="12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Fernando Spnola</w:t>
            </w: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60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24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Name:</w:t>
            </w:r>
          </w:p>
        </w:tc>
        <w:tc>
          <w:tcPr>
            <w:tcW w:w="4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40" w:type="dxa"/>
            <w:vAlign w:val="bottom"/>
            <w:vMerge w:val="continue"/>
          </w:tcPr>
          <w:p>
            <w:pPr>
              <w:spacing w:after="0"/>
              <w:rPr>
                <w:sz w:val="21"/>
                <w:szCs w:val="21"/>
                <w:color w:val="auto"/>
              </w:rPr>
            </w:pPr>
          </w:p>
        </w:tc>
        <w:tc>
          <w:tcPr>
            <w:tcW w:w="45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Fernando Spnola</w:t>
            </w:r>
          </w:p>
        </w:tc>
        <w:tc>
          <w:tcPr>
            <w:tcW w:w="1240" w:type="dxa"/>
            <w:vAlign w:val="bottom"/>
            <w:vMerge w:val="continue"/>
          </w:tcPr>
          <w:p>
            <w:pPr>
              <w:spacing w:after="0"/>
              <w:rPr>
                <w:sz w:val="21"/>
                <w:szCs w:val="21"/>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Fernando Spnola</w:t>
            </w:r>
          </w:p>
        </w:tc>
        <w:tc>
          <w:tcPr>
            <w:tcW w:w="0" w:type="dxa"/>
            <w:vAlign w:val="bottom"/>
          </w:tcPr>
          <w:p>
            <w:pPr>
              <w:spacing w:after="0"/>
              <w:rPr>
                <w:sz w:val="1"/>
                <w:szCs w:val="1"/>
                <w:color w:val="auto"/>
              </w:rPr>
            </w:pP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Authorized Signatory</w:t>
            </w:r>
          </w:p>
        </w:tc>
        <w:tc>
          <w:tcPr>
            <w:tcW w:w="12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Title:</w:t>
            </w:r>
          </w:p>
        </w:tc>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Authorized Signatory</w:t>
            </w:r>
          </w:p>
        </w:tc>
        <w:tc>
          <w:tcPr>
            <w:tcW w:w="0" w:type="dxa"/>
            <w:vAlign w:val="bottom"/>
          </w:tcPr>
          <w:p>
            <w:pPr>
              <w:spacing w:after="0"/>
              <w:rPr>
                <w:sz w:val="1"/>
                <w:szCs w:val="1"/>
                <w:color w:val="auto"/>
              </w:rPr>
            </w:pPr>
          </w:p>
        </w:tc>
      </w:tr>
      <w:tr>
        <w:trPr>
          <w:trHeight w:val="72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Arthur Mizne</w:t>
            </w:r>
          </w:p>
        </w:tc>
        <w:tc>
          <w:tcPr>
            <w:tcW w:w="12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Arthur Mizne</w:t>
            </w:r>
          </w:p>
        </w:tc>
        <w:tc>
          <w:tcPr>
            <w:tcW w:w="0" w:type="dxa"/>
            <w:vAlign w:val="bottom"/>
          </w:tcPr>
          <w:p>
            <w:pPr>
              <w:spacing w:after="0"/>
              <w:rPr>
                <w:sz w:val="1"/>
                <w:szCs w:val="1"/>
                <w:color w:val="auto"/>
              </w:rPr>
            </w:pPr>
          </w:p>
        </w:tc>
      </w:tr>
      <w:tr>
        <w:trPr>
          <w:trHeight w:val="35"/>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60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24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Name:</w:t>
            </w:r>
          </w:p>
        </w:tc>
        <w:tc>
          <w:tcPr>
            <w:tcW w:w="4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40" w:type="dxa"/>
            <w:vAlign w:val="bottom"/>
            <w:vMerge w:val="continue"/>
          </w:tcPr>
          <w:p>
            <w:pPr>
              <w:spacing w:after="0"/>
              <w:rPr>
                <w:sz w:val="21"/>
                <w:szCs w:val="21"/>
                <w:color w:val="auto"/>
              </w:rPr>
            </w:pPr>
          </w:p>
        </w:tc>
        <w:tc>
          <w:tcPr>
            <w:tcW w:w="4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Arthur Mizne</w:t>
            </w:r>
          </w:p>
        </w:tc>
        <w:tc>
          <w:tcPr>
            <w:tcW w:w="1240" w:type="dxa"/>
            <w:vAlign w:val="bottom"/>
            <w:vMerge w:val="continue"/>
          </w:tcPr>
          <w:p>
            <w:pPr>
              <w:spacing w:after="0"/>
              <w:rPr>
                <w:sz w:val="21"/>
                <w:szCs w:val="21"/>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Arthur Mizne</w:t>
            </w:r>
          </w:p>
        </w:tc>
        <w:tc>
          <w:tcPr>
            <w:tcW w:w="0" w:type="dxa"/>
            <w:vAlign w:val="bottom"/>
          </w:tcPr>
          <w:p>
            <w:pPr>
              <w:spacing w:after="0"/>
              <w:rPr>
                <w:sz w:val="1"/>
                <w:szCs w:val="1"/>
                <w:color w:val="auto"/>
              </w:rPr>
            </w:pP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Authorized Signatory</w:t>
            </w:r>
          </w:p>
        </w:tc>
        <w:tc>
          <w:tcPr>
            <w:tcW w:w="12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Title:</w:t>
            </w:r>
          </w:p>
        </w:tc>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BASE GROWTH III, LLC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Base Partners Consultoria De Investimentos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 Negócios Ltda., a Brazilian limited liability Company</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 Fernando Spnola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2404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Fernando Spnola</w:t>
      </w:r>
    </w:p>
    <w:p>
      <w:pPr>
        <w:spacing w:after="0" w:line="6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 Arthur Mizne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2404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Arthur Mizne</w:t>
      </w:r>
    </w:p>
    <w:p>
      <w:pPr>
        <w:spacing w:after="0" w:line="6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1240"/>
          </w:cols>
          <w:pgMar w:left="320" w:top="1409" w:right="339" w:bottom="1440" w:gutter="0" w:footer="0" w:header="0"/>
        </w:sectPr>
      </w:pPr>
    </w:p>
    <w:bookmarkStart w:id="314" w:name="page315"/>
    <w:bookmarkEnd w:id="314"/>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JDC ENTERPRISES LTD.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Greenoaks Capital Partners LLC, its Investment Manager</w:t>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Patrick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40005</wp:posOffset>
            </wp:positionV>
            <wp:extent cx="30175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Patrick Lai</w:t>
      </w:r>
    </w:p>
    <w:p>
      <w:pPr>
        <w:spacing w:after="0" w:line="67"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GREENOAKS CAPITAL OPPORTUNITIES FUND III LP</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Greenoaks Capital (MTGP) III LP, its General Partner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Greenoaks Capital (TTGP) III Ltd, its General Partner</w:t>
      </w: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Patrick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40005</wp:posOffset>
            </wp:positionV>
            <wp:extent cx="30175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Patrick Lai</w:t>
      </w:r>
    </w:p>
    <w:p>
      <w:pPr>
        <w:spacing w:after="0" w:line="67"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GREENOAKS CAPITAL MS LP-ARCHIE GOODWIN SERIES</w:t>
      </w:r>
    </w:p>
    <w:p>
      <w:pPr>
        <w:spacing w:after="0" w:line="200" w:lineRule="exact"/>
        <w:rPr>
          <w:sz w:val="20"/>
          <w:szCs w:val="20"/>
          <w:color w:val="auto"/>
        </w:rPr>
      </w:pPr>
    </w:p>
    <w:p>
      <w:pPr>
        <w:spacing w:after="0" w:line="302" w:lineRule="exact"/>
        <w:rPr>
          <w:sz w:val="20"/>
          <w:szCs w:val="20"/>
          <w:color w:val="auto"/>
        </w:rPr>
      </w:pPr>
    </w:p>
    <w:p>
      <w:pPr>
        <w:jc w:val="right"/>
        <w:ind w:right="7380"/>
        <w:spacing w:after="0"/>
        <w:rPr>
          <w:sz w:val="20"/>
          <w:szCs w:val="20"/>
          <w:color w:val="auto"/>
        </w:rPr>
      </w:pPr>
      <w:r>
        <w:rPr>
          <w:rFonts w:ascii="Times New Roman" w:cs="Times New Roman" w:eastAsia="Times New Roman" w:hAnsi="Times New Roman"/>
          <w:sz w:val="19"/>
          <w:szCs w:val="19"/>
          <w:color w:val="auto"/>
        </w:rPr>
        <w:t xml:space="preserve">By: Greenoaks Capital MS Management LLC </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jc w:val="right"/>
        <w:ind w:right="7420"/>
        <w:spacing w:after="0"/>
        <w:rPr>
          <w:sz w:val="20"/>
          <w:szCs w:val="20"/>
          <w:color w:val="auto"/>
        </w:rPr>
      </w:pPr>
      <w:r>
        <w:rPr>
          <w:rFonts w:ascii="Times New Roman" w:cs="Times New Roman" w:eastAsia="Times New Roman" w:hAnsi="Times New Roman"/>
          <w:sz w:val="20"/>
          <w:szCs w:val="20"/>
          <w:color w:val="auto"/>
        </w:rPr>
        <w:t>Archie Goodwin Series, its General Partner</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Patrick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40005</wp:posOffset>
            </wp:positionV>
            <wp:extent cx="30175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Patrick Lai</w:t>
      </w:r>
    </w:p>
    <w:p>
      <w:pPr>
        <w:spacing w:after="0" w:line="67"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1220"/>
          </w:cols>
          <w:pgMar w:left="320" w:top="1409" w:right="359" w:bottom="1440" w:gutter="0" w:footer="0" w:header="0"/>
        </w:sectPr>
      </w:pPr>
    </w:p>
    <w:bookmarkStart w:id="315" w:name="page316"/>
    <w:bookmarkEnd w:id="315"/>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r>
        <w:rPr>
          <w:rFonts w:ascii="Times New Roman" w:cs="Times New Roman" w:eastAsia="Times New Roman" w:hAnsi="Times New Roman"/>
          <w:sz w:val="20"/>
          <w:szCs w:val="20"/>
          <w:b w:val="1"/>
          <w:bCs w:val="1"/>
          <w:color w:val="auto"/>
        </w:rPr>
        <w:t>:</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COSMIC 20202, LP</w:t>
      </w: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Elad 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40005</wp:posOffset>
            </wp:positionV>
            <wp:extent cx="30175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Elad Gil</w:t>
      </w:r>
    </w:p>
    <w:p>
      <w:pPr>
        <w:spacing w:after="0" w:line="6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tab/>
        <w:t>Managing Member</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COSMIC 20213, L.P.</w:t>
      </w: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Elad 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40005</wp:posOffset>
            </wp:positionV>
            <wp:extent cx="30175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Elad Gil</w:t>
      </w:r>
    </w:p>
    <w:p>
      <w:pPr>
        <w:spacing w:after="0" w:line="81"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Title:</w:t>
        <w:tab/>
        <w:t>Managing Member</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COSMIC BET 1, LP</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Elad 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40005</wp:posOffset>
            </wp:positionV>
            <wp:extent cx="30175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Elad Gil</w:t>
      </w:r>
    </w:p>
    <w:p>
      <w:pPr>
        <w:spacing w:after="0" w:line="81"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Title:</w:t>
        <w:tab/>
        <w:t>Managing Member</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COSMIC BET 2, LP</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Elad 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40005</wp:posOffset>
            </wp:positionV>
            <wp:extent cx="30175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Elad Gil</w:t>
      </w:r>
    </w:p>
    <w:p>
      <w:pPr>
        <w:spacing w:after="0" w:line="81"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0"/>
          <w:szCs w:val="20"/>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1220"/>
          </w:cols>
          <w:pgMar w:left="320" w:top="1409" w:right="359" w:bottom="1440" w:gutter="0" w:footer="0" w:header="0"/>
        </w:sectPr>
      </w:pPr>
    </w:p>
    <w:bookmarkStart w:id="316" w:name="page317"/>
    <w:bookmarkEnd w:id="316"/>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INVESTORS</w:t>
      </w:r>
      <w:r>
        <w:rPr>
          <w:rFonts w:ascii="Times New Roman" w:cs="Times New Roman" w:eastAsia="Times New Roman" w:hAnsi="Times New Roman"/>
          <w:sz w:val="20"/>
          <w:szCs w:val="20"/>
          <w:b w:val="1"/>
          <w:bCs w:val="1"/>
          <w:color w:val="auto"/>
        </w:rPr>
        <w:t>:</w:t>
      </w:r>
    </w:p>
    <w:p>
      <w:pPr>
        <w:spacing w:after="0" w:line="256" w:lineRule="exact"/>
        <w:rPr>
          <w:sz w:val="20"/>
          <w:szCs w:val="20"/>
          <w:color w:val="auto"/>
        </w:rPr>
      </w:pPr>
    </w:p>
    <w:p>
      <w:pPr>
        <w:ind w:left="20"/>
        <w:spacing w:after="0"/>
        <w:tabs>
          <w:tab w:leader="none" w:pos="5280" w:val="left"/>
        </w:tabs>
        <w:rPr>
          <w:sz w:val="20"/>
          <w:szCs w:val="20"/>
          <w:color w:val="auto"/>
        </w:rPr>
      </w:pPr>
      <w:r>
        <w:rPr>
          <w:rFonts w:ascii="Times New Roman" w:cs="Times New Roman" w:eastAsia="Times New Roman" w:hAnsi="Times New Roman"/>
          <w:sz w:val="20"/>
          <w:szCs w:val="20"/>
          <w:b w:val="1"/>
          <w:bCs w:val="1"/>
          <w:color w:val="auto"/>
        </w:rPr>
        <w:t>LIGHTSPEED AFFILIATES X, LP.</w:t>
      </w:r>
      <w:r>
        <w:rPr>
          <w:sz w:val="20"/>
          <w:szCs w:val="20"/>
          <w:color w:val="auto"/>
        </w:rPr>
        <w:tab/>
      </w:r>
      <w:r>
        <w:rPr>
          <w:rFonts w:ascii="Times New Roman" w:cs="Times New Roman" w:eastAsia="Times New Roman" w:hAnsi="Times New Roman"/>
          <w:sz w:val="16"/>
          <w:szCs w:val="16"/>
          <w:b w:val="1"/>
          <w:bCs w:val="1"/>
          <w:color w:val="auto"/>
        </w:rPr>
        <w:t>LIGHTSPEED VENTURES PARTNERS SELECT II, LP.</w:t>
      </w:r>
    </w:p>
    <w:p>
      <w:pPr>
        <w:sectPr>
          <w:pgSz w:w="11900" w:h="16838" w:orient="portrait"/>
          <w:cols w:equalWidth="0" w:num="1">
            <w:col w:w="11240"/>
          </w:cols>
          <w:pgMar w:left="320" w:top="1409" w:right="339" w:bottom="1440" w:gutter="0" w:footer="0" w:header="0"/>
        </w:sectPr>
      </w:pPr>
    </w:p>
    <w:p>
      <w:pPr>
        <w:spacing w:after="0" w:line="247"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Lightspeed General Partner X, 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8"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Lightspeed Ultimate General Partner X, Ltd.,</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Arif Janmohamed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22860</wp:posOffset>
            </wp:positionV>
            <wp:extent cx="2888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Arif Janmohamed</w:t>
      </w:r>
    </w:p>
    <w:p>
      <w:pPr>
        <w:spacing w:after="0" w:line="40"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20"/>
          <w:szCs w:val="20"/>
          <w:color w:val="auto"/>
        </w:rPr>
        <w:t>Title:</w:t>
        <w:tab/>
        <w:t>Duly Authorized Signatory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LIGHTSPEED OPPORTUNITY FUND, LP.</w:t>
      </w:r>
    </w:p>
    <w:p>
      <w:pPr>
        <w:spacing w:after="0" w:line="200" w:lineRule="exact"/>
        <w:rPr>
          <w:sz w:val="20"/>
          <w:szCs w:val="20"/>
          <w:color w:val="auto"/>
        </w:rPr>
      </w:pPr>
    </w:p>
    <w:p>
      <w:pPr>
        <w:spacing w:after="0" w:line="209" w:lineRule="exact"/>
        <w:rPr>
          <w:sz w:val="20"/>
          <w:szCs w:val="20"/>
          <w:color w:val="auto"/>
        </w:rPr>
      </w:pPr>
    </w:p>
    <w:p>
      <w:pPr>
        <w:ind w:left="540" w:right="820" w:hanging="519"/>
        <w:spacing w:after="0" w:line="289" w:lineRule="auto"/>
        <w:tabs>
          <w:tab w:leader="none" w:pos="520" w:val="left"/>
        </w:tabs>
        <w:rPr>
          <w:sz w:val="20"/>
          <w:szCs w:val="20"/>
          <w:color w:val="auto"/>
        </w:rPr>
      </w:pPr>
      <w:r>
        <w:rPr>
          <w:rFonts w:ascii="Times New Roman" w:cs="Times New Roman" w:eastAsia="Times New Roman" w:hAnsi="Times New Roman"/>
          <w:sz w:val="19"/>
          <w:szCs w:val="19"/>
          <w:color w:val="auto"/>
        </w:rPr>
        <w:t>By:</w:t>
        <w:tab/>
        <w:t>Lightspeed General Partner Opportunity, Fund, L.P., its general partner</w:t>
      </w:r>
    </w:p>
    <w:p>
      <w:pPr>
        <w:ind w:left="540" w:right="1120" w:hanging="519"/>
        <w:spacing w:after="0" w:line="250" w:lineRule="auto"/>
        <w:tabs>
          <w:tab w:leader="none" w:pos="520" w:val="left"/>
        </w:tabs>
        <w:rPr>
          <w:sz w:val="20"/>
          <w:szCs w:val="20"/>
          <w:color w:val="auto"/>
        </w:rPr>
      </w:pPr>
      <w:r>
        <w:rPr>
          <w:rFonts w:ascii="Times New Roman" w:cs="Times New Roman" w:eastAsia="Times New Roman" w:hAnsi="Times New Roman"/>
          <w:sz w:val="20"/>
          <w:szCs w:val="20"/>
          <w:color w:val="auto"/>
        </w:rPr>
        <w:t>By:</w:t>
        <w:tab/>
        <w:t>Lightspeed Ultimate General Partner Opportunity Fund, Ltd.,</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Arif Janmohamed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22860</wp:posOffset>
            </wp:positionV>
            <wp:extent cx="28886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Arif Janmohamed</w:t>
      </w:r>
    </w:p>
    <w:p>
      <w:pPr>
        <w:spacing w:after="0" w:line="5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Lightspeed General Partner Select II, L.P.,</w:t>
            </w:r>
          </w:p>
        </w:tc>
      </w:tr>
      <w:tr>
        <w:trPr>
          <w:trHeight w:val="258"/>
        </w:trPr>
        <w:tc>
          <w:tcPr>
            <w:tcW w:w="520" w:type="dxa"/>
            <w:vAlign w:val="bottom"/>
          </w:tcPr>
          <w:p>
            <w:pPr>
              <w:spacing w:after="0"/>
              <w:rPr>
                <w:sz w:val="22"/>
                <w:szCs w:val="22"/>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26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Lightspeed Ultimate General Partner Select II, Ltd.,</w:t>
            </w:r>
          </w:p>
        </w:tc>
      </w:tr>
      <w:tr>
        <w:trPr>
          <w:trHeight w:val="258"/>
        </w:trPr>
        <w:tc>
          <w:tcPr>
            <w:tcW w:w="520" w:type="dxa"/>
            <w:vAlign w:val="bottom"/>
          </w:tcPr>
          <w:p>
            <w:pPr>
              <w:spacing w:after="0"/>
              <w:rPr>
                <w:sz w:val="22"/>
                <w:szCs w:val="22"/>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689"/>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Arif Janmohamed</w:t>
            </w:r>
          </w:p>
        </w:tc>
      </w:t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w w:val="93"/>
              </w:rPr>
              <w:t>Name:</w:t>
            </w: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Arif Janmohamed</w:t>
            </w:r>
          </w:p>
        </w:tc>
      </w:tr>
      <w:tr>
        <w:trPr>
          <w:trHeight w:val="261"/>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Duly Authorized Signatory</w:t>
            </w:r>
          </w:p>
        </w:tc>
      </w:tr>
      <w:tr>
        <w:trPr>
          <w:trHeight w:val="453"/>
        </w:trPr>
        <w:tc>
          <w:tcPr>
            <w:tcW w:w="59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LIGHTSPEED VENTURES PARTNERS SELECT III,</w:t>
            </w:r>
          </w:p>
        </w:tc>
      </w:tr>
      <w:tr>
        <w:trPr>
          <w:trHeight w:val="262"/>
        </w:trPr>
        <w:tc>
          <w:tcPr>
            <w:tcW w:w="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LP.</w:t>
            </w:r>
          </w:p>
        </w:tc>
        <w:tc>
          <w:tcPr>
            <w:tcW w:w="360" w:type="dxa"/>
            <w:vAlign w:val="bottom"/>
          </w:tcPr>
          <w:p>
            <w:pPr>
              <w:spacing w:after="0"/>
              <w:rPr>
                <w:sz w:val="22"/>
                <w:szCs w:val="22"/>
                <w:color w:val="auto"/>
              </w:rPr>
            </w:pPr>
          </w:p>
        </w:tc>
        <w:tc>
          <w:tcPr>
            <w:tcW w:w="5060" w:type="dxa"/>
            <w:vAlign w:val="bottom"/>
          </w:tcPr>
          <w:p>
            <w:pPr>
              <w:spacing w:after="0"/>
              <w:rPr>
                <w:sz w:val="22"/>
                <w:szCs w:val="22"/>
                <w:color w:val="auto"/>
              </w:rPr>
            </w:pPr>
          </w:p>
        </w:tc>
      </w:tr>
      <w:tr>
        <w:trPr>
          <w:trHeight w:val="64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Lightspeed General Partner X, L.P.,</w:t>
            </w:r>
          </w:p>
        </w:tc>
      </w:tr>
      <w:tr>
        <w:trPr>
          <w:trHeight w:val="270"/>
        </w:trPr>
        <w:tc>
          <w:tcPr>
            <w:tcW w:w="520" w:type="dxa"/>
            <w:vAlign w:val="bottom"/>
          </w:tcPr>
          <w:p>
            <w:pPr>
              <w:spacing w:after="0"/>
              <w:rPr>
                <w:sz w:val="23"/>
                <w:szCs w:val="23"/>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255"/>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Lightspeed Ultimate General Partner X, Ltd.,</w:t>
            </w:r>
          </w:p>
        </w:tc>
      </w:tr>
      <w:tr>
        <w:trPr>
          <w:trHeight w:val="258"/>
        </w:trPr>
        <w:tc>
          <w:tcPr>
            <w:tcW w:w="520" w:type="dxa"/>
            <w:vAlign w:val="bottom"/>
          </w:tcPr>
          <w:p>
            <w:pPr>
              <w:spacing w:after="0"/>
              <w:rPr>
                <w:sz w:val="22"/>
                <w:szCs w:val="22"/>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69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Arif Janmohamed</w:t>
            </w: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w w:val="93"/>
              </w:rPr>
              <w:t>Name:</w:t>
            </w:r>
          </w:p>
        </w:tc>
        <w:tc>
          <w:tcPr>
            <w:tcW w:w="360" w:type="dxa"/>
            <w:vAlign w:val="bottom"/>
          </w:tcPr>
          <w:p>
            <w:pPr>
              <w:spacing w:after="0"/>
              <w:rPr>
                <w:sz w:val="22"/>
                <w:szCs w:val="22"/>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Arif Janmohamed</w:t>
            </w:r>
          </w:p>
        </w:tc>
      </w:tr>
      <w:tr>
        <w:trPr>
          <w:trHeight w:val="27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60" w:type="dxa"/>
            <w:vAlign w:val="bottom"/>
          </w:tcPr>
          <w:p>
            <w:pPr>
              <w:spacing w:after="0"/>
              <w:rPr>
                <w:sz w:val="23"/>
                <w:szCs w:val="23"/>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Duly Authorized Signatory</w:t>
            </w:r>
          </w:p>
        </w:tc>
      </w:tr>
    </w:tbl>
    <w:p>
      <w:pPr>
        <w:spacing w:after="0" w:line="200" w:lineRule="exact"/>
        <w:rPr>
          <w:sz w:val="20"/>
          <w:szCs w:val="20"/>
          <w:color w:val="auto"/>
        </w:rPr>
      </w:pPr>
    </w:p>
    <w:p>
      <w:pPr>
        <w:sectPr>
          <w:pgSz w:w="11900" w:h="16838" w:orient="portrait"/>
          <w:cols w:equalWidth="0" w:num="2">
            <w:col w:w="4580" w:space="720"/>
            <w:col w:w="5940"/>
          </w:cols>
          <w:pgMar w:left="320" w:top="1409" w:right="339" w:bottom="1440" w:gutter="0" w:footer="0" w:header="0"/>
          <w:type w:val="continuous"/>
        </w:sectPr>
      </w:pP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04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LIGHTSPEED STRATEGIC PARTNERS I, LP.</w:t>
            </w:r>
          </w:p>
        </w:tc>
        <w:tc>
          <w:tcPr>
            <w:tcW w:w="6180" w:type="dxa"/>
            <w:vAlign w:val="bottom"/>
            <w:gridSpan w:val="3"/>
          </w:tcPr>
          <w:p>
            <w:pPr>
              <w:ind w:left="240"/>
              <w:spacing w:after="0"/>
              <w:rPr>
                <w:sz w:val="20"/>
                <w:szCs w:val="20"/>
                <w:color w:val="auto"/>
              </w:rPr>
            </w:pPr>
            <w:r>
              <w:rPr>
                <w:rFonts w:ascii="Times New Roman" w:cs="Times New Roman" w:eastAsia="Times New Roman" w:hAnsi="Times New Roman"/>
                <w:sz w:val="20"/>
                <w:szCs w:val="20"/>
                <w:b w:val="1"/>
                <w:bCs w:val="1"/>
                <w:color w:val="auto"/>
              </w:rPr>
              <w:t>LIGHTSPEED VENTURES PARTNERS X, LP.</w:t>
            </w:r>
          </w:p>
        </w:tc>
      </w:tr>
      <w:tr>
        <w:trPr>
          <w:trHeight w:val="430"/>
        </w:trPr>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By:</w:t>
            </w:r>
          </w:p>
        </w:tc>
        <w:tc>
          <w:tcPr>
            <w:tcW w:w="4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Lightspeed Strategic Partners</w:t>
            </w: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Lightspeed General Partner X, L.P.,</w:t>
            </w:r>
          </w:p>
        </w:tc>
      </w:tr>
      <w:tr>
        <w:trPr>
          <w:trHeight w:val="258"/>
        </w:trPr>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General Partner I L.P., its general partner</w:t>
            </w:r>
          </w:p>
        </w:tc>
        <w:tc>
          <w:tcPr>
            <w:tcW w:w="780" w:type="dxa"/>
            <w:vAlign w:val="bottom"/>
          </w:tcPr>
          <w:p>
            <w:pPr>
              <w:spacing w:after="0"/>
              <w:rPr>
                <w:sz w:val="22"/>
                <w:szCs w:val="22"/>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241"/>
        </w:trPr>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By:</w:t>
            </w:r>
          </w:p>
        </w:tc>
        <w:tc>
          <w:tcPr>
            <w:tcW w:w="4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Lightspeed Strategic Partners Ultimate General</w:t>
            </w: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Lightspeed Ultimate General Partner X, Ltd.,</w:t>
            </w:r>
          </w:p>
        </w:tc>
      </w:tr>
      <w:tr>
        <w:trPr>
          <w:trHeight w:val="258"/>
        </w:trPr>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Partner I L.L.C., its general partner</w:t>
            </w:r>
          </w:p>
        </w:tc>
        <w:tc>
          <w:tcPr>
            <w:tcW w:w="780" w:type="dxa"/>
            <w:vAlign w:val="bottom"/>
          </w:tcPr>
          <w:p>
            <w:pPr>
              <w:spacing w:after="0"/>
              <w:rPr>
                <w:sz w:val="22"/>
                <w:szCs w:val="22"/>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798"/>
        </w:trPr>
        <w:tc>
          <w:tcPr>
            <w:tcW w:w="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/s/ Arif Janmohamed</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Arif Janmohamed</w:t>
            </w:r>
          </w:p>
        </w:tc>
      </w:tr>
      <w:tr>
        <w:trPr>
          <w:trHeight w:val="263"/>
        </w:trPr>
        <w:tc>
          <w:tcPr>
            <w:tcW w:w="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Name:</w:t>
            </w:r>
          </w:p>
        </w:tc>
        <w:tc>
          <w:tcPr>
            <w:tcW w:w="20" w:type="dxa"/>
            <w:vAlign w:val="bottom"/>
            <w:tcBorders>
              <w:top w:val="single" w:sz="8" w:color="auto"/>
            </w:tcBorders>
          </w:tcPr>
          <w:p>
            <w:pPr>
              <w:spacing w:after="0"/>
              <w:rPr>
                <w:sz w:val="22"/>
                <w:szCs w:val="22"/>
                <w:color w:val="auto"/>
              </w:rPr>
            </w:pPr>
          </w:p>
        </w:tc>
        <w:tc>
          <w:tcPr>
            <w:tcW w:w="4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Arif Janmohamed</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89"/>
              </w:rPr>
              <w:t>Name:</w:t>
            </w:r>
          </w:p>
        </w:tc>
        <w:tc>
          <w:tcPr>
            <w:tcW w:w="360" w:type="dxa"/>
            <w:vAlign w:val="bottom"/>
          </w:tcPr>
          <w:p>
            <w:pPr>
              <w:spacing w:after="0"/>
              <w:rPr>
                <w:sz w:val="22"/>
                <w:szCs w:val="22"/>
                <w:color w:val="auto"/>
              </w:rPr>
            </w:pPr>
          </w:p>
        </w:tc>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Arif Janmohamed</w:t>
            </w:r>
          </w:p>
        </w:tc>
      </w:tr>
      <w:tr>
        <w:trPr>
          <w:trHeight w:val="270"/>
        </w:trPr>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2"/>
              </w:rPr>
              <w:t>Title:</w:t>
            </w:r>
          </w:p>
        </w:tc>
        <w:tc>
          <w:tcPr>
            <w:tcW w:w="4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Manager</w:t>
            </w:r>
          </w:p>
        </w:tc>
        <w:tc>
          <w:tcPr>
            <w:tcW w:w="7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Title:</w:t>
            </w:r>
          </w:p>
        </w:tc>
        <w:tc>
          <w:tcPr>
            <w:tcW w:w="3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Duly Authorized Signatory</w:t>
            </w:r>
          </w:p>
        </w:tc>
      </w:tr>
    </w:tbl>
    <w:p>
      <w:pPr>
        <w:spacing w:after="0" w:line="200" w:lineRule="exact"/>
        <w:rPr>
          <w:sz w:val="20"/>
          <w:szCs w:val="20"/>
          <w:color w:val="auto"/>
        </w:rPr>
      </w:pPr>
    </w:p>
    <w:p>
      <w:pPr>
        <w:sectPr>
          <w:pgSz w:w="11900" w:h="16838" w:orient="portrait"/>
          <w:cols w:equalWidth="0" w:num="1">
            <w:col w:w="11240"/>
          </w:cols>
          <w:pgMar w:left="320" w:top="14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AMENDED AND RESTATED INVESTORS’ RIGHTS AGREEMENT]</w:t>
      </w:r>
    </w:p>
    <w:p>
      <w:pPr>
        <w:sectPr>
          <w:pgSz w:w="11900" w:h="16838" w:orient="portrait"/>
          <w:cols w:equalWidth="0" w:num="1">
            <w:col w:w="11240"/>
          </w:cols>
          <w:pgMar w:left="320" w:top="1409" w:right="339" w:bottom="1440" w:gutter="0" w:footer="0" w:header="0"/>
          <w:type w:val="continuous"/>
        </w:sectPr>
      </w:pPr>
    </w:p>
    <w:bookmarkStart w:id="317" w:name="page318"/>
    <w:bookmarkEnd w:id="317"/>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 Investors’ Rights Agreement</w:t>
      </w:r>
      <w:r>
        <w:rPr>
          <w:rFonts w:ascii="Times New Roman" w:cs="Times New Roman" w:eastAsia="Times New Roman" w:hAnsi="Times New Roman"/>
          <w:sz w:val="20"/>
          <w:szCs w:val="20"/>
          <w:color w:val="auto"/>
        </w:rPr>
        <w:t xml:space="preserve"> as of the date first written above.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INVESTORS:</w:t>
            </w:r>
          </w:p>
        </w:tc>
        <w:tc>
          <w:tcPr>
            <w:tcW w:w="3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14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OREN ZEEV</w:t>
            </w:r>
          </w:p>
        </w:tc>
        <w:tc>
          <w:tcPr>
            <w:tcW w:w="5720" w:type="dxa"/>
            <w:vAlign w:val="bottom"/>
            <w:gridSpan w:val="3"/>
          </w:tcPr>
          <w:p>
            <w:pPr>
              <w:ind w:left="320"/>
              <w:spacing w:after="0"/>
              <w:rPr>
                <w:sz w:val="20"/>
                <w:szCs w:val="20"/>
                <w:color w:val="auto"/>
              </w:rPr>
            </w:pPr>
            <w:r>
              <w:rPr>
                <w:rFonts w:ascii="Times New Roman" w:cs="Times New Roman" w:eastAsia="Times New Roman" w:hAnsi="Times New Roman"/>
                <w:sz w:val="20"/>
                <w:szCs w:val="20"/>
                <w:b w:val="1"/>
                <w:bCs w:val="1"/>
                <w:color w:val="auto"/>
              </w:rPr>
              <w:t>ZEEV VENTURES IV, LP</w:t>
            </w:r>
          </w:p>
        </w:tc>
        <w:tc>
          <w:tcPr>
            <w:tcW w:w="0" w:type="dxa"/>
            <w:vAlign w:val="bottom"/>
          </w:tcPr>
          <w:p>
            <w:pPr>
              <w:spacing w:after="0"/>
              <w:rPr>
                <w:sz w:val="1"/>
                <w:szCs w:val="1"/>
                <w:color w:val="auto"/>
              </w:rPr>
            </w:pPr>
          </w:p>
        </w:tc>
      </w:tr>
      <w:tr>
        <w:trPr>
          <w:trHeight w:val="773"/>
        </w:trPr>
        <w:tc>
          <w:tcPr>
            <w:tcW w:w="140" w:type="dxa"/>
            <w:vAlign w:val="bottom"/>
          </w:tcPr>
          <w:p>
            <w:pPr>
              <w:spacing w:after="0"/>
              <w:rPr>
                <w:sz w:val="24"/>
                <w:szCs w:val="24"/>
                <w:color w:val="auto"/>
              </w:rPr>
            </w:pPr>
          </w:p>
        </w:tc>
        <w:tc>
          <w:tcPr>
            <w:tcW w:w="5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Oren Zeev</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By:</w:t>
            </w:r>
          </w:p>
        </w:tc>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 Oren Zeev</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i w:val="1"/>
                <w:iCs w:val="1"/>
                <w:color w:val="auto"/>
              </w:rPr>
              <w:t>(Signature)</w:t>
            </w:r>
          </w:p>
        </w:tc>
        <w:tc>
          <w:tcPr>
            <w:tcW w:w="840" w:type="dxa"/>
            <w:vAlign w:val="bottom"/>
            <w:vMerge w:val="continue"/>
          </w:tcPr>
          <w:p>
            <w:pPr>
              <w:spacing w:after="0"/>
              <w:rPr>
                <w:sz w:val="10"/>
                <w:szCs w:val="10"/>
                <w:color w:val="auto"/>
              </w:rPr>
            </w:pPr>
          </w:p>
        </w:tc>
        <w:tc>
          <w:tcPr>
            <w:tcW w:w="4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5060" w:type="dxa"/>
            <w:vAlign w:val="bottom"/>
            <w:gridSpan w:val="2"/>
            <w:vMerge w:val="continue"/>
          </w:tcPr>
          <w:p>
            <w:pPr>
              <w:spacing w:after="0"/>
              <w:rPr>
                <w:sz w:val="9"/>
                <w:szCs w:val="9"/>
                <w:color w:val="auto"/>
              </w:rPr>
            </w:pP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w w:val="93"/>
              </w:rPr>
              <w:t>Name:</w:t>
            </w:r>
          </w:p>
        </w:tc>
        <w:tc>
          <w:tcPr>
            <w:tcW w:w="380" w:type="dxa"/>
            <w:vAlign w:val="bottom"/>
          </w:tcPr>
          <w:p>
            <w:pPr>
              <w:spacing w:after="0"/>
              <w:rPr>
                <w:sz w:val="9"/>
                <w:szCs w:val="9"/>
                <w:color w:val="auto"/>
              </w:rPr>
            </w:pPr>
          </w:p>
        </w:tc>
        <w:tc>
          <w:tcPr>
            <w:tcW w:w="45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Oren Zeev</w:t>
            </w: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Title:</w:t>
            </w:r>
          </w:p>
        </w:tc>
        <w:tc>
          <w:tcPr>
            <w:tcW w:w="380" w:type="dxa"/>
            <w:vAlign w:val="bottom"/>
          </w:tcPr>
          <w:p>
            <w:pPr>
              <w:spacing w:after="0"/>
              <w:rPr>
                <w:sz w:val="22"/>
                <w:szCs w:val="22"/>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50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ZEEV OPPORTUNITY FUND I, LP</w:t>
            </w:r>
          </w:p>
        </w:tc>
        <w:tc>
          <w:tcPr>
            <w:tcW w:w="5800" w:type="dxa"/>
            <w:vAlign w:val="bottom"/>
            <w:gridSpan w:val="3"/>
          </w:tcPr>
          <w:p>
            <w:pPr>
              <w:ind w:left="340"/>
              <w:spacing w:after="0"/>
              <w:rPr>
                <w:sz w:val="20"/>
                <w:szCs w:val="20"/>
                <w:color w:val="auto"/>
              </w:rPr>
            </w:pPr>
            <w:r>
              <w:rPr>
                <w:rFonts w:ascii="Times New Roman" w:cs="Times New Roman" w:eastAsia="Times New Roman" w:hAnsi="Times New Roman"/>
                <w:sz w:val="20"/>
                <w:szCs w:val="20"/>
                <w:b w:val="1"/>
                <w:bCs w:val="1"/>
                <w:color w:val="auto"/>
              </w:rPr>
              <w:t>ZEEV VENTURES V, LP</w:t>
            </w:r>
          </w:p>
        </w:tc>
      </w:tr>
      <w:tr>
        <w:trPr>
          <w:trHeight w:val="77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Oren Zeev</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Oren Zeev</w:t>
            </w:r>
          </w:p>
        </w:tc>
      </w:tr>
      <w:tr>
        <w:trPr>
          <w:trHeight w:val="247"/>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w w:val="93"/>
              </w:rPr>
              <w:t>Name:</w:t>
            </w:r>
          </w:p>
        </w:tc>
        <w:tc>
          <w:tcPr>
            <w:tcW w:w="380" w:type="dxa"/>
            <w:vAlign w:val="bottom"/>
          </w:tcPr>
          <w:p>
            <w:pPr>
              <w:spacing w:after="0"/>
              <w:rPr>
                <w:sz w:val="21"/>
                <w:szCs w:val="21"/>
                <w:color w:val="auto"/>
              </w:rPr>
            </w:pPr>
          </w:p>
        </w:tc>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Oren Zeev</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3"/>
              </w:rPr>
              <w:t>Name:</w:t>
            </w:r>
          </w:p>
        </w:tc>
        <w:tc>
          <w:tcPr>
            <w:tcW w:w="340" w:type="dxa"/>
            <w:vAlign w:val="bottom"/>
          </w:tcPr>
          <w:p>
            <w:pPr>
              <w:spacing w:after="0"/>
              <w:rPr>
                <w:sz w:val="21"/>
                <w:szCs w:val="21"/>
                <w:color w:val="auto"/>
              </w:rPr>
            </w:pPr>
          </w:p>
        </w:tc>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Oren Zeev</w:t>
            </w:r>
          </w:p>
        </w:tc>
      </w:t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w:t>
            </w:r>
          </w:p>
        </w:tc>
        <w:tc>
          <w:tcPr>
            <w:tcW w:w="3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348"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50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ZEEV VENTURES II, LP</w:t>
            </w:r>
          </w:p>
        </w:tc>
        <w:tc>
          <w:tcPr>
            <w:tcW w:w="5800" w:type="dxa"/>
            <w:vAlign w:val="bottom"/>
            <w:gridSpan w:val="3"/>
          </w:tcPr>
          <w:p>
            <w:pPr>
              <w:ind w:left="340"/>
              <w:spacing w:after="0"/>
              <w:rPr>
                <w:sz w:val="20"/>
                <w:szCs w:val="20"/>
                <w:color w:val="auto"/>
              </w:rPr>
            </w:pPr>
            <w:r>
              <w:rPr>
                <w:rFonts w:ascii="Times New Roman" w:cs="Times New Roman" w:eastAsia="Times New Roman" w:hAnsi="Times New Roman"/>
                <w:sz w:val="20"/>
                <w:szCs w:val="20"/>
                <w:b w:val="1"/>
                <w:bCs w:val="1"/>
                <w:color w:val="auto"/>
              </w:rPr>
              <w:t>ZEEV VENTURES VI, LP</w:t>
            </w:r>
          </w:p>
        </w:tc>
      </w:tr>
      <w:tr>
        <w:trPr>
          <w:trHeight w:val="77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Oren Zeev</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Oren Zeev</w:t>
            </w:r>
          </w:p>
        </w:tc>
      </w:tr>
      <w:tr>
        <w:trPr>
          <w:trHeight w:val="247"/>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w w:val="93"/>
              </w:rPr>
              <w:t>Name:</w:t>
            </w:r>
          </w:p>
        </w:tc>
        <w:tc>
          <w:tcPr>
            <w:tcW w:w="380" w:type="dxa"/>
            <w:vAlign w:val="bottom"/>
          </w:tcPr>
          <w:p>
            <w:pPr>
              <w:spacing w:after="0"/>
              <w:rPr>
                <w:sz w:val="21"/>
                <w:szCs w:val="21"/>
                <w:color w:val="auto"/>
              </w:rPr>
            </w:pPr>
          </w:p>
        </w:tc>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Oren Zeev</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3"/>
              </w:rPr>
              <w:t>Name:</w:t>
            </w:r>
          </w:p>
        </w:tc>
        <w:tc>
          <w:tcPr>
            <w:tcW w:w="340" w:type="dxa"/>
            <w:vAlign w:val="bottom"/>
          </w:tcPr>
          <w:p>
            <w:pPr>
              <w:spacing w:after="0"/>
              <w:rPr>
                <w:sz w:val="21"/>
                <w:szCs w:val="21"/>
                <w:color w:val="auto"/>
              </w:rPr>
            </w:pPr>
          </w:p>
        </w:tc>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Oren Zeev</w:t>
            </w:r>
          </w:p>
        </w:tc>
      </w:t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w:t>
            </w:r>
          </w:p>
        </w:tc>
        <w:tc>
          <w:tcPr>
            <w:tcW w:w="3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334"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50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ZEEV VENTURES II-A, LP</w:t>
            </w:r>
          </w:p>
        </w:tc>
        <w:tc>
          <w:tcPr>
            <w:tcW w:w="5800" w:type="dxa"/>
            <w:vAlign w:val="bottom"/>
            <w:gridSpan w:val="3"/>
          </w:tcPr>
          <w:p>
            <w:pPr>
              <w:ind w:left="340"/>
              <w:spacing w:after="0"/>
              <w:rPr>
                <w:sz w:val="20"/>
                <w:szCs w:val="20"/>
                <w:color w:val="auto"/>
              </w:rPr>
            </w:pPr>
            <w:r>
              <w:rPr>
                <w:rFonts w:ascii="Times New Roman" w:cs="Times New Roman" w:eastAsia="Times New Roman" w:hAnsi="Times New Roman"/>
                <w:sz w:val="20"/>
                <w:szCs w:val="20"/>
                <w:b w:val="1"/>
                <w:bCs w:val="1"/>
                <w:color w:val="auto"/>
              </w:rPr>
              <w:t>ZEEV VENTURES VII, LP</w:t>
            </w:r>
          </w:p>
        </w:tc>
      </w:tr>
      <w:tr>
        <w:trPr>
          <w:trHeight w:val="77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Oren Zeev</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Oren Zeev</w:t>
            </w:r>
          </w:p>
        </w:tc>
      </w:tr>
      <w:tr>
        <w:trPr>
          <w:trHeight w:val="247"/>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w w:val="93"/>
              </w:rPr>
              <w:t>Name:</w:t>
            </w:r>
          </w:p>
        </w:tc>
        <w:tc>
          <w:tcPr>
            <w:tcW w:w="380" w:type="dxa"/>
            <w:vAlign w:val="bottom"/>
          </w:tcPr>
          <w:p>
            <w:pPr>
              <w:spacing w:after="0"/>
              <w:rPr>
                <w:sz w:val="21"/>
                <w:szCs w:val="21"/>
                <w:color w:val="auto"/>
              </w:rPr>
            </w:pPr>
          </w:p>
        </w:tc>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Oren Zeev</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3"/>
              </w:rPr>
              <w:t>Name:</w:t>
            </w:r>
          </w:p>
        </w:tc>
        <w:tc>
          <w:tcPr>
            <w:tcW w:w="340" w:type="dxa"/>
            <w:vAlign w:val="bottom"/>
          </w:tcPr>
          <w:p>
            <w:pPr>
              <w:spacing w:after="0"/>
              <w:rPr>
                <w:sz w:val="21"/>
                <w:szCs w:val="21"/>
                <w:color w:val="auto"/>
              </w:rPr>
            </w:pPr>
          </w:p>
        </w:tc>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Oren Zeev</w:t>
            </w:r>
          </w:p>
        </w:tc>
      </w:t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w:t>
            </w:r>
          </w:p>
        </w:tc>
        <w:tc>
          <w:tcPr>
            <w:tcW w:w="3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348"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50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ZEEV VENTURES III, LP</w:t>
            </w:r>
          </w:p>
        </w:tc>
        <w:tc>
          <w:tcPr>
            <w:tcW w:w="5800" w:type="dxa"/>
            <w:vAlign w:val="bottom"/>
            <w:gridSpan w:val="3"/>
          </w:tcPr>
          <w:p>
            <w:pPr>
              <w:ind w:left="340"/>
              <w:spacing w:after="0"/>
              <w:rPr>
                <w:sz w:val="20"/>
                <w:szCs w:val="20"/>
                <w:color w:val="auto"/>
              </w:rPr>
            </w:pPr>
            <w:r>
              <w:rPr>
                <w:rFonts w:ascii="Times New Roman" w:cs="Times New Roman" w:eastAsia="Times New Roman" w:hAnsi="Times New Roman"/>
                <w:sz w:val="20"/>
                <w:szCs w:val="20"/>
                <w:b w:val="1"/>
                <w:bCs w:val="1"/>
                <w:color w:val="auto"/>
              </w:rPr>
              <w:t>ZEEV VENTURES VIII, LP</w:t>
            </w:r>
          </w:p>
        </w:tc>
      </w:tr>
      <w:tr>
        <w:trPr>
          <w:trHeight w:val="77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Oren Zeev</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Oren Zeev</w:t>
            </w:r>
          </w:p>
        </w:tc>
      </w:tr>
      <w:tr>
        <w:trPr>
          <w:trHeight w:val="247"/>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w w:val="93"/>
              </w:rPr>
              <w:t>Name:</w:t>
            </w:r>
          </w:p>
        </w:tc>
        <w:tc>
          <w:tcPr>
            <w:tcW w:w="380" w:type="dxa"/>
            <w:vAlign w:val="bottom"/>
          </w:tcPr>
          <w:p>
            <w:pPr>
              <w:spacing w:after="0"/>
              <w:rPr>
                <w:sz w:val="21"/>
                <w:szCs w:val="21"/>
                <w:color w:val="auto"/>
              </w:rPr>
            </w:pPr>
          </w:p>
        </w:tc>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Oren Zeev</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3"/>
              </w:rPr>
              <w:t>Name:</w:t>
            </w:r>
          </w:p>
        </w:tc>
        <w:tc>
          <w:tcPr>
            <w:tcW w:w="340" w:type="dxa"/>
            <w:vAlign w:val="bottom"/>
          </w:tcPr>
          <w:p>
            <w:pPr>
              <w:spacing w:after="0"/>
              <w:rPr>
                <w:sz w:val="21"/>
                <w:szCs w:val="21"/>
                <w:color w:val="auto"/>
              </w:rPr>
            </w:pPr>
          </w:p>
        </w:tc>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Oren Zeev</w:t>
            </w:r>
          </w:p>
        </w:tc>
      </w:t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c>
          <w:tcPr>
            <w:tcW w:w="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w:t>
            </w:r>
          </w:p>
        </w:tc>
        <w:tc>
          <w:tcPr>
            <w:tcW w:w="3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ectPr>
          <w:pgSz w:w="11900" w:h="16838" w:orient="portrait"/>
          <w:cols w:equalWidth="0" w:num="1">
            <w:col w:w="11220"/>
          </w:cols>
          <w:pgMar w:left="320" w:top="140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 PAGE TO AMENDED AND RESTATED INVESTORS’ RIGHTS AGREEMENT]</w:t>
      </w:r>
    </w:p>
    <w:p>
      <w:pPr>
        <w:sectPr>
          <w:pgSz w:w="11900" w:h="16838" w:orient="portrait"/>
          <w:cols w:equalWidth="0" w:num="1">
            <w:col w:w="11220"/>
          </w:cols>
          <w:pgMar w:left="320" w:top="1409" w:right="359" w:bottom="1440" w:gutter="0" w:footer="0" w:header="0"/>
          <w:type w:val="continuous"/>
        </w:sectPr>
      </w:pPr>
    </w:p>
    <w:bookmarkStart w:id="318" w:name="page319"/>
    <w:bookmarkEnd w:id="318"/>
    <w:p>
      <w:pPr>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IN WITNESS WHEREOF, the parties hereto have executed this </w:t>
      </w:r>
      <w:r>
        <w:rPr>
          <w:rFonts w:ascii="Times New Roman" w:cs="Times New Roman" w:eastAsia="Times New Roman" w:hAnsi="Times New Roman"/>
          <w:sz w:val="20"/>
          <w:szCs w:val="20"/>
          <w:b w:val="1"/>
          <w:bCs w:val="1"/>
          <w:color w:val="auto"/>
        </w:rPr>
        <w:t>Amended and Restated</w:t>
      </w:r>
      <w:r>
        <w:rPr>
          <w:rFonts w:ascii="Times New Roman" w:cs="Times New Roman" w:eastAsia="Times New Roman" w:hAnsi="Times New Roman"/>
          <w:sz w:val="20"/>
          <w:szCs w:val="20"/>
          <w:color w:val="auto"/>
        </w:rPr>
        <w:t xml:space="preserve"> Investors’ </w:t>
      </w:r>
      <w:r>
        <w:rPr>
          <w:rFonts w:ascii="Times New Roman" w:cs="Times New Roman" w:eastAsia="Times New Roman" w:hAnsi="Times New Roman"/>
          <w:sz w:val="20"/>
          <w:szCs w:val="20"/>
          <w:b w:val="1"/>
          <w:bCs w:val="1"/>
          <w:color w:val="auto"/>
        </w:rPr>
        <w:t>Rights Agreement</w:t>
      </w:r>
      <w:r>
        <w:rPr>
          <w:rFonts w:ascii="Times New Roman" w:cs="Times New Roman" w:eastAsia="Times New Roman" w:hAnsi="Times New Roman"/>
          <w:sz w:val="20"/>
          <w:szCs w:val="20"/>
          <w:color w:val="auto"/>
        </w:rPr>
        <w:t xml:space="preserve"> as of the date first written above.</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b w:val="1"/>
          <w:bCs w:val="1"/>
          <w:u w:val="single" w:color="auto"/>
          <w:color w:val="auto"/>
        </w:rPr>
        <w:t>INVESTORS</w:t>
      </w:r>
      <w:r>
        <w:rPr>
          <w:rFonts w:ascii="Times New Roman" w:cs="Times New Roman" w:eastAsia="Times New Roman" w:hAnsi="Times New Roman"/>
          <w:sz w:val="19"/>
          <w:szCs w:val="19"/>
          <w:b w:val="1"/>
          <w:bCs w:val="1"/>
          <w:color w:val="auto"/>
        </w:rPr>
        <w:t>:</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ZEEV 2008 CHILDREN’S TRUST</w:t>
      </w:r>
    </w:p>
    <w:p>
      <w:pPr>
        <w:spacing w:after="0" w:line="247" w:lineRule="exact"/>
        <w:rPr>
          <w:sz w:val="20"/>
          <w:szCs w:val="20"/>
          <w:color w:val="auto"/>
        </w:rPr>
      </w:pPr>
    </w:p>
    <w:p>
      <w:pPr>
        <w:ind w:left="160"/>
        <w:spacing w:after="0"/>
        <w:tabs>
          <w:tab w:leader="none" w:pos="700" w:val="left"/>
        </w:tabs>
        <w:rPr>
          <w:sz w:val="20"/>
          <w:szCs w:val="20"/>
          <w:color w:val="auto"/>
        </w:rPr>
      </w:pPr>
      <w:r>
        <w:rPr>
          <w:rFonts w:ascii="Times New Roman" w:cs="Times New Roman" w:eastAsia="Times New Roman" w:hAnsi="Times New Roman"/>
          <w:sz w:val="20"/>
          <w:szCs w:val="20"/>
          <w:color w:val="auto"/>
        </w:rPr>
        <w:t>By:</w:t>
        <w:tab/>
        <w:t>JP Morgan Trust Company of Delaware</w:t>
      </w:r>
    </w:p>
    <w:p>
      <w:pPr>
        <w:spacing w:after="0" w:line="28" w:lineRule="exact"/>
        <w:rPr>
          <w:sz w:val="20"/>
          <w:szCs w:val="20"/>
          <w:color w:val="auto"/>
        </w:rPr>
      </w:pPr>
    </w:p>
    <w:p>
      <w:pPr>
        <w:ind w:left="160"/>
        <w:spacing w:after="0"/>
        <w:tabs>
          <w:tab w:leader="none" w:pos="700" w:val="left"/>
        </w:tabs>
        <w:rPr>
          <w:sz w:val="20"/>
          <w:szCs w:val="20"/>
          <w:color w:val="auto"/>
        </w:rPr>
      </w:pPr>
      <w:r>
        <w:rPr>
          <w:rFonts w:ascii="Times New Roman" w:cs="Times New Roman" w:eastAsia="Times New Roman" w:hAnsi="Times New Roman"/>
          <w:sz w:val="20"/>
          <w:szCs w:val="20"/>
          <w:color w:val="auto"/>
        </w:rPr>
        <w:t>Its:</w:t>
        <w:tab/>
        <w:t>Trustee</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 Ryan Christensen</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Ryan Christensen</w:t>
            </w: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1220"/>
          </w:cols>
          <w:pgMar w:left="320" w:top="1409" w:right="359" w:bottom="1440" w:gutter="0" w:footer="0" w:header="0"/>
        </w:sectPr>
      </w:pPr>
    </w:p>
    <w:bookmarkStart w:id="319" w:name="page320"/>
    <w:bookmarkEnd w:id="319"/>
    <w:p>
      <w:pPr>
        <w:ind w:left="488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29"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20"/>
          <w:szCs w:val="20"/>
          <w:b w:val="1"/>
          <w:bCs w:val="1"/>
          <w:color w:val="auto"/>
        </w:rPr>
        <w:t>List of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170815</wp:posOffset>
            </wp:positionV>
            <wp:extent cx="5709285" cy="68408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9285" cy="6840855"/>
                    </a:xfrm>
                    <a:prstGeom prst="rect">
                      <a:avLst/>
                    </a:prstGeom>
                    <a:noFill/>
                  </pic:spPr>
                </pic:pic>
              </a:graphicData>
            </a:graphic>
          </wp:anchor>
        </w:drawing>
      </w:r>
    </w:p>
    <w:p>
      <w:pPr>
        <w:spacing w:after="0" w:line="29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Name and Address of Investor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 Two, L.P., as nominee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Cosmic Bet 1,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Cosmic 20202,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Andreessen Horowitz LSV Fund II, L.P., as nominee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Greenoaks Capital MS LP – Archie Goodwin Series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Greenoaks Capital Opportunities Fund III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JDC Enterprises LTD.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2014 Oudi and Roni Antebi Revocable Family Trust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Chen Amit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 Barton Co-Invest Fund II,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Boaz Chalamish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Davidovich Trust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Oren Dobronsky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F&amp;W Investments LP – Series 2015</w:t>
      </w:r>
    </w:p>
    <w:p>
      <w:pPr>
        <w:spacing w:after="0"/>
        <w:rPr>
          <w:sz w:val="20"/>
          <w:szCs w:val="20"/>
          <w:color w:val="auto"/>
        </w:rPr>
      </w:pPr>
      <w:r>
        <w:rPr>
          <w:rFonts w:ascii="Times New Roman" w:cs="Times New Roman" w:eastAsia="Times New Roman" w:hAnsi="Times New Roman"/>
          <w:sz w:val="20"/>
          <w:szCs w:val="20"/>
          <w:color w:val="auto"/>
        </w:rPr>
        <w:t>c/o Fenwick &amp; West LLP</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Dovi Frances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Gary Lee Ginsberg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Valentina Grandi</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Cynthia Clarfield Hess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Donald Katz</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Lightspeed Affiliates X,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Lightspeed Venture Partners Select II,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Lightspeed Venture Partners X,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Lightspeed Venture Partners Select III,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Lightspeed Opportunity Fund,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Lightspeed Strategic Partners I,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Yasmin Lukatz</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Steve Malouf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Yuval Neeman and Hemda Arad</w:t>
      </w:r>
    </w:p>
    <w:p>
      <w:pPr>
        <w:sectPr>
          <w:pgSz w:w="11900" w:h="16838" w:orient="portrait"/>
          <w:cols w:equalWidth="0" w:num="1">
            <w:col w:w="10039"/>
          </w:cols>
          <w:pgMar w:left="420" w:top="1409" w:right="1440" w:bottom="1440" w:gutter="0" w:footer="0" w:header="0"/>
        </w:sectPr>
      </w:pPr>
    </w:p>
    <w:bookmarkStart w:id="320" w:name="page321"/>
    <w:bookmarkEnd w:id="320"/>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5709285" cy="73463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9285" cy="7346315"/>
                    </a:xfrm>
                    <a:prstGeom prst="rect">
                      <a:avLst/>
                    </a:prstGeom>
                    <a:noFill/>
                  </pic:spPr>
                </pic:pic>
              </a:graphicData>
            </a:graphic>
          </wp:anchor>
        </w:drawing>
      </w:r>
    </w:p>
    <w:p>
      <w:pPr>
        <w:ind w:left="3160"/>
        <w:spacing w:after="0"/>
        <w:rPr>
          <w:sz w:val="20"/>
          <w:szCs w:val="20"/>
          <w:color w:val="auto"/>
        </w:rPr>
      </w:pPr>
      <w:r>
        <w:rPr>
          <w:rFonts w:ascii="Times New Roman" w:cs="Times New Roman" w:eastAsia="Times New Roman" w:hAnsi="Times New Roman"/>
          <w:sz w:val="20"/>
          <w:szCs w:val="20"/>
          <w:b w:val="1"/>
          <w:bCs w:val="1"/>
          <w:color w:val="auto"/>
        </w:rPr>
        <w:t>Name and Address of Investor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Odesey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 Ori S. Sasson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Rose Family Revocable Trust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Itai &amp; Alessandra Sadan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Valley Investment Ventures,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Zeev 2008 Children’s Trust, JPMorgan Trust Company of Delaware as Trustee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Zeev Ventures II, LP</w:t>
      </w:r>
    </w:p>
    <w:p>
      <w:pPr>
        <w:spacing w:after="0"/>
        <w:rPr>
          <w:sz w:val="20"/>
          <w:szCs w:val="20"/>
          <w:color w:val="auto"/>
        </w:rPr>
      </w:pPr>
      <w:r>
        <w:rPr>
          <w:rFonts w:ascii="Times New Roman" w:cs="Times New Roman" w:eastAsia="Times New Roman" w:hAnsi="Times New Roman"/>
          <w:sz w:val="20"/>
          <w:szCs w:val="20"/>
          <w:color w:val="auto"/>
        </w:rPr>
        <w:t>Attn: Oren Zeev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Zeev Ventures II-A, LP</w:t>
      </w:r>
    </w:p>
    <w:p>
      <w:pPr>
        <w:spacing w:after="0"/>
        <w:rPr>
          <w:sz w:val="20"/>
          <w:szCs w:val="20"/>
          <w:color w:val="auto"/>
        </w:rPr>
      </w:pPr>
      <w:r>
        <w:rPr>
          <w:rFonts w:ascii="Times New Roman" w:cs="Times New Roman" w:eastAsia="Times New Roman" w:hAnsi="Times New Roman"/>
          <w:sz w:val="20"/>
          <w:szCs w:val="20"/>
          <w:color w:val="auto"/>
        </w:rPr>
        <w:t>Attn: Oren Zeev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Zeev Ventures III, LP</w:t>
      </w:r>
    </w:p>
    <w:p>
      <w:pPr>
        <w:spacing w:after="0"/>
        <w:rPr>
          <w:sz w:val="20"/>
          <w:szCs w:val="20"/>
          <w:color w:val="auto"/>
        </w:rPr>
      </w:pPr>
      <w:r>
        <w:rPr>
          <w:rFonts w:ascii="Times New Roman" w:cs="Times New Roman" w:eastAsia="Times New Roman" w:hAnsi="Times New Roman"/>
          <w:sz w:val="20"/>
          <w:szCs w:val="20"/>
          <w:color w:val="auto"/>
        </w:rPr>
        <w:t>Attn: Oren Zeev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Zeev Ventures IV, LP</w:t>
      </w:r>
    </w:p>
    <w:p>
      <w:pPr>
        <w:spacing w:after="0"/>
        <w:rPr>
          <w:sz w:val="20"/>
          <w:szCs w:val="20"/>
          <w:color w:val="auto"/>
        </w:rPr>
      </w:pPr>
      <w:r>
        <w:rPr>
          <w:rFonts w:ascii="Times New Roman" w:cs="Times New Roman" w:eastAsia="Times New Roman" w:hAnsi="Times New Roman"/>
          <w:sz w:val="20"/>
          <w:szCs w:val="20"/>
          <w:color w:val="auto"/>
        </w:rPr>
        <w:t>Attn: Oren Zeev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Zeev Ventures VI, LP</w:t>
      </w:r>
    </w:p>
    <w:p>
      <w:pPr>
        <w:spacing w:after="0"/>
        <w:rPr>
          <w:sz w:val="20"/>
          <w:szCs w:val="20"/>
          <w:color w:val="auto"/>
        </w:rPr>
      </w:pPr>
      <w:r>
        <w:rPr>
          <w:rFonts w:ascii="Times New Roman" w:cs="Times New Roman" w:eastAsia="Times New Roman" w:hAnsi="Times New Roman"/>
          <w:sz w:val="20"/>
          <w:szCs w:val="20"/>
          <w:color w:val="auto"/>
        </w:rPr>
        <w:t>Attn: Oren Zeev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Zeev Ventures VIII, LP</w:t>
      </w:r>
    </w:p>
    <w:p>
      <w:pPr>
        <w:spacing w:after="0"/>
        <w:rPr>
          <w:sz w:val="20"/>
          <w:szCs w:val="20"/>
          <w:color w:val="auto"/>
        </w:rPr>
      </w:pPr>
      <w:r>
        <w:rPr>
          <w:rFonts w:ascii="Times New Roman" w:cs="Times New Roman" w:eastAsia="Times New Roman" w:hAnsi="Times New Roman"/>
          <w:sz w:val="20"/>
          <w:szCs w:val="20"/>
          <w:color w:val="auto"/>
        </w:rPr>
        <w:t>Attn: Oren Zeev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Zeev Ventures Opportunity I, LP</w:t>
      </w:r>
    </w:p>
    <w:p>
      <w:pPr>
        <w:spacing w:after="0"/>
        <w:rPr>
          <w:sz w:val="20"/>
          <w:szCs w:val="20"/>
          <w:color w:val="auto"/>
        </w:rPr>
      </w:pPr>
      <w:r>
        <w:rPr>
          <w:rFonts w:ascii="Times New Roman" w:cs="Times New Roman" w:eastAsia="Times New Roman" w:hAnsi="Times New Roman"/>
          <w:sz w:val="20"/>
          <w:szCs w:val="20"/>
          <w:color w:val="auto"/>
        </w:rPr>
        <w:t>Attn: Oren Zeev</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Yael Twig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Oren Zeev</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Greg and Lisa Stanger Family Trust U/A/D 7/31/2003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Rahul Mehta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SGVC Fund II,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SGVC Fund III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R&amp;D Consulting LLC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Trustees of the Leland Stanford Junior University (DAPER 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Stanford Management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 Direct Investments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Trustees of the Leland Stanford Junior University (SBST)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Stanford Management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 Direct Investments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Trustees of the Leland Stanford Junior University (SEVF II)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Stanford Management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 Direct Investments</w:t>
      </w:r>
    </w:p>
    <w:p>
      <w:pPr>
        <w:sectPr>
          <w:pgSz w:w="11900" w:h="16838" w:orient="portrait"/>
          <w:cols w:equalWidth="0" w:num="1">
            <w:col w:w="10039"/>
          </w:cols>
          <w:pgMar w:left="420" w:top="1440" w:right="1440" w:bottom="1440" w:gutter="0" w:footer="0" w:header="0"/>
        </w:sectPr>
      </w:pPr>
    </w:p>
    <w:bookmarkStart w:id="321" w:name="page322"/>
    <w:bookmarkEnd w:id="321"/>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5709285" cy="3857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9285" cy="3857625"/>
                    </a:xfrm>
                    <a:prstGeom prst="rect">
                      <a:avLst/>
                    </a:prstGeom>
                    <a:noFill/>
                  </pic:spPr>
                </pic:pic>
              </a:graphicData>
            </a:graphic>
          </wp:anchor>
        </w:drawing>
      </w:r>
    </w:p>
    <w:p>
      <w:pPr>
        <w:jc w:val="right"/>
        <w:ind w:right="4319"/>
        <w:spacing w:after="0"/>
        <w:rPr>
          <w:sz w:val="20"/>
          <w:szCs w:val="20"/>
          <w:color w:val="auto"/>
        </w:rPr>
      </w:pPr>
      <w:r>
        <w:rPr>
          <w:rFonts w:ascii="Times New Roman" w:cs="Times New Roman" w:eastAsia="Times New Roman" w:hAnsi="Times New Roman"/>
          <w:sz w:val="20"/>
          <w:szCs w:val="20"/>
          <w:b w:val="1"/>
          <w:bCs w:val="1"/>
          <w:color w:val="auto"/>
        </w:rPr>
        <w:t>Name and Address of Investor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Brett Rochkind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Pascarella Revocable Trust, dated October 12, 2005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Zachary Bookman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Tucker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Frontline Capital Limited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010118 Trip Action,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Andreessen Horowitz Fund V, L.P., as nominee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AH Parallel Fund V, L.P., as nominee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CLF Partners,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Andreessen Horowitz LSV Fund I, L.P., as nominee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Group 11 Fund IV 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Group 11 TripActions IV, LLC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Lufthansa Commercial Holding GmbH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Lufthansa Aviation Center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 Growth II,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TPISV, LLC</w:t>
      </w:r>
    </w:p>
    <w:p>
      <w:pPr>
        <w:sectPr>
          <w:pgSz w:w="11900" w:h="16838" w:orient="portrait"/>
          <w:cols w:equalWidth="0" w:num="1">
            <w:col w:w="10039"/>
          </w:cols>
          <w:pgMar w:left="420" w:top="1440" w:right="1440"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EUROMONITOR INTERNATIONAL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Euromonitor International Limited hereby consents to (a) the use, publication and inclusion of our name, logos and market information, including, but not limited to, the market information in the Global Business Travel Industry Assessment Report issued to Navan, Inc. in June 2025, in the Registration Statement on Form S-1, any related prospectuses and any amendments or correspondence relating thereto, to be confidentially submitted and thereafter to be publicly filed with the U.S. Securities and Exchange Commission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in connection with the registration by Navan, Inc. and</w:t>
      </w:r>
    </w:p>
    <w:p>
      <w:pPr>
        <w:spacing w:after="0" w:line="3" w:lineRule="exact"/>
        <w:rPr>
          <w:sz w:val="20"/>
          <w:szCs w:val="20"/>
          <w:color w:val="auto"/>
        </w:rPr>
      </w:pPr>
    </w:p>
    <w:p>
      <w:pPr>
        <w:jc w:val="both"/>
        <w:ind w:firstLine="8"/>
        <w:spacing w:after="0" w:line="253" w:lineRule="auto"/>
        <w:tabs>
          <w:tab w:leader="none" w:pos="2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this consent as an exhibit to the Registration Statement. In giving such consent, we do not thereby admit that we come within the category of persons whose consent is required under Section 7 or Section 11 of the Securities Act of 1933, as amended, or the rules and regulations adopted by the Securities and Exchange Commission thereunder, nor do we admit that we are experts with respect to any part of such Registration Statement within the meaning of the term "experts" as used in the Securities Act of 1933, as amended, or the rules and regulations adopted by the Securities and Exchange Commission thereunder.</w:t>
      </w:r>
    </w:p>
    <w:p>
      <w:pPr>
        <w:spacing w:after="0" w:line="2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EUROMONITOR INTERNATIONAL LIMITED</w:t>
      </w:r>
    </w:p>
    <w:p>
      <w:pPr>
        <w:spacing w:after="0" w:line="306" w:lineRule="exact"/>
        <w:rPr>
          <w:sz w:val="20"/>
          <w:szCs w:val="20"/>
          <w:color w:val="auto"/>
        </w:rPr>
      </w:pPr>
    </w:p>
    <w:p>
      <w:pPr>
        <w:ind w:left="4700"/>
        <w:spacing w:after="0"/>
        <w:tabs>
          <w:tab w:leader="none" w:pos="5160" w:val="left"/>
        </w:tabs>
        <w:rPr>
          <w:sz w:val="20"/>
          <w:szCs w:val="20"/>
          <w:color w:val="auto"/>
        </w:rPr>
      </w:pPr>
      <w:r>
        <w:rPr>
          <w:rFonts w:ascii="Times New Roman" w:cs="Times New Roman" w:eastAsia="Times New Roman" w:hAnsi="Times New Roman"/>
          <w:sz w:val="18"/>
          <w:szCs w:val="18"/>
          <w:color w:val="auto"/>
        </w:rPr>
        <w:t>By:</w:t>
        <w:tab/>
        <w:t>/s/ Chris Wetherall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34290</wp:posOffset>
            </wp:positionV>
            <wp:extent cx="38576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Chris Wetherall</w:t>
      </w:r>
    </w:p>
    <w:p>
      <w:pPr>
        <w:spacing w:after="0" w:line="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 Director of Corporate New Business</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Dated: June 19,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1)"/>
      <w:numFmt w:val="decimal"/>
      <w:start w:val="2"/>
    </w:lvl>
  </w:abstractNum>
  <w:abstractNum w:abstractNumId="20">
    <w:nsid w:val="488AC1A"/>
    <w:multiLevelType w:val="hybridMultilevel"/>
    <w:lvl w:ilvl="0">
      <w:lvlJc w:val="left"/>
      <w:lvlText w:val="(%1)"/>
      <w:numFmt w:val="decimal"/>
      <w:start w:val="1"/>
    </w:lvl>
  </w:abstractNum>
  <w:abstractNum w:abstractNumId="21">
    <w:nsid w:val="5FB8011C"/>
    <w:multiLevelType w:val="hybridMultilevel"/>
    <w:lvl w:ilvl="0">
      <w:lvlJc w:val="left"/>
      <w:lvlText w:val="(%1)"/>
      <w:numFmt w:val="decimal"/>
      <w:start w:val="2"/>
    </w:lvl>
  </w:abstractNum>
  <w:abstractNum w:abstractNumId="22">
    <w:nsid w:val="6AA78F7F"/>
    <w:multiLevelType w:val="hybridMultilevel"/>
    <w:lvl w:ilvl="0">
      <w:lvlJc w:val="left"/>
      <w:lvlText w:val="(%1)"/>
      <w:numFmt w:val="decimal"/>
      <w:start w:val="4"/>
    </w:lvl>
  </w:abstractNum>
  <w:abstractNum w:abstractNumId="23">
    <w:nsid w:val="7672BD23"/>
    <w:multiLevelType w:val="hybridMultilevel"/>
    <w:lvl w:ilvl="0">
      <w:lvlJc w:val="left"/>
      <w:lvlText w:val="(%1)"/>
      <w:numFmt w:val="decimal"/>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
      <w:numFmt w:val="bullet"/>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lvl w:ilvl="1">
      <w:lvlJc w:val="left"/>
      <w:lvlText w:val="◦"/>
      <w:numFmt w:val="bullet"/>
      <w:start w:val="1"/>
    </w:lvl>
  </w:abstractNum>
  <w:abstractNum w:abstractNumId="63">
    <w:nsid w:val="4C9B0904"/>
    <w:multiLevelType w:val="hybridMultilevel"/>
    <w:lvl w:ilvl="0">
      <w:lvlJc w:val="left"/>
      <w:lvlText w:val="•"/>
      <w:numFmt w:val="bullet"/>
      <w:start w:val="1"/>
    </w:lvl>
    <w:lvl w:ilvl="1">
      <w:lvlJc w:val="left"/>
      <w:lvlText w:val="◦"/>
      <w:numFmt w:val="bullet"/>
      <w:start w:val="1"/>
    </w:lvl>
  </w:abstractNum>
  <w:abstractNum w:abstractNumId="64">
    <w:nsid w:val="6AA7B75C"/>
    <w:multiLevelType w:val="hybridMultilevel"/>
    <w:lvl w:ilvl="0">
      <w:lvlJc w:val="left"/>
      <w:lvlText w:val="•"/>
      <w:numFmt w:val="bullet"/>
      <w:start w:val="1"/>
    </w:lvl>
    <w:lvl w:ilvl="1">
      <w:lvlJc w:val="left"/>
      <w:lvlText w:val="◦"/>
      <w:numFmt w:val="bullet"/>
      <w:start w:val="1"/>
    </w:lvl>
  </w:abstractNum>
  <w:abstractNum w:abstractNumId="65">
    <w:nsid w:val="1DF029D3"/>
    <w:multiLevelType w:val="hybridMultilevel"/>
    <w:lvl w:ilvl="0">
      <w:lvlJc w:val="left"/>
      <w:lvlText w:val="•"/>
      <w:numFmt w:val="bullet"/>
      <w:start w:val="1"/>
    </w:lvl>
    <w:lvl w:ilvl="1">
      <w:lvlJc w:val="left"/>
      <w:lvlText w:val="◦"/>
      <w:numFmt w:val="bullet"/>
      <w:start w:val="1"/>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
      <w:numFmt w:val="bullet"/>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
      <w:numFmt w:val="bullet"/>
      <w:start w:val="1"/>
    </w:lvl>
  </w:abstractNum>
  <w:abstractNum w:abstractNumId="70">
    <w:nsid w:val="5B25ACE2"/>
    <w:multiLevelType w:val="hybridMultilevel"/>
    <w:lvl w:ilvl="0">
      <w:lvlJc w:val="left"/>
      <w:lvlText w:val="•"/>
      <w:numFmt w:val="bullet"/>
      <w:start w:val="1"/>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
      <w:numFmt w:val="bullet"/>
      <w:start w:val="1"/>
    </w:lvl>
  </w:abstractNum>
  <w:abstractNum w:abstractNumId="74">
    <w:nsid w:val="34FD6B4F"/>
    <w:multiLevelType w:val="hybridMultilevel"/>
    <w:lvl w:ilvl="0">
      <w:lvlJc w:val="left"/>
      <w:lvlText w:val="•"/>
      <w:numFmt w:val="bullet"/>
      <w:start w:val="1"/>
    </w:lvl>
    <w:lvl w:ilvl="1">
      <w:lvlJc w:val="left"/>
      <w:lvlText w:val="◦"/>
      <w:numFmt w:val="bullet"/>
      <w:start w:val="1"/>
    </w:lvl>
  </w:abstractNum>
  <w:abstractNum w:abstractNumId="75">
    <w:nsid w:val="5915FF32"/>
    <w:multiLevelType w:val="hybridMultilevel"/>
    <w:lvl w:ilvl="0">
      <w:lvlJc w:val="left"/>
      <w:lvlText w:val="◦"/>
      <w:numFmt w:val="bullet"/>
      <w:start w:val="1"/>
    </w:lvl>
  </w:abstractNum>
  <w:abstractNum w:abstractNumId="76">
    <w:nsid w:val="56438D15"/>
    <w:multiLevelType w:val="hybridMultilevel"/>
    <w:lvl w:ilvl="0">
      <w:lvlJc w:val="left"/>
      <w:lvlText w:val="•"/>
      <w:numFmt w:val="bullet"/>
      <w:start w:val="1"/>
    </w:lvl>
  </w:abstractNum>
  <w:abstractNum w:abstractNumId="77">
    <w:nsid w:val="519E3149"/>
    <w:multiLevelType w:val="hybridMultilevel"/>
    <w:lvl w:ilvl="0">
      <w:lvlJc w:val="left"/>
      <w:lvlText w:val="•"/>
      <w:numFmt w:val="bullet"/>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
      <w:numFmt w:val="bullet"/>
      <w:start w:val="1"/>
    </w:lvl>
  </w:abstractNum>
  <w:abstractNum w:abstractNumId="81">
    <w:nsid w:val="5046B5A9"/>
    <w:multiLevelType w:val="hybridMultilevel"/>
    <w:lvl w:ilvl="0">
      <w:lvlJc w:val="left"/>
      <w:lvlText w:val="•"/>
      <w:numFmt w:val="bullet"/>
      <w:start w:val="1"/>
    </w:lvl>
  </w:abstractNum>
  <w:abstractNum w:abstractNumId="82">
    <w:nsid w:val="5D888A08"/>
    <w:multiLevelType w:val="hybridMultilevel"/>
    <w:lvl w:ilvl="0">
      <w:lvlJc w:val="left"/>
      <w:lvlText w:val="•"/>
      <w:numFmt w:val="bullet"/>
      <w:start w:val="1"/>
    </w:lvl>
    <w:lvl w:ilvl="1">
      <w:lvlJc w:val="left"/>
      <w:lvlText w:val="◦"/>
      <w:numFmt w:val="bullet"/>
      <w:start w:val="1"/>
    </w:lvl>
  </w:abstractNum>
  <w:abstractNum w:abstractNumId="83">
    <w:nsid w:val="2A082C70"/>
    <w:multiLevelType w:val="hybridMultilevel"/>
    <w:lvl w:ilvl="0">
      <w:lvlJc w:val="left"/>
      <w:lvlText w:val="•"/>
      <w:numFmt w:val="bullet"/>
      <w:start w:val="1"/>
    </w:lvl>
    <w:lvl w:ilvl="1">
      <w:lvlJc w:val="left"/>
      <w:lvlText w:val="◦"/>
      <w:numFmt w:val="bullet"/>
      <w:start w:val="1"/>
    </w:lvl>
  </w:abstractNum>
  <w:abstractNum w:abstractNumId="84">
    <w:nsid w:val="5EC6AFD4"/>
    <w:multiLevelType w:val="hybridMultilevel"/>
    <w:lvl w:ilvl="0">
      <w:lvlJc w:val="left"/>
      <w:lvlText w:val="•"/>
      <w:numFmt w:val="bullet"/>
      <w:start w:val="1"/>
    </w:lvl>
  </w:abstractNum>
  <w:abstractNum w:abstractNumId="85">
    <w:nsid w:val="19E21BB2"/>
    <w:multiLevelType w:val="hybridMultilevel"/>
    <w:lvl w:ilvl="0">
      <w:lvlJc w:val="left"/>
      <w:lvlText w:val="•"/>
      <w:numFmt w:val="bullet"/>
      <w:start w:val="1"/>
    </w:lvl>
  </w:abstractNum>
  <w:abstractNum w:abstractNumId="86">
    <w:nsid w:val="75E0858A"/>
    <w:multiLevelType w:val="hybridMultilevel"/>
    <w:lvl w:ilvl="0">
      <w:lvlJc w:val="left"/>
      <w:lvlText w:val="(%1)"/>
      <w:numFmt w:val="decimal"/>
      <w:start w:val="1"/>
    </w:lvl>
  </w:abstractNum>
  <w:abstractNum w:abstractNumId="87">
    <w:nsid w:val="57A61A29"/>
    <w:multiLevelType w:val="hybridMultilevel"/>
    <w:lvl w:ilvl="0">
      <w:lvlJc w:val="left"/>
      <w:lvlText w:val="•"/>
      <w:numFmt w:val="bullet"/>
      <w:start w:val="1"/>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
      <w:numFmt w:val="bullet"/>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
      <w:numFmt w:val="bullet"/>
      <w:start w:val="1"/>
    </w:lvl>
  </w:abstractNum>
  <w:abstractNum w:abstractNumId="92">
    <w:nsid w:val="2157F6BC"/>
    <w:multiLevelType w:val="hybridMultilevel"/>
    <w:lvl w:ilvl="0">
      <w:lvlJc w:val="left"/>
      <w:lvlText w:val="(%1)"/>
      <w:numFmt w:val="decimal"/>
      <w:start w:val="1"/>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1)"/>
      <w:numFmt w:val="decimal"/>
      <w:start w:val="1"/>
    </w:lvl>
  </w:abstractNum>
  <w:abstractNum w:abstractNumId="95">
    <w:nsid w:val="BFFAE18"/>
    <w:multiLevelType w:val="hybridMultilevel"/>
    <w:lvl w:ilvl="0">
      <w:lvlJc w:val="left"/>
      <w:lvlText w:val="(%1)"/>
      <w:numFmt w:val="decimal"/>
      <w:start w:val="3"/>
    </w:lvl>
  </w:abstractNum>
  <w:abstractNum w:abstractNumId="96">
    <w:nsid w:val="E3E47A8"/>
    <w:multiLevelType w:val="hybridMultilevel"/>
    <w:lvl w:ilvl="0">
      <w:lvlJc w:val="left"/>
      <w:lvlText w:val="(%1)"/>
      <w:numFmt w:val="decimal"/>
      <w:start w:val="1"/>
    </w:lvl>
  </w:abstractNum>
  <w:abstractNum w:abstractNumId="97">
    <w:nsid w:val="2E48F044"/>
    <w:multiLevelType w:val="hybridMultilevel"/>
    <w:lvl w:ilvl="0">
      <w:lvlJc w:val="left"/>
      <w:lvlText w:val="(%1)"/>
      <w:numFmt w:val="decimal"/>
      <w:start w:val="2"/>
    </w:lvl>
  </w:abstractNum>
  <w:abstractNum w:abstractNumId="98">
    <w:nsid w:val="49D0FEAC"/>
    <w:multiLevelType w:val="hybridMultilevel"/>
    <w:lvl w:ilvl="0">
      <w:lvlJc w:val="left"/>
      <w:lvlText w:val="•"/>
      <w:numFmt w:val="bullet"/>
      <w:start w:val="1"/>
    </w:lvl>
  </w:abstractNum>
  <w:abstractNum w:abstractNumId="99">
    <w:nsid w:val="4BEE5A5B"/>
    <w:multiLevelType w:val="hybridMultilevel"/>
    <w:lvl w:ilvl="0">
      <w:lvlJc w:val="left"/>
      <w:lvlText w:val="•"/>
      <w:numFmt w:val="bullet"/>
      <w:start w:val="1"/>
    </w:lvl>
  </w:abstractNum>
  <w:abstractNum w:abstractNumId="100">
    <w:nsid w:val="5551B9F3"/>
    <w:multiLevelType w:val="hybridMultilevel"/>
    <w:lvl w:ilvl="0">
      <w:lvlJc w:val="left"/>
      <w:lvlText w:val="•"/>
      <w:numFmt w:val="bullet"/>
      <w:start w:val="1"/>
    </w:lvl>
  </w:abstractNum>
  <w:abstractNum w:abstractNumId="101">
    <w:nsid w:val="24F6AB8E"/>
    <w:multiLevelType w:val="hybridMultilevel"/>
    <w:lvl w:ilvl="0">
      <w:lvlJc w:val="left"/>
      <w:lvlText w:val="(%1)"/>
      <w:numFmt w:val="lowerRoman"/>
      <w:start w:val="6"/>
    </w:lvl>
  </w:abstractNum>
  <w:abstractNum w:abstractNumId="102">
    <w:nsid w:val="634C574C"/>
    <w:multiLevelType w:val="hybridMultilevel"/>
    <w:lvl w:ilvl="0">
      <w:lvlJc w:val="left"/>
      <w:lvlText w:val="(%1)"/>
      <w:numFmt w:val="lowerRoman"/>
      <w:start w:val="4"/>
    </w:lvl>
  </w:abstractNum>
  <w:abstractNum w:abstractNumId="103">
    <w:nsid w:val="24E99DD7"/>
    <w:multiLevelType w:val="hybridMultilevel"/>
    <w:lvl w:ilvl="0">
      <w:lvlJc w:val="left"/>
      <w:lvlText w:val="(%1)"/>
      <w:numFmt w:val="lowerRoman"/>
      <w:start w:val="11"/>
    </w:lvl>
  </w:abstractNum>
  <w:abstractNum w:abstractNumId="104">
    <w:nsid w:val="2A31B62D"/>
    <w:multiLevelType w:val="hybridMultilevel"/>
    <w:lvl w:ilvl="0">
      <w:lvlJc w:val="left"/>
      <w:lvlText w:val="•"/>
      <w:numFmt w:val="bullet"/>
      <w:start w:val="1"/>
    </w:lvl>
  </w:abstractNum>
  <w:abstractNum w:abstractNumId="105">
    <w:nsid w:val="1849C29B"/>
    <w:multiLevelType w:val="hybridMultilevel"/>
    <w:lvl w:ilvl="0">
      <w:lvlJc w:val="left"/>
      <w:lvlText w:val="(%1)"/>
      <w:numFmt w:val="decimal"/>
      <w:start w:val="1"/>
    </w:lvl>
  </w:abstractNum>
  <w:abstractNum w:abstractNumId="106">
    <w:nsid w:val="7DFF9D09"/>
    <w:multiLevelType w:val="hybridMultilevel"/>
    <w:lvl w:ilvl="0">
      <w:lvlJc w:val="left"/>
      <w:lvlText w:val="(%1)"/>
      <w:numFmt w:val="decimal"/>
      <w:start w:val="3"/>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
      <w:numFmt w:val="bullet"/>
      <w:start w:val="1"/>
    </w:lvl>
  </w:abstractNum>
  <w:abstractNum w:abstractNumId="109">
    <w:nsid w:val="2A6DE806"/>
    <w:multiLevelType w:val="hybridMultilevel"/>
    <w:lvl w:ilvl="0">
      <w:lvlJc w:val="left"/>
      <w:lvlText w:val="*"/>
      <w:numFmt w:val="bullet"/>
      <w:start w:val="1"/>
    </w:lvl>
  </w:abstractNum>
  <w:abstractNum w:abstractNumId="110">
    <w:nsid w:val="1816F8C4"/>
    <w:multiLevelType w:val="hybridMultilevel"/>
    <w:lvl w:ilvl="0">
      <w:lvlJc w:val="left"/>
      <w:lvlText w:val="**"/>
      <w:numFmt w:val="bullet"/>
      <w:start w:val="1"/>
    </w:lvl>
  </w:abstractNum>
  <w:abstractNum w:abstractNumId="111">
    <w:nsid w:val="37DF2233"/>
    <w:multiLevelType w:val="hybridMultilevel"/>
    <w:lvl w:ilvl="0">
      <w:lvlJc w:val="left"/>
      <w:lvlText w:val="(%1)"/>
      <w:numFmt w:val="decimal"/>
      <w:start w:val="10"/>
    </w:lvl>
  </w:abstractNum>
  <w:abstractNum w:abstractNumId="112">
    <w:nsid w:val="7AB49DAF"/>
    <w:multiLevelType w:val="hybridMultilevel"/>
    <w:lvl w:ilvl="0">
      <w:lvlJc w:val="left"/>
      <w:lvlText w:val="%1"/>
      <w:numFmt w:val="upperLetter"/>
      <w:start w:val="35"/>
    </w:lvl>
  </w:abstractNum>
  <w:abstractNum w:abstractNumId="113">
    <w:nsid w:val="759F82CD"/>
    <w:multiLevelType w:val="hybridMultilevel"/>
    <w:lvl w:ilvl="0">
      <w:lvlJc w:val="left"/>
      <w:lvlText w:val="•"/>
      <w:numFmt w:val="bullet"/>
      <w:start w:val="1"/>
    </w:lvl>
  </w:abstractNum>
  <w:abstractNum w:abstractNumId="114">
    <w:nsid w:val="61E74EA3"/>
    <w:multiLevelType w:val="hybridMultilevel"/>
    <w:lvl w:ilvl="0">
      <w:lvlJc w:val="left"/>
      <w:lvlText w:val="•"/>
      <w:numFmt w:val="bullet"/>
      <w:start w:val="1"/>
    </w:lvl>
  </w:abstractNum>
  <w:abstractNum w:abstractNumId="115">
    <w:nsid w:val="597B4D84"/>
    <w:multiLevelType w:val="hybridMultilevel"/>
    <w:lvl w:ilvl="0">
      <w:lvlJc w:val="left"/>
      <w:lvlText w:val="•"/>
      <w:numFmt w:val="bullet"/>
      <w:start w:val="1"/>
    </w:lvl>
  </w:abstractNum>
  <w:abstractNum w:abstractNumId="116">
    <w:nsid w:val="F819E7F"/>
    <w:multiLevelType w:val="hybridMultilevel"/>
    <w:lvl w:ilvl="0">
      <w:lvlJc w:val="left"/>
      <w:lvlText w:val="•"/>
      <w:numFmt w:val="bullet"/>
      <w:start w:val="1"/>
    </w:lvl>
  </w:abstractNum>
  <w:abstractNum w:abstractNumId="117">
    <w:nsid w:val="57C7D42D"/>
    <w:multiLevelType w:val="hybridMultilevel"/>
    <w:lvl w:ilvl="0">
      <w:lvlJc w:val="left"/>
      <w:lvlText w:val="$"/>
      <w:numFmt w:val="bullet"/>
      <w:start w:val="1"/>
    </w:lvl>
  </w:abstractNum>
  <w:abstractNum w:abstractNumId="118">
    <w:nsid w:val="312167AD"/>
    <w:multiLevelType w:val="hybridMultilevel"/>
    <w:lvl w:ilvl="0">
      <w:lvlJc w:val="left"/>
      <w:lvlText w:val="•"/>
      <w:numFmt w:val="bullet"/>
      <w:start w:val="1"/>
    </w:lvl>
  </w:abstractNum>
  <w:abstractNum w:abstractNumId="119">
    <w:nsid w:val="631B64D4"/>
    <w:multiLevelType w:val="hybridMultilevel"/>
    <w:lvl w:ilvl="0">
      <w:lvlJc w:val="left"/>
      <w:lvlText w:val="•"/>
      <w:numFmt w:val="bullet"/>
      <w:start w:val="1"/>
    </w:lvl>
  </w:abstractNum>
  <w:abstractNum w:abstractNumId="120">
    <w:nsid w:val="78B5E776"/>
    <w:multiLevelType w:val="hybridMultilevel"/>
    <w:lvl w:ilvl="0">
      <w:lvlJc w:val="left"/>
      <w:lvlText w:val="•"/>
      <w:numFmt w:val="bullet"/>
      <w:start w:val="1"/>
    </w:lvl>
  </w:abstractNum>
  <w:abstractNum w:abstractNumId="121">
    <w:nsid w:val="75486E47"/>
    <w:multiLevelType w:val="hybridMultilevel"/>
    <w:lvl w:ilvl="0">
      <w:lvlJc w:val="left"/>
      <w:lvlText w:val="•"/>
      <w:numFmt w:val="bullet"/>
      <w:start w:val="1"/>
    </w:lvl>
  </w:abstractNum>
  <w:abstractNum w:abstractNumId="122">
    <w:nsid w:val="6E534CDE"/>
    <w:multiLevelType w:val="hybridMultilevel"/>
    <w:lvl w:ilvl="0">
      <w:lvlJc w:val="left"/>
      <w:lvlText w:val="•"/>
      <w:numFmt w:val="bullet"/>
      <w:start w:val="1"/>
    </w:lvl>
  </w:abstractNum>
  <w:abstractNum w:abstractNumId="123">
    <w:nsid w:val="1A0DDE32"/>
    <w:multiLevelType w:val="hybridMultilevel"/>
    <w:lvl w:ilvl="0">
      <w:lvlJc w:val="left"/>
      <w:lvlText w:val="•"/>
      <w:numFmt w:val="bullet"/>
      <w:start w:val="1"/>
    </w:lvl>
  </w:abstractNum>
  <w:abstractNum w:abstractNumId="124">
    <w:nsid w:val="65968C1C"/>
    <w:multiLevelType w:val="hybridMultilevel"/>
    <w:lvl w:ilvl="0">
      <w:lvlJc w:val="left"/>
      <w:lvlText w:val="•"/>
      <w:numFmt w:val="bullet"/>
      <w:start w:val="1"/>
    </w:lvl>
  </w:abstractNum>
  <w:abstractNum w:abstractNumId="125">
    <w:nsid w:val="46263DEC"/>
    <w:multiLevelType w:val="hybridMultilevel"/>
    <w:lvl w:ilvl="0">
      <w:lvlJc w:val="left"/>
      <w:lvlText w:val="%1."/>
      <w:numFmt w:val="decimal"/>
      <w:start w:val="144"/>
    </w:lvl>
  </w:abstractNum>
  <w:abstractNum w:abstractNumId="126">
    <w:nsid w:val="260D8C4A"/>
    <w:multiLevelType w:val="hybridMultilevel"/>
    <w:lvl w:ilvl="0">
      <w:lvlJc w:val="left"/>
      <w:lvlText w:val="•"/>
      <w:numFmt w:val="bullet"/>
      <w:start w:val="1"/>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lowerLetter"/>
      <w:start w:val="1"/>
    </w:lvl>
  </w:abstractNum>
  <w:abstractNum w:abstractNumId="129">
    <w:nsid w:val="6FDE8AF6"/>
    <w:multiLevelType w:val="hybridMultilevel"/>
    <w:lvl w:ilvl="0">
      <w:lvlJc w:val="left"/>
      <w:lvlText w:val="%1)"/>
      <w:numFmt w:val="lowerLetter"/>
      <w:start w:val="1"/>
    </w:lvl>
  </w:abstractNum>
  <w:abstractNum w:abstractNumId="130">
    <w:nsid w:val="3FC32E20"/>
    <w:multiLevelType w:val="hybridMultilevel"/>
    <w:lvl w:ilvl="0">
      <w:lvlJc w:val="left"/>
      <w:lvlText w:val="(%1)"/>
      <w:numFmt w:val="decimal"/>
      <w:start w:val="1"/>
    </w:lvl>
  </w:abstractNum>
  <w:abstractNum w:abstractNumId="131">
    <w:nsid w:val="49C0E823"/>
    <w:multiLevelType w:val="hybridMultilevel"/>
    <w:lvl w:ilvl="0">
      <w:lvlJc w:val="left"/>
      <w:lvlText w:val="(%1)"/>
      <w:numFmt w:val="decimal"/>
      <w:start w:val="1"/>
    </w:lvl>
  </w:abstractNum>
  <w:abstractNum w:abstractNumId="132">
    <w:nsid w:val="14D53685"/>
    <w:multiLevelType w:val="hybridMultilevel"/>
    <w:lvl w:ilvl="0">
      <w:lvlJc w:val="left"/>
      <w:lvlText w:val="(%1)"/>
      <w:numFmt w:val="decimal"/>
      <w:start w:val="1"/>
    </w:lvl>
  </w:abstractNum>
  <w:abstractNum w:abstractNumId="133">
    <w:nsid w:val="230F856C"/>
    <w:multiLevelType w:val="hybridMultilevel"/>
    <w:lvl w:ilvl="0">
      <w:lvlJc w:val="left"/>
      <w:lvlText w:val="(%1)"/>
      <w:numFmt w:val="decimal"/>
      <w:start w:val="1"/>
    </w:lvl>
  </w:abstractNum>
  <w:abstractNum w:abstractNumId="134">
    <w:nsid w:val="6EAA85FB"/>
    <w:multiLevelType w:val="hybridMultilevel"/>
    <w:lvl w:ilvl="0">
      <w:lvlJc w:val="left"/>
      <w:lvlText w:val="$"/>
      <w:numFmt w:val="bullet"/>
      <w:start w:val="1"/>
    </w:lvl>
  </w:abstractNum>
  <w:abstractNum w:abstractNumId="135">
    <w:nsid w:val="3F06ECB2"/>
    <w:multiLevelType w:val="hybridMultilevel"/>
    <w:lvl w:ilvl="0">
      <w:lvlJc w:val="left"/>
      <w:lvlText w:val="$"/>
      <w:numFmt w:val="bullet"/>
      <w:start w:val="1"/>
    </w:lvl>
  </w:abstractNum>
  <w:abstractNum w:abstractNumId="136">
    <w:nsid w:val="3B594807"/>
    <w:multiLevelType w:val="hybridMultilevel"/>
    <w:lvl w:ilvl="0">
      <w:lvlJc w:val="left"/>
      <w:lvlText w:val="$"/>
      <w:numFmt w:val="bullet"/>
      <w:start w:val="1"/>
    </w:lvl>
  </w:abstractNum>
  <w:abstractNum w:abstractNumId="137">
    <w:nsid w:val="6CAA2304"/>
    <w:multiLevelType w:val="hybridMultilevel"/>
    <w:lvl w:ilvl="0">
      <w:lvlJc w:val="left"/>
      <w:lvlText w:val="\emdash "/>
      <w:numFmt w:val="bullet"/>
      <w:start w:val="1"/>
    </w:lvl>
  </w:abstractNum>
  <w:abstractNum w:abstractNumId="138">
    <w:nsid w:val="3F7C2FF4"/>
    <w:multiLevelType w:val="hybridMultilevel"/>
    <w:lvl w:ilvl="0">
      <w:lvlJc w:val="left"/>
      <w:lvlText w:val="(%1)"/>
      <w:numFmt w:val="decimal"/>
      <w:start w:val="1"/>
    </w:lvl>
  </w:abstractNum>
  <w:abstractNum w:abstractNumId="139">
    <w:nsid w:val="25413BEC"/>
    <w:multiLevelType w:val="hybridMultilevel"/>
    <w:lvl w:ilvl="0">
      <w:lvlJc w:val="left"/>
      <w:lvlText w:val="*"/>
      <w:numFmt w:val="bullet"/>
      <w:start w:val="1"/>
    </w:lvl>
  </w:abstractNum>
  <w:abstractNum w:abstractNumId="140">
    <w:nsid w:val="17180B0B"/>
    <w:multiLevelType w:val="hybridMultilevel"/>
    <w:lvl w:ilvl="0">
      <w:lvlJc w:val="left"/>
      <w:lvlText w:val="•"/>
      <w:numFmt w:val="bullet"/>
      <w:start w:val="1"/>
    </w:lvl>
  </w:abstractNum>
  <w:abstractNum w:abstractNumId="141">
    <w:nsid w:val="579328B9"/>
    <w:multiLevelType w:val="hybridMultilevel"/>
    <w:lvl w:ilvl="0">
      <w:lvlJc w:val="left"/>
      <w:lvlText w:val="•"/>
      <w:numFmt w:val="bullet"/>
      <w:start w:val="1"/>
    </w:lvl>
  </w:abstractNum>
  <w:abstractNum w:abstractNumId="142">
    <w:nsid w:val="5D205E20"/>
    <w:multiLevelType w:val="hybridMultilevel"/>
    <w:lvl w:ilvl="0">
      <w:lvlJc w:val="left"/>
      <w:lvlText w:val="•"/>
      <w:numFmt w:val="bullet"/>
      <w:start w:val="1"/>
    </w:lvl>
  </w:abstractNum>
  <w:abstractNum w:abstractNumId="143">
    <w:nsid w:val="11CCA8BA"/>
    <w:multiLevelType w:val="hybridMultilevel"/>
    <w:lvl w:ilvl="0">
      <w:lvlJc w:val="left"/>
      <w:lvlText w:val="•"/>
      <w:numFmt w:val="bullet"/>
      <w:start w:val="1"/>
    </w:lvl>
  </w:abstractNum>
  <w:abstractNum w:abstractNumId="144">
    <w:nsid w:val="4D32AB86"/>
    <w:multiLevelType w:val="hybridMultilevel"/>
    <w:lvl w:ilvl="0">
      <w:lvlJc w:val="left"/>
      <w:lvlText w:val="•"/>
      <w:numFmt w:val="bullet"/>
      <w:start w:val="1"/>
    </w:lvl>
  </w:abstractNum>
  <w:abstractNum w:abstractNumId="145">
    <w:nsid w:val="3F07ACC3"/>
    <w:multiLevelType w:val="hybridMultilevel"/>
    <w:lvl w:ilvl="0">
      <w:lvlJc w:val="left"/>
      <w:lvlText w:val="*"/>
      <w:numFmt w:val="bullet"/>
      <w:start w:val="1"/>
    </w:lvl>
    <w:lvl w:ilvl="1">
      <w:lvlJc w:val="left"/>
      <w:lvlText w:val="(%2)"/>
      <w:numFmt w:val="lowerLetter"/>
      <w:start w:val="2"/>
    </w:lvl>
  </w:abstractNum>
  <w:abstractNum w:abstractNumId="146">
    <w:nsid w:val="6B47F63E"/>
    <w:multiLevelType w:val="hybridMultilevel"/>
    <w:lvl w:ilvl="0">
      <w:lvlJc w:val="left"/>
      <w:lvlText w:val="(%1)"/>
      <w:numFmt w:val="lowerLetter"/>
      <w:start w:val="1"/>
    </w:lvl>
  </w:abstractNum>
  <w:abstractNum w:abstractNumId="147">
    <w:nsid w:val="5CB44A05"/>
    <w:multiLevelType w:val="hybridMultilevel"/>
    <w:lvl w:ilvl="0">
      <w:lvlJc w:val="left"/>
      <w:lvlText w:val=","/>
      <w:numFmt w:val="bullet"/>
      <w:start w:val="1"/>
    </w:lvl>
  </w:abstractNum>
  <w:abstractNum w:abstractNumId="148">
    <w:nsid w:val="16CF80F1"/>
    <w:multiLevelType w:val="hybridMultilevel"/>
    <w:lvl w:ilvl="0">
      <w:lvlJc w:val="left"/>
      <w:lvlText w:val="(%1)"/>
      <w:numFmt w:val="lowerLetter"/>
      <w:start w:val="2"/>
    </w:lvl>
  </w:abstractNum>
  <w:abstractNum w:abstractNumId="149">
    <w:nsid w:val="1C695DEC"/>
    <w:multiLevelType w:val="hybridMultilevel"/>
    <w:lvl w:ilvl="0">
      <w:lvlJc w:val="left"/>
      <w:lvlText w:val="(%1)"/>
      <w:numFmt w:val="lowerLetter"/>
      <w:start w:val="1"/>
    </w:lvl>
  </w:abstractNum>
  <w:abstractNum w:abstractNumId="150">
    <w:nsid w:val="3FCFAED9"/>
    <w:multiLevelType w:val="hybridMultilevel"/>
    <w:lvl w:ilvl="0">
      <w:lvlJc w:val="left"/>
      <w:lvlText w:val="(%1)"/>
      <w:numFmt w:val="lowerLetter"/>
      <w:start w:val="2"/>
    </w:lvl>
  </w:abstractNum>
  <w:abstractNum w:abstractNumId="151">
    <w:nsid w:val="F856867"/>
    <w:multiLevelType w:val="hybridMultilevel"/>
    <w:lvl w:ilvl="0">
      <w:lvlJc w:val="left"/>
      <w:lvlText w:val="(%1)"/>
      <w:numFmt w:val="lowerLetter"/>
      <w:start w:val="1"/>
    </w:lvl>
  </w:abstractNum>
  <w:abstractNum w:abstractNumId="152">
    <w:nsid w:val="11B1CC33"/>
    <w:multiLevelType w:val="hybridMultilevel"/>
    <w:lvl w:ilvl="0">
      <w:lvlJc w:val="left"/>
      <w:lvlText w:val="(%1)"/>
      <w:numFmt w:val="lowerLetter"/>
      <w:start w:val="3"/>
    </w:lvl>
  </w:abstractNum>
  <w:abstractNum w:abstractNumId="153">
    <w:nsid w:val="2E22FBB7"/>
    <w:multiLevelType w:val="hybridMultilevel"/>
    <w:lvl w:ilvl="0">
      <w:lvlJc w:val="left"/>
      <w:lvlText w:val="(%1)"/>
      <w:numFmt w:val="lowerLetter"/>
      <w:start w:val="1"/>
    </w:lvl>
  </w:abstractNum>
  <w:abstractNum w:abstractNumId="154">
    <w:nsid w:val="29934699"/>
    <w:multiLevelType w:val="hybridMultilevel"/>
    <w:lvl w:ilvl="0">
      <w:lvlJc w:val="left"/>
      <w:lvlText w:val="(%1)"/>
      <w:numFmt w:val="decimal"/>
      <w:start w:val="60"/>
    </w:lvl>
  </w:abstractNum>
  <w:abstractNum w:abstractNumId="155">
    <w:nsid w:val="77485850"/>
    <w:multiLevelType w:val="hybridMultilevel"/>
    <w:lvl w:ilvl="0">
      <w:lvlJc w:val="left"/>
      <w:lvlText w:val="%1."/>
      <w:numFmt w:val="decimal"/>
      <w:start w:val="1"/>
    </w:lvl>
  </w:abstractNum>
  <w:abstractNum w:abstractNumId="156">
    <w:nsid w:val="744939A3"/>
    <w:multiLevelType w:val="hybridMultilevel"/>
    <w:lvl w:ilvl="0">
      <w:lvlJc w:val="left"/>
      <w:lvlText w:val="%1."/>
      <w:numFmt w:val="decimal"/>
      <w:start w:val="2"/>
    </w:lvl>
  </w:abstractNum>
  <w:abstractNum w:abstractNumId="157">
    <w:nsid w:val="4FA0D2E3"/>
    <w:multiLevelType w:val="hybridMultilevel"/>
    <w:lvl w:ilvl="0">
      <w:lvlJc w:val="left"/>
      <w:lvlText w:val="(%1)"/>
      <w:numFmt w:val="lowerLetter"/>
      <w:start w:val="1"/>
    </w:lvl>
  </w:abstractNum>
  <w:abstractNum w:abstractNumId="158">
    <w:nsid w:val="6B1D2C14"/>
    <w:multiLevelType w:val="hybridMultilevel"/>
    <w:lvl w:ilvl="0">
      <w:lvlJc w:val="left"/>
      <w:lvlText w:val="(%1)"/>
      <w:numFmt w:val="lowerLetter"/>
      <w:start w:val="2"/>
    </w:lvl>
  </w:abstractNum>
  <w:abstractNum w:abstractNumId="159">
    <w:nsid w:val="68B867D3"/>
    <w:multiLevelType w:val="hybridMultilevel"/>
    <w:lvl w:ilvl="0">
      <w:lvlJc w:val="left"/>
      <w:lvlText w:val="%1."/>
      <w:numFmt w:val="decimal"/>
      <w:start w:val="3"/>
    </w:lvl>
  </w:abstractNum>
  <w:abstractNum w:abstractNumId="160">
    <w:nsid w:val="3F7F5DD9"/>
    <w:multiLevelType w:val="hybridMultilevel"/>
    <w:lvl w:ilvl="0">
      <w:lvlJc w:val="left"/>
      <w:lvlText w:val="(%1)"/>
      <w:numFmt w:val="decimal"/>
      <w:start w:val="30"/>
    </w:lvl>
  </w:abstractNum>
  <w:abstractNum w:abstractNumId="161">
    <w:nsid w:val="2AE05A34"/>
    <w:multiLevelType w:val="hybridMultilevel"/>
    <w:lvl w:ilvl="0">
      <w:lvlJc w:val="left"/>
      <w:lvlText w:val="(%1)"/>
      <w:numFmt w:val="lowerLetter"/>
      <w:start w:val="1"/>
    </w:lvl>
  </w:abstractNum>
  <w:abstractNum w:abstractNumId="162">
    <w:nsid w:val="32794FF7"/>
    <w:multiLevelType w:val="hybridMultilevel"/>
    <w:lvl w:ilvl="0">
      <w:lvlJc w:val="left"/>
      <w:lvlText w:val="(%1)"/>
      <w:numFmt w:val="lowerLetter"/>
      <w:start w:val="1"/>
    </w:lvl>
  </w:abstractNum>
  <w:abstractNum w:abstractNumId="163">
    <w:nsid w:val="5454945E"/>
    <w:multiLevelType w:val="hybridMultilevel"/>
    <w:lvl w:ilvl="0">
      <w:lvlJc w:val="left"/>
      <w:lvlText w:val="(%1)"/>
      <w:numFmt w:val="lowerLetter"/>
      <w:start w:val="7"/>
    </w:lvl>
  </w:abstractNum>
  <w:abstractNum w:abstractNumId="164">
    <w:nsid w:val="4DEFDFA0"/>
    <w:multiLevelType w:val="hybridMultilevel"/>
    <w:lvl w:ilvl="0">
      <w:lvlJc w:val="left"/>
      <w:lvlText w:val="(%1)"/>
      <w:numFmt w:val="lowerRoman"/>
      <w:start w:val="1"/>
    </w:lvl>
  </w:abstractNum>
  <w:abstractNum w:abstractNumId="165">
    <w:nsid w:val="2123D5F2"/>
    <w:multiLevelType w:val="hybridMultilevel"/>
    <w:lvl w:ilvl="0">
      <w:lvlJc w:val="left"/>
      <w:lvlText w:val="(%1)"/>
      <w:numFmt w:val="lowerLetter"/>
      <w:start w:val="1"/>
    </w:lvl>
  </w:abstractNum>
  <w:abstractNum w:abstractNumId="166">
    <w:nsid w:val="135B8110"/>
    <w:multiLevelType w:val="hybridMultilevel"/>
    <w:lvl w:ilvl="0">
      <w:lvlJc w:val="left"/>
      <w:lvlText w:val="(%1)"/>
      <w:numFmt w:val="lowerLetter"/>
      <w:start w:val="1"/>
    </w:lvl>
  </w:abstractNum>
  <w:abstractNum w:abstractNumId="167">
    <w:nsid w:val="94927A8"/>
    <w:multiLevelType w:val="hybridMultilevel"/>
    <w:lvl w:ilvl="0">
      <w:lvlJc w:val="left"/>
      <w:lvlText w:val="%1."/>
      <w:numFmt w:val="decimal"/>
      <w:start w:val="4"/>
    </w:lvl>
  </w:abstractNum>
  <w:abstractNum w:abstractNumId="168">
    <w:nsid w:val="DCDF8F6"/>
    <w:multiLevelType w:val="hybridMultilevel"/>
    <w:lvl w:ilvl="0">
      <w:lvlJc w:val="left"/>
      <w:lvlText w:val="%1."/>
      <w:numFmt w:val="decimal"/>
      <w:start w:val="5"/>
    </w:lvl>
  </w:abstractNum>
  <w:abstractNum w:abstractNumId="169">
    <w:nsid w:val="52D7B105"/>
    <w:multiLevelType w:val="hybridMultilevel"/>
    <w:lvl w:ilvl="0">
      <w:lvlJc w:val="left"/>
      <w:lvlText w:val="(%1)"/>
      <w:numFmt w:val="decimal"/>
      <w:start w:val="120"/>
    </w:lvl>
  </w:abstractNum>
  <w:abstractNum w:abstractNumId="170">
    <w:nsid w:val="2E8A6394"/>
    <w:multiLevelType w:val="hybridMultilevel"/>
    <w:lvl w:ilvl="0">
      <w:lvlJc w:val="left"/>
      <w:lvlText w:val="(%1)"/>
      <w:numFmt w:val="lowerLetter"/>
      <w:start w:val="3"/>
    </w:lvl>
  </w:abstractNum>
  <w:abstractNum w:abstractNumId="171">
    <w:nsid w:val="24E60401"/>
    <w:multiLevelType w:val="hybridMultilevel"/>
    <w:lvl w:ilvl="0">
      <w:lvlJc w:val="left"/>
      <w:lvlText w:val="%1."/>
      <w:numFmt w:val="decimal"/>
      <w:start w:val="6"/>
    </w:lvl>
  </w:abstractNum>
  <w:abstractNum w:abstractNumId="172">
    <w:nsid w:val="2A6AD9BE"/>
    <w:multiLevelType w:val="hybridMultilevel"/>
    <w:lvl w:ilvl="0">
      <w:lvlJc w:val="left"/>
      <w:lvlText w:val="%1."/>
      <w:numFmt w:val="decimal"/>
      <w:start w:val="7"/>
    </w:lvl>
  </w:abstractNum>
  <w:abstractNum w:abstractNumId="173">
    <w:nsid w:val="BAAC1B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2025-09-20T05:21:47Z</dcterms:created>
  <dcterms:modified xsi:type="dcterms:W3CDTF">2025-09-20T05:21:47Z</dcterms:modified>
</cp:coreProperties>
</file>