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Sindicich Michael Eric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NAVAN,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3045 PARK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Navan,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NAVN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01/28/2026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265"/>
        <w:spacing w:after="0"/>
        <w:rPr>
          <w:sz w:val="20"/>
          <w:szCs w:val="20"/>
          <w:color w:val="auto"/>
        </w:rPr>
      </w:pPr>
      <w:r>
        <w:rPr>
          <w:rFonts w:ascii="Times New Roman" w:cs="Times New Roman" w:eastAsia="Times New Roman" w:hAnsi="Times New Roman"/>
          <w:sz w:val="17"/>
          <w:szCs w:val="17"/>
          <w:color w:val="0000FF"/>
        </w:rPr>
        <w:t>President</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4"/>
                <w:szCs w:val="14"/>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PALO ALTO</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94306</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01/28/2026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right"/>
              <w:ind w:right="33"/>
              <w:spacing w:after="0"/>
              <w:rPr>
                <w:sz w:val="20"/>
                <w:szCs w:val="20"/>
                <w:color w:val="auto"/>
              </w:rPr>
            </w:pPr>
            <w:r>
              <w:rPr>
                <w:rFonts w:ascii="Times New Roman" w:cs="Times New Roman" w:eastAsia="Times New Roman" w:hAnsi="Times New Roman"/>
                <w:sz w:val="17"/>
                <w:szCs w:val="17"/>
                <w:color w:val="0000FF"/>
              </w:rPr>
              <w:t>9,081</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13.85</w:t>
            </w:r>
          </w:p>
        </w:tc>
        <w:tc>
          <w:tcPr>
            <w:tcW w:w="120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310,782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01/28/2026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right"/>
              <w:ind w:right="113"/>
              <w:spacing w:after="0"/>
              <w:rPr>
                <w:sz w:val="20"/>
                <w:szCs w:val="20"/>
                <w:color w:val="auto"/>
              </w:rPr>
            </w:pPr>
            <w:r>
              <w:rPr>
                <w:rFonts w:ascii="Times New Roman" w:cs="Times New Roman" w:eastAsia="Times New Roman" w:hAnsi="Times New Roman"/>
                <w:sz w:val="17"/>
                <w:szCs w:val="17"/>
                <w:color w:val="0000FF"/>
              </w:rPr>
              <w:t>268</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14.03</w:t>
            </w:r>
          </w:p>
        </w:tc>
        <w:tc>
          <w:tcPr>
            <w:tcW w:w="1200" w:type="dxa"/>
            <w:vAlign w:val="bottom"/>
            <w:tcBorders>
              <w:bottom w:val="single" w:sz="8" w:color="2C2C2C"/>
            </w:tcBorders>
            <w:gridSpan w:val="2"/>
          </w:tcPr>
          <w:p>
            <w:pPr>
              <w:jc w:val="center"/>
              <w:ind w:right="200"/>
              <w:spacing w:after="0"/>
              <w:rPr>
                <w:sz w:val="20"/>
                <w:szCs w:val="20"/>
                <w:color w:val="auto"/>
              </w:rPr>
            </w:pPr>
            <w:r>
              <w:rPr>
                <w:rFonts w:ascii="Times New Roman" w:cs="Times New Roman" w:eastAsia="Times New Roman" w:hAnsi="Times New Roman"/>
                <w:sz w:val="17"/>
                <w:szCs w:val="17"/>
                <w:color w:val="0000FF"/>
              </w:rPr>
              <w:t>310,514</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(RSUs). The sale satisfies the tax withholding obligations to be funded by a "sell to cover" transaction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70,112 RSUs, each of which represents a contingent right to receive one share of Issuer's Class A Common Stock upon vesting.</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Howard Baik, Attorney-in-  </w:t>
      </w:r>
      <w:r>
        <w:rPr>
          <w:rFonts w:ascii="Times New Roman" w:cs="Times New Roman" w:eastAsia="Times New Roman" w:hAnsi="Times New Roman"/>
          <w:sz w:val="34"/>
          <w:szCs w:val="34"/>
          <w:color w:val="0000FF"/>
          <w:vertAlign w:val="subscript"/>
        </w:rPr>
        <w:t>01/30/2026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258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85077" TargetMode="External"/><Relationship Id="rId14" Type="http://schemas.openxmlformats.org/officeDocument/2006/relationships/hyperlink" Target="http://www.sec.gov/cgi-bin/browse-edgar?action=getcompany&amp;CIK=00016397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2026-01-30T16:46:13Z</dcterms:created>
  <dcterms:modified xsi:type="dcterms:W3CDTF">2026-01-30T16:46:13Z</dcterms:modified>
</cp:coreProperties>
</file>