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32"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900" w:type="dxa"/>
            <w:vAlign w:val="bottom"/>
            <w:gridSpan w:val="2"/>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Andreessen Horowitz Fund V,</w:t>
              </w:r>
            </w:hyperlink>
          </w:p>
        </w:tc>
        <w:tc>
          <w:tcPr>
            <w:tcW w:w="160" w:type="dxa"/>
            <w:vAlign w:val="bottom"/>
            <w:vMerge w:val="restart"/>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900" w:type="dxa"/>
            <w:vAlign w:val="bottom"/>
            <w:tcBorders>
              <w:bottom w:val="single" w:sz="8" w:color="0000EE"/>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6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L.P.</w:t>
              </w:r>
            </w:hyperlink>
          </w:p>
        </w:tc>
        <w:tc>
          <w:tcPr>
            <w:tcW w:w="152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8" w:lineRule="exact"/>
        <w:rPr>
          <w:sz w:val="20"/>
          <w:szCs w:val="20"/>
          <w:color w:val="auto"/>
        </w:rPr>
      </w:pPr>
    </w:p>
    <w:p>
      <w:pPr>
        <w:sectPr>
          <w:pgSz w:w="11900" w:h="16838" w:orient="portrait"/>
          <w:cols w:equalWidth="0" w:num="2">
            <w:col w:w="4720" w:space="280"/>
            <w:col w:w="5940"/>
          </w:cols>
          <w:pgMar w:left="480" w:top="230" w:right="479" w:bottom="32"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ANDREESSEN HOROWITZ</w:t>
      </w:r>
    </w:p>
    <w:p>
      <w:pPr>
        <w:spacing w:after="0" w:line="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2865 SAND HILL ROAD, SUITE</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101</w:t>
      </w: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MENLO</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94025</w:t>
            </w:r>
          </w:p>
        </w:tc>
        <w:tc>
          <w:tcPr>
            <w:tcW w:w="0" w:type="dxa"/>
            <w:vAlign w:val="bottom"/>
          </w:tcPr>
          <w:p>
            <w:pPr>
              <w:spacing w:after="0"/>
              <w:rPr>
                <w:sz w:val="1"/>
                <w:szCs w:val="1"/>
                <w:color w:val="auto"/>
              </w:rPr>
            </w:pPr>
          </w:p>
        </w:tc>
      </w:tr>
      <w:tr>
        <w:trPr>
          <w:trHeight w:val="134"/>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PARK</w:t>
            </w: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93" w:lineRule="exact"/>
        <w:rPr>
          <w:sz w:val="20"/>
          <w:szCs w:val="20"/>
          <w:color w:val="auto"/>
        </w:rPr>
      </w:pPr>
    </w:p>
    <w:p>
      <w:pPr>
        <w:sectPr>
          <w:pgSz w:w="11900" w:h="16838" w:orient="portrait"/>
          <w:cols w:equalWidth="0" w:num="3">
            <w:col w:w="4277" w:space="720"/>
            <w:col w:w="3003" w:space="269"/>
            <w:col w:w="2671"/>
          </w:cols>
          <w:pgMar w:left="480" w:top="230" w:right="479" w:bottom="32"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3"/>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0000FF"/>
              </w:rPr>
              <w:t>1,268,645</w:t>
            </w:r>
          </w:p>
        </w:tc>
        <w:tc>
          <w:tcPr>
            <w:tcW w:w="960" w:type="dxa"/>
            <w:vAlign w:val="bottom"/>
            <w:vMerge w:val="restart"/>
          </w:tcPr>
          <w:p>
            <w:pPr>
              <w:ind w:left="880"/>
              <w:spacing w:after="0"/>
              <w:rPr>
                <w:sz w:val="20"/>
                <w:szCs w:val="20"/>
                <w:color w:val="auto"/>
              </w:rPr>
            </w:pPr>
            <w:r>
              <w:rPr>
                <w:rFonts w:ascii="Times New Roman" w:cs="Times New Roman" w:eastAsia="Times New Roman" w:hAnsi="Times New Roman"/>
                <w:sz w:val="20"/>
                <w:szCs w:val="20"/>
                <w:color w:val="0000FF"/>
                <w:w w:val="89"/>
              </w:rPr>
              <w:t>I</w:t>
            </w:r>
          </w:p>
        </w:tc>
        <w:tc>
          <w:tcPr>
            <w:tcW w:w="62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Andreessen Horowitz LSV</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184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gridSpan w:val="2"/>
            <w:vMerge w:val="continue"/>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5"/>
          </w:tcPr>
          <w:p>
            <w:pPr>
              <w:jc w:val="right"/>
              <w:ind w:right="332"/>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96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0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96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10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255,244</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10"/>
                <w:szCs w:val="1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7"/>
                <w:szCs w:val="1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201,306</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17"/>
                <w:szCs w:val="17"/>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80" w:type="dxa"/>
            <w:vAlign w:val="bottom"/>
            <w:gridSpan w:val="2"/>
            <w:vMerge w:val="restart"/>
          </w:tcPr>
          <w:p>
            <w:pPr>
              <w:ind w:left="80"/>
              <w:spacing w:after="0" w:line="280" w:lineRule="exact"/>
              <w:rPr>
                <w:sz w:val="20"/>
                <w:szCs w:val="20"/>
                <w:color w:val="auto"/>
              </w:rPr>
            </w:pPr>
            <w:r>
              <w:rPr>
                <w:rFonts w:ascii="Times New Roman" w:cs="Times New Roman" w:eastAsia="Times New Roman" w:hAnsi="Times New Roman"/>
                <w:sz w:val="20"/>
                <w:szCs w:val="20"/>
                <w:color w:val="0000FF"/>
              </w:rPr>
              <w:t>Fund III, L.P.</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3"/>
                <w:szCs w:val="13"/>
                <w:color w:val="008000"/>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2,081,772</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10"/>
                <w:szCs w:val="1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Fund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V, L.P.</w:t>
            </w:r>
            <w:r>
              <w:rPr>
                <w:rFonts w:ascii="Times New Roman" w:cs="Times New Roman" w:eastAsia="Times New Roman" w:hAnsi="Times New Roman"/>
                <w:sz w:val="25"/>
                <w:szCs w:val="25"/>
                <w:color w:val="008000"/>
                <w:vertAlign w:val="superscript"/>
              </w:rPr>
              <w:t>(5)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10,408,860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AH Parallel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5"/>
              </w:rPr>
              <w:t>Fund V, L.P.</w:t>
            </w:r>
            <w:r>
              <w:rPr>
                <w:rFonts w:ascii="Times New Roman" w:cs="Times New Roman" w:eastAsia="Times New Roman" w:hAnsi="Times New Roman"/>
                <w:sz w:val="25"/>
                <w:szCs w:val="25"/>
                <w:color w:val="008000"/>
                <w:w w:val="95"/>
                <w:vertAlign w:val="superscript"/>
              </w:rPr>
              <w:t>(6)(7)</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vMerge w:val="continue"/>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13,878</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CLF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Partners, LP</w:t>
            </w:r>
            <w:r>
              <w:rPr>
                <w:rFonts w:ascii="Times New Roman" w:cs="Times New Roman" w:eastAsia="Times New Roman" w:hAnsi="Times New Roman"/>
                <w:sz w:val="25"/>
                <w:szCs w:val="25"/>
                <w:color w:val="008000"/>
                <w:vertAlign w:val="superscript"/>
              </w:rPr>
              <w:t>(8)</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vMerge w:val="continue"/>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6,757,090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10"/>
                <w:szCs w:val="1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I, L.P.</w:t>
            </w:r>
            <w:r>
              <w:rPr>
                <w:rFonts w:ascii="Times New Roman" w:cs="Times New Roman" w:eastAsia="Times New Roman" w:hAnsi="Times New Roman"/>
                <w:sz w:val="25"/>
                <w:szCs w:val="25"/>
                <w:color w:val="008000"/>
                <w:vertAlign w:val="superscript"/>
              </w:rPr>
              <w:t>(9)</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3,272,830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10"/>
                <w:szCs w:val="1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1840" w:type="dxa"/>
            <w:vAlign w:val="bottom"/>
            <w:tcBorders>
              <w:bottom w:val="single" w:sz="8" w:color="808080"/>
            </w:tcBorders>
          </w:tcPr>
          <w:p>
            <w:pPr>
              <w:spacing w:after="0"/>
              <w:rPr>
                <w:sz w:val="15"/>
                <w:szCs w:val="15"/>
                <w:color w:val="auto"/>
              </w:rPr>
            </w:pPr>
          </w:p>
        </w:tc>
        <w:tc>
          <w:tcPr>
            <w:tcW w:w="96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3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4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7"/>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7"/>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7"/>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gridSpan w:val="4"/>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777,832</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3,123</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CLF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gridSpan w:val="4"/>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Partners, LP</w:t>
            </w:r>
            <w:r>
              <w:rPr>
                <w:rFonts w:ascii="Times New Roman" w:cs="Times New Roman" w:eastAsia="Times New Roman" w:hAnsi="Times New Roman"/>
                <w:sz w:val="25"/>
                <w:szCs w:val="25"/>
                <w:color w:val="008000"/>
                <w:vertAlign w:val="superscript"/>
              </w:rPr>
              <w:t>(8)</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405,855</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III, L.P.</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14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7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4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2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Andreessen Horowitz Fund V, L.P.</w:t>
              </w:r>
            </w:hyperlink>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00" w:type="dxa"/>
            <w:vAlign w:val="bottom"/>
            <w:gridSpan w:val="4"/>
          </w:tcPr>
          <w:p>
            <w:pPr>
              <w:ind w:left="40"/>
              <w:spacing w:after="0"/>
              <w:rPr>
                <w:sz w:val="20"/>
                <w:szCs w:val="20"/>
                <w:color w:val="auto"/>
              </w:rPr>
            </w:pPr>
            <w:r>
              <w:rPr>
                <w:rFonts w:ascii="Arial" w:cs="Arial" w:eastAsia="Arial" w:hAnsi="Arial"/>
                <w:sz w:val="15"/>
                <w:szCs w:val="15"/>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C/O ANDREESSEN HOROWITZ</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94025</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80"/>
              <w:spacing w:after="0"/>
              <w:rPr>
                <w:sz w:val="20"/>
                <w:szCs w:val="20"/>
                <w:color w:val="auto"/>
              </w:rPr>
            </w:pPr>
            <w:r>
              <w:rPr>
                <w:rFonts w:ascii="Arial" w:cs="Arial" w:eastAsia="Arial" w:hAnsi="Arial"/>
                <w:sz w:val="15"/>
                <w:szCs w:val="15"/>
                <w:color w:val="auto"/>
              </w:rPr>
              <w:t>(State)</w:t>
            </w:r>
          </w:p>
        </w:tc>
        <w:tc>
          <w:tcPr>
            <w:tcW w:w="1000" w:type="dxa"/>
            <w:vAlign w:val="bottom"/>
            <w:gridSpan w:val="4"/>
          </w:tcPr>
          <w:p>
            <w:pPr>
              <w:ind w:left="40"/>
              <w:spacing w:after="0"/>
              <w:rPr>
                <w:sz w:val="20"/>
                <w:szCs w:val="20"/>
                <w:color w:val="auto"/>
              </w:rPr>
            </w:pPr>
            <w:r>
              <w:rPr>
                <w:rFonts w:ascii="Arial" w:cs="Arial" w:eastAsia="Arial" w:hAnsi="Arial"/>
                <w:sz w:val="15"/>
                <w:szCs w:val="15"/>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34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20" w:type="dxa"/>
            <w:vAlign w:val="bottom"/>
            <w:gridSpan w:val="6"/>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Andreessen Horowitz Fund V-A, L.P.</w:t>
              </w:r>
            </w:hyperlink>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00" w:type="dxa"/>
            <w:vAlign w:val="bottom"/>
            <w:gridSpan w:val="4"/>
          </w:tcPr>
          <w:p>
            <w:pPr>
              <w:ind w:left="40"/>
              <w:spacing w:after="0"/>
              <w:rPr>
                <w:sz w:val="20"/>
                <w:szCs w:val="20"/>
                <w:color w:val="auto"/>
              </w:rPr>
            </w:pPr>
            <w:r>
              <w:rPr>
                <w:rFonts w:ascii="Arial" w:cs="Arial" w:eastAsia="Arial" w:hAnsi="Arial"/>
                <w:sz w:val="15"/>
                <w:szCs w:val="15"/>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C/O ANDREESSEN HOROWITZ</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94025</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80"/>
              <w:spacing w:after="0"/>
              <w:rPr>
                <w:sz w:val="20"/>
                <w:szCs w:val="20"/>
                <w:color w:val="auto"/>
              </w:rPr>
            </w:pPr>
            <w:r>
              <w:rPr>
                <w:rFonts w:ascii="Arial" w:cs="Arial" w:eastAsia="Arial" w:hAnsi="Arial"/>
                <w:sz w:val="15"/>
                <w:szCs w:val="15"/>
                <w:color w:val="auto"/>
              </w:rPr>
              <w:t>(State)</w:t>
            </w:r>
          </w:p>
        </w:tc>
        <w:tc>
          <w:tcPr>
            <w:tcW w:w="1000" w:type="dxa"/>
            <w:vAlign w:val="bottom"/>
            <w:gridSpan w:val="4"/>
          </w:tcPr>
          <w:p>
            <w:pPr>
              <w:ind w:left="40"/>
              <w:spacing w:after="0"/>
              <w:rPr>
                <w:sz w:val="20"/>
                <w:szCs w:val="20"/>
                <w:color w:val="auto"/>
              </w:rPr>
            </w:pPr>
            <w:r>
              <w:rPr>
                <w:rFonts w:ascii="Arial" w:cs="Arial" w:eastAsia="Arial" w:hAnsi="Arial"/>
                <w:sz w:val="15"/>
                <w:szCs w:val="15"/>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334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20" w:type="dxa"/>
            <w:vAlign w:val="bottom"/>
            <w:gridSpan w:val="6"/>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Andreessen Horowitz Fund V-B, L.P.</w:t>
              </w:r>
            </w:hyperlink>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00" w:type="dxa"/>
            <w:vAlign w:val="bottom"/>
            <w:gridSpan w:val="4"/>
          </w:tcPr>
          <w:p>
            <w:pPr>
              <w:ind w:left="40"/>
              <w:spacing w:after="0"/>
              <w:rPr>
                <w:sz w:val="20"/>
                <w:szCs w:val="20"/>
                <w:color w:val="auto"/>
              </w:rPr>
            </w:pPr>
            <w:r>
              <w:rPr>
                <w:rFonts w:ascii="Arial" w:cs="Arial" w:eastAsia="Arial" w:hAnsi="Arial"/>
                <w:sz w:val="15"/>
                <w:szCs w:val="15"/>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C/O ANDREESSEN HOROWITZ</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94025</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80"/>
              <w:spacing w:after="0"/>
              <w:rPr>
                <w:sz w:val="20"/>
                <w:szCs w:val="20"/>
                <w:color w:val="auto"/>
              </w:rPr>
            </w:pPr>
            <w:r>
              <w:rPr>
                <w:rFonts w:ascii="Arial" w:cs="Arial" w:eastAsia="Arial" w:hAnsi="Arial"/>
                <w:sz w:val="15"/>
                <w:szCs w:val="15"/>
                <w:color w:val="auto"/>
              </w:rPr>
              <w:t>(State)</w:t>
            </w:r>
          </w:p>
        </w:tc>
        <w:tc>
          <w:tcPr>
            <w:tcW w:w="1000" w:type="dxa"/>
            <w:vAlign w:val="bottom"/>
            <w:gridSpan w:val="4"/>
          </w:tcPr>
          <w:p>
            <w:pPr>
              <w:ind w:left="40"/>
              <w:spacing w:after="0"/>
              <w:rPr>
                <w:sz w:val="20"/>
                <w:szCs w:val="20"/>
                <w:color w:val="auto"/>
              </w:rPr>
            </w:pPr>
            <w:r>
              <w:rPr>
                <w:rFonts w:ascii="Arial" w:cs="Arial" w:eastAsia="Arial" w:hAnsi="Arial"/>
                <w:sz w:val="15"/>
                <w:szCs w:val="15"/>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334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20" w:type="dxa"/>
            <w:vAlign w:val="bottom"/>
            <w:gridSpan w:val="6"/>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Andreessen Horowitz Fund V-Q, L.P.</w:t>
              </w:r>
            </w:hyperlink>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00" w:type="dxa"/>
            <w:vAlign w:val="bottom"/>
            <w:gridSpan w:val="4"/>
          </w:tcPr>
          <w:p>
            <w:pPr>
              <w:ind w:left="40"/>
              <w:spacing w:after="0"/>
              <w:rPr>
                <w:sz w:val="20"/>
                <w:szCs w:val="20"/>
                <w:color w:val="auto"/>
              </w:rPr>
            </w:pPr>
            <w:r>
              <w:rPr>
                <w:rFonts w:ascii="Arial" w:cs="Arial" w:eastAsia="Arial" w:hAnsi="Arial"/>
                <w:sz w:val="15"/>
                <w:szCs w:val="15"/>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ANDREESSEN HOROWITZ</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2865 SAND HILL ROAD, SUITE 101</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198" w:right="479" w:bottom="0" w:gutter="0" w:footer="0" w:header="0"/>
        </w:sectPr>
      </w:pPr>
    </w:p>
    <w:p>
      <w:pPr>
        <w:spacing w:after="0" w:line="37" w:lineRule="exact"/>
        <w:rPr>
          <w:sz w:val="20"/>
          <w:szCs w:val="20"/>
          <w:color w:val="auto"/>
        </w:rPr>
      </w:pPr>
    </w:p>
    <w:p>
      <w:pPr>
        <w:ind w:left="140"/>
        <w:spacing w:after="0"/>
        <w:tabs>
          <w:tab w:leader="none" w:pos="2880" w:val="left"/>
        </w:tabs>
        <w:rPr>
          <w:sz w:val="20"/>
          <w:szCs w:val="20"/>
          <w:color w:val="auto"/>
        </w:rPr>
      </w:pPr>
      <w:r>
        <w:rPr>
          <w:rFonts w:ascii="Times New Roman" w:cs="Times New Roman" w:eastAsia="Times New Roman" w:hAnsi="Times New Roman"/>
          <w:sz w:val="20"/>
          <w:szCs w:val="20"/>
          <w:color w:val="0000FF"/>
        </w:rPr>
        <w:t>MENLO PARK  CA</w:t>
      </w:r>
      <w:r>
        <w:rPr>
          <w:sz w:val="20"/>
          <w:szCs w:val="20"/>
          <w:color w:val="auto"/>
        </w:rPr>
        <w:tab/>
      </w:r>
      <w:r>
        <w:rPr>
          <w:rFonts w:ascii="Times New Roman" w:cs="Times New Roman" w:eastAsia="Times New Roman" w:hAnsi="Times New Roman"/>
          <w:sz w:val="18"/>
          <w:szCs w:val="18"/>
          <w:color w:val="0000FF"/>
        </w:rPr>
        <w:t>94025</w:t>
      </w:r>
    </w:p>
    <w:p>
      <w:pPr>
        <w:sectPr>
          <w:pgSz w:w="11900" w:h="16838" w:orient="portrait"/>
          <w:cols w:equalWidth="0" w:num="1">
            <w:col w:w="10940"/>
          </w:cols>
          <w:pgMar w:left="480" w:top="198" w:right="479" w:bottom="0" w:gutter="0" w:footer="0" w:header="0"/>
          <w:type w:val="continuous"/>
        </w:sectPr>
      </w:pPr>
    </w:p>
    <w:bookmarkStart w:id="2" w:name="page3"/>
    <w:bookmarkEnd w:id="2"/>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340" w:type="dxa"/>
            <w:vAlign w:val="bottom"/>
            <w:gridSpan w:val="9"/>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gridSpan w:val="7"/>
          </w:tcPr>
          <w:p>
            <w:pPr>
              <w:spacing w:after="0" w:line="255" w:lineRule="exact"/>
              <w:rPr>
                <w:rFonts w:ascii="Times New Roman" w:cs="Times New Roman" w:eastAsia="Times New Roman" w:hAnsi="Times New Roman"/>
                <w:sz w:val="24"/>
                <w:szCs w:val="24"/>
                <w:color w:val="0000EE"/>
              </w:rPr>
            </w:pPr>
            <w:hyperlink r:id="rId18">
              <w:r>
                <w:rPr>
                  <w:rFonts w:ascii="Times New Roman" w:cs="Times New Roman" w:eastAsia="Times New Roman" w:hAnsi="Times New Roman"/>
                  <w:sz w:val="24"/>
                  <w:szCs w:val="24"/>
                  <w:color w:val="0000EE"/>
                </w:rPr>
                <w:t>AH Equity Partners V, L.L.C.</w:t>
              </w:r>
            </w:hyperlink>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(State)</w:t>
            </w:r>
          </w:p>
        </w:tc>
        <w:tc>
          <w:tcPr>
            <w:tcW w:w="1480" w:type="dxa"/>
            <w:vAlign w:val="bottom"/>
            <w:gridSpan w:val="3"/>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4"/>
          </w:tcPr>
          <w:p>
            <w:pPr>
              <w:spacing w:after="0" w:line="255" w:lineRule="exact"/>
              <w:rPr>
                <w:rFonts w:ascii="Times New Roman" w:cs="Times New Roman" w:eastAsia="Times New Roman" w:hAnsi="Times New Roman"/>
                <w:sz w:val="24"/>
                <w:szCs w:val="24"/>
                <w:color w:val="0000EE"/>
              </w:rPr>
            </w:pPr>
            <w:hyperlink r:id="rId19">
              <w:r>
                <w:rPr>
                  <w:rFonts w:ascii="Times New Roman" w:cs="Times New Roman" w:eastAsia="Times New Roman" w:hAnsi="Times New Roman"/>
                  <w:sz w:val="24"/>
                  <w:szCs w:val="24"/>
                  <w:color w:val="0000EE"/>
                </w:rPr>
                <w:t>AH Parallel Fund V, L.P.</w:t>
              </w:r>
            </w:hyperlink>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(State)</w:t>
            </w:r>
          </w:p>
        </w:tc>
        <w:tc>
          <w:tcPr>
            <w:tcW w:w="1480" w:type="dxa"/>
            <w:vAlign w:val="bottom"/>
            <w:gridSpan w:val="3"/>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38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4"/>
          </w:tcPr>
          <w:p>
            <w:pPr>
              <w:spacing w:after="0" w:line="255" w:lineRule="exact"/>
              <w:rPr>
                <w:rFonts w:ascii="Times New Roman" w:cs="Times New Roman" w:eastAsia="Times New Roman" w:hAnsi="Times New Roman"/>
                <w:sz w:val="24"/>
                <w:szCs w:val="24"/>
                <w:color w:val="0000EE"/>
              </w:rPr>
            </w:pPr>
            <w:hyperlink r:id="rId20">
              <w:r>
                <w:rPr>
                  <w:rFonts w:ascii="Times New Roman" w:cs="Times New Roman" w:eastAsia="Times New Roman" w:hAnsi="Times New Roman"/>
                  <w:sz w:val="24"/>
                  <w:szCs w:val="24"/>
                  <w:color w:val="0000EE"/>
                </w:rPr>
                <w:t>AH Parallel Fund V-A, L.P.</w:t>
              </w:r>
            </w:hyperlink>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(State)</w:t>
            </w:r>
          </w:p>
        </w:tc>
        <w:tc>
          <w:tcPr>
            <w:tcW w:w="1480" w:type="dxa"/>
            <w:vAlign w:val="bottom"/>
            <w:gridSpan w:val="3"/>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38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4"/>
          </w:tcPr>
          <w:p>
            <w:pPr>
              <w:spacing w:after="0" w:line="255" w:lineRule="exact"/>
              <w:rPr>
                <w:rFonts w:ascii="Times New Roman" w:cs="Times New Roman" w:eastAsia="Times New Roman" w:hAnsi="Times New Roman"/>
                <w:sz w:val="24"/>
                <w:szCs w:val="24"/>
                <w:color w:val="0000EE"/>
              </w:rPr>
            </w:pPr>
            <w:hyperlink r:id="rId21">
              <w:r>
                <w:rPr>
                  <w:rFonts w:ascii="Times New Roman" w:cs="Times New Roman" w:eastAsia="Times New Roman" w:hAnsi="Times New Roman"/>
                  <w:sz w:val="24"/>
                  <w:szCs w:val="24"/>
                  <w:color w:val="0000EE"/>
                </w:rPr>
                <w:t>AH Parallel Fund V-B, L.P.</w:t>
              </w:r>
            </w:hyperlink>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(State)</w:t>
            </w:r>
          </w:p>
        </w:tc>
        <w:tc>
          <w:tcPr>
            <w:tcW w:w="1480" w:type="dxa"/>
            <w:vAlign w:val="bottom"/>
            <w:gridSpan w:val="3"/>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38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4"/>
          </w:tcPr>
          <w:p>
            <w:pPr>
              <w:spacing w:after="0" w:line="255" w:lineRule="exact"/>
              <w:rPr>
                <w:rFonts w:ascii="Times New Roman" w:cs="Times New Roman" w:eastAsia="Times New Roman" w:hAnsi="Times New Roman"/>
                <w:sz w:val="24"/>
                <w:szCs w:val="24"/>
                <w:color w:val="0000EE"/>
              </w:rPr>
            </w:pPr>
            <w:hyperlink r:id="rId22">
              <w:r>
                <w:rPr>
                  <w:rFonts w:ascii="Times New Roman" w:cs="Times New Roman" w:eastAsia="Times New Roman" w:hAnsi="Times New Roman"/>
                  <w:sz w:val="24"/>
                  <w:szCs w:val="24"/>
                  <w:color w:val="0000EE"/>
                </w:rPr>
                <w:t>AH Parallel Fund V-Q, L.P.</w:t>
              </w:r>
            </w:hyperlink>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ANDREESSEN HOROWITZ</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2865 SAND HILL ROAD, SUITE 101</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34925" cy="269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34925" cy="269875"/>
                    </a:xfrm>
                    <a:prstGeom prst="rect">
                      <a:avLst/>
                    </a:prstGeom>
                    <a:noFill/>
                    <a:ln>
                      <a:noFill/>
                    </a:ln>
                  </pic:spPr>
                </pic:pic>
              </a:graphicData>
            </a:graphic>
          </wp:inline>
        </w:drawing>
      </w:r>
      <w:r>
        <w:rPr>
          <w:rFonts w:ascii="Arial" w:cs="Arial" w:eastAsia="Arial" w:hAnsi="Arial"/>
          <w:sz w:val="15"/>
          <w:szCs w:val="15"/>
          <w:color w:val="auto"/>
        </w:rPr>
        <w:t xml:space="preserve"> 1. Name and Address of Reporting Person</w:t>
      </w:r>
      <w:r>
        <w:rPr>
          <w:rFonts w:ascii="Arial" w:cs="Arial" w:eastAsia="Arial" w:hAnsi="Arial"/>
          <w:sz w:val="25"/>
          <w:szCs w:val="25"/>
          <w:color w:val="auto"/>
          <w:vertAlign w:val="superscript"/>
        </w:rPr>
        <w:t>*</w:t>
      </w:r>
    </w:p>
    <w:p>
      <w:pPr>
        <w:sectPr>
          <w:pgSz w:w="11900" w:h="16907" w:orient="portrait"/>
          <w:cols w:equalWidth="0" w:num="1">
            <w:col w:w="9979"/>
          </w:cols>
          <w:pgMar w:left="480" w:top="170" w:right="1440" w:bottom="0" w:gutter="0" w:footer="0" w:header="0"/>
        </w:sectPr>
      </w:pPr>
    </w:p>
    <w:bookmarkStart w:id="3" w:name="page4"/>
    <w:bookmarkEnd w:id="3"/>
    <w:p>
      <w:pPr>
        <w:spacing w:after="0" w:line="9"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24">
        <w:r>
          <w:rPr>
            <w:rFonts w:ascii="Times New Roman" w:cs="Times New Roman" w:eastAsia="Times New Roman" w:hAnsi="Times New Roman"/>
            <w:sz w:val="24"/>
            <w:szCs w:val="24"/>
            <w:u w:val="single" w:color="auto"/>
            <w:color w:val="0000EE"/>
          </w:rPr>
          <w:t>AH Equity Partners V (Parallel),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-155575</wp:posOffset>
            </wp:positionV>
            <wp:extent cx="2798445" cy="1823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798445" cy="1823085"/>
                    </a:xfrm>
                    <a:prstGeom prst="rect">
                      <a:avLst/>
                    </a:prstGeom>
                    <a:noFill/>
                  </pic:spPr>
                </pic:pic>
              </a:graphicData>
            </a:graphic>
          </wp:anchor>
        </w:drawing>
      </w: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36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3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03"/>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36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80"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32" w:lineRule="exact"/>
        <w:rPr>
          <w:rFonts w:ascii="Times New Roman" w:cs="Times New Roman" w:eastAsia="Times New Roman" w:hAnsi="Times New Roman"/>
          <w:sz w:val="15"/>
          <w:szCs w:val="15"/>
          <w:color w:val="008000"/>
        </w:rPr>
      </w:pPr>
    </w:p>
    <w:p>
      <w:pPr>
        <w:ind w:right="28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Seed, Series A, Series C, Series D, Series E, Series F and Series G-1 Preferred Stock are each convertible into Class A Common Stock on a ratio dependent on the public offering price of the Class A Common Stock in the Issuer's initial public offering, and have no expiration date. Upon the closing of the Issuer's initial public offering, all shares of Series Seed, Series A, Series C, Series D, Series E, Series F and Series G-1 Preferred Stock will be converted into shares of Class A Common Stock of the Issuer.</w:t>
      </w:r>
    </w:p>
    <w:p>
      <w:pPr>
        <w:spacing w:after="0" w:line="29" w:lineRule="exact"/>
        <w:rPr>
          <w:rFonts w:ascii="Times New Roman" w:cs="Times New Roman" w:eastAsia="Times New Roman" w:hAnsi="Times New Roman"/>
          <w:sz w:val="15"/>
          <w:szCs w:val="15"/>
          <w:color w:val="008000"/>
        </w:rPr>
      </w:pPr>
    </w:p>
    <w:p>
      <w:pPr>
        <w:jc w:val="both"/>
        <w:ind w:right="6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III, L.P. ("AH LSV Fund III"), for itself and as nominee for Andreessen Horowitz LSV Fund III-B, L.P., AH 2022 Annual Fund, L.P., AH 2022 Annual Fund-B, L.P.,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9" w:lineRule="exact"/>
        <w:rPr>
          <w:rFonts w:ascii="Times New Roman" w:cs="Times New Roman" w:eastAsia="Times New Roman" w:hAnsi="Times New Roman"/>
          <w:sz w:val="15"/>
          <w:szCs w:val="15"/>
          <w:color w:val="008000"/>
        </w:rPr>
      </w:pPr>
    </w:p>
    <w:p>
      <w:pPr>
        <w:ind w:right="10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3)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33" w:lineRule="exact"/>
        <w:rPr>
          <w:rFonts w:ascii="Times New Roman" w:cs="Times New Roman" w:eastAsia="Times New Roman" w:hAnsi="Times New Roman"/>
          <w:sz w:val="15"/>
          <w:szCs w:val="15"/>
          <w:color w:val="008000"/>
        </w:rPr>
      </w:pPr>
    </w:p>
    <w:p>
      <w:pPr>
        <w:ind w:right="60"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32" w:lineRule="exact"/>
        <w:rPr>
          <w:rFonts w:ascii="Times New Roman" w:cs="Times New Roman" w:eastAsia="Times New Roman" w:hAnsi="Times New Roman"/>
          <w:sz w:val="15"/>
          <w:szCs w:val="15"/>
          <w:color w:val="008000"/>
        </w:rPr>
      </w:pPr>
    </w:p>
    <w:p>
      <w:pPr>
        <w:ind w:right="8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managing members of AH EP V Parallel and may be deemed to have shared voting and dispositive power over the shares held by the AH Parallel Fund V Entities.</w:t>
      </w:r>
    </w:p>
    <w:p>
      <w:pPr>
        <w:spacing w:after="0" w:line="33" w:lineRule="exact"/>
        <w:rPr>
          <w:rFonts w:ascii="Times New Roman" w:cs="Times New Roman" w:eastAsia="Times New Roman" w:hAnsi="Times New Roman"/>
          <w:sz w:val="15"/>
          <w:szCs w:val="15"/>
          <w:color w:val="008000"/>
        </w:rPr>
      </w:pPr>
    </w:p>
    <w:p>
      <w:pPr>
        <w:ind w:right="10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6)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29" w:lineRule="exact"/>
        <w:rPr>
          <w:rFonts w:ascii="Times New Roman" w:cs="Times New Roman" w:eastAsia="Times New Roman" w:hAnsi="Times New Roman"/>
          <w:sz w:val="15"/>
          <w:szCs w:val="15"/>
          <w:color w:val="008000"/>
        </w:rPr>
      </w:pPr>
    </w:p>
    <w:p>
      <w:pPr>
        <w:jc w:val="both"/>
        <w:ind w:right="22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33" w:lineRule="exact"/>
        <w:rPr>
          <w:rFonts w:ascii="Times New Roman" w:cs="Times New Roman" w:eastAsia="Times New Roman" w:hAnsi="Times New Roman"/>
          <w:sz w:val="15"/>
          <w:szCs w:val="15"/>
          <w:color w:val="008000"/>
        </w:rPr>
      </w:pPr>
    </w:p>
    <w:p>
      <w:pPr>
        <w:ind w:right="100"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008000"/>
        </w:rPr>
        <w:t>This Form 3 is the third of three Forms 3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3 has been split into three filings because there are more than 10 reporting persons in total, and the SEC's EDGAR filing system limits a single Form 3 to a maximum of 10 reporting persons.</w:t>
      </w:r>
    </w:p>
    <w:p>
      <w:pPr>
        <w:sectPr>
          <w:pgSz w:w="11900" w:h="16847" w:orient="portrait"/>
          <w:cols w:equalWidth="0" w:num="1">
            <w:col w:w="10860"/>
          </w:cols>
          <w:pgMar w:left="520" w:top="110" w:right="519" w:bottom="0" w:gutter="0" w:footer="0" w:header="0"/>
        </w:sectPr>
      </w:pPr>
    </w:p>
    <w:p>
      <w:pPr>
        <w:spacing w:after="0" w:line="6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Andreessen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7696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769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V,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299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299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Equity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159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915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524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852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172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617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Andreessen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7696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769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V-A,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586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Equity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159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915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524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852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172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617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Andreessen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7696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769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V-B,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887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88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Equity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159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915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524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852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172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617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73" w:lineRule="exact"/>
        <w:rPr>
          <w:sz w:val="20"/>
          <w:szCs w:val="20"/>
          <w:color w:val="auto"/>
        </w:rPr>
      </w:pPr>
    </w:p>
    <w:p>
      <w:pPr>
        <w:sectPr>
          <w:pgSz w:w="11900" w:h="16847" w:orient="portrait"/>
          <w:cols w:equalWidth="0" w:num="2">
            <w:col w:w="8560" w:space="160"/>
            <w:col w:w="2140"/>
          </w:cols>
          <w:pgMar w:left="520" w:top="110" w:right="519" w:bottom="0" w:gutter="0" w:footer="0" w:header="0"/>
          <w:type w:val="continuous"/>
        </w:sectPr>
      </w:pPr>
    </w:p>
    <w:tbl>
      <w:tblPr>
        <w:tblLayout w:type="fixed"/>
        <w:tblInd w:w="6540" w:type="dxa"/>
        <w:tblCellMar>
          <w:top w:w="0" w:type="dxa"/>
          <w:left w:w="0" w:type="dxa"/>
          <w:bottom w:w="0" w:type="dxa"/>
          <w:right w:w="0" w:type="dxa"/>
        </w:tblCellMar>
      </w:tblPr>
      <w:tr>
        <w:trPr>
          <w:trHeight w:val="230"/>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Andreessen Horowitz</w:t>
            </w: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10/29/2025</w:t>
            </w:r>
          </w:p>
        </w:tc>
      </w:tr>
    </w:tbl>
    <w:p>
      <w:pPr>
        <w:sectPr>
          <w:pgSz w:w="11900" w:h="16847" w:orient="portrait"/>
          <w:cols w:equalWidth="0" w:num="1">
            <w:col w:w="10860"/>
          </w:cols>
          <w:pgMar w:left="520" w:top="110" w:right="51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20"/>
          <w:szCs w:val="20"/>
          <w:color w:val="0000FF"/>
        </w:rPr>
        <w:t>Fund V-Q,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6586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Equity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159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915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524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852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172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617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1252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11252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186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911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121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8312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Parallel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6365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636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317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(Parallel),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568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356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172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617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Parallel Fund 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4427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4427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028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V (Parallel),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902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49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Parallel Fund V-B,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792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3792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028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V (Parallel),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902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049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Parallel Fund V-Q,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4427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4427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028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V (Parallel),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902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49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Equity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9728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9728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(Parallel),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396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1720"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617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660" w:space="6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7" Type="http://schemas.openxmlformats.org/officeDocument/2006/relationships/image" Target="media/image5.png"/><Relationship Id="rId23"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10" Type="http://schemas.openxmlformats.org/officeDocument/2006/relationships/hyperlink" Target="http://www.sec.gov/cgi-bin/browse-edgar?action=getcompany&amp;CIK=0001675239" TargetMode="External"/><Relationship Id="rId11" Type="http://schemas.openxmlformats.org/officeDocument/2006/relationships/hyperlink" Target="http://www.sec.gov/cgi-bin/browse-edgar?action=getcompany&amp;CIK=0001639723" TargetMode="External"/><Relationship Id="rId14" Type="http://schemas.openxmlformats.org/officeDocument/2006/relationships/hyperlink" Target="http://www.sec.gov/cgi-bin/browse-edgar?action=getcompany&amp;CIK=0001675241" TargetMode="External"/><Relationship Id="rId15" Type="http://schemas.openxmlformats.org/officeDocument/2006/relationships/hyperlink" Target="http://www.sec.gov/cgi-bin/browse-edgar?action=getcompany&amp;CIK=0001675242" TargetMode="External"/><Relationship Id="rId16" Type="http://schemas.openxmlformats.org/officeDocument/2006/relationships/hyperlink" Target="http://www.sec.gov/cgi-bin/browse-edgar?action=getcompany&amp;CIK=0001675231" TargetMode="External"/><Relationship Id="rId18" Type="http://schemas.openxmlformats.org/officeDocument/2006/relationships/hyperlink" Target="http://www.sec.gov/cgi-bin/browse-edgar?action=getcompany&amp;CIK=0001675226" TargetMode="External"/><Relationship Id="rId19" Type="http://schemas.openxmlformats.org/officeDocument/2006/relationships/hyperlink" Target="http://www.sec.gov/cgi-bin/browse-edgar?action=getcompany&amp;CIK=0001675240" TargetMode="External"/><Relationship Id="rId20" Type="http://schemas.openxmlformats.org/officeDocument/2006/relationships/hyperlink" Target="http://www.sec.gov/cgi-bin/browse-edgar?action=getcompany&amp;CIK=0001675233" TargetMode="External"/><Relationship Id="rId21" Type="http://schemas.openxmlformats.org/officeDocument/2006/relationships/hyperlink" Target="http://www.sec.gov/cgi-bin/browse-edgar?action=getcompany&amp;CIK=0001675234" TargetMode="External"/><Relationship Id="rId22" Type="http://schemas.openxmlformats.org/officeDocument/2006/relationships/hyperlink" Target="http://www.sec.gov/cgi-bin/browse-edgar?action=getcompany&amp;CIK=0001675235" TargetMode="External"/><Relationship Id="rId24" Type="http://schemas.openxmlformats.org/officeDocument/2006/relationships/hyperlink" Target="http://www.sec.gov/cgi-bin/browse-edgar?action=getcompany&amp;CIK=0001675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2025-10-29T21:01:44Z</dcterms:created>
  <dcterms:modified xsi:type="dcterms:W3CDTF">2025-10-29T21:01:44Z</dcterms:modified>
</cp:coreProperties>
</file>