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80" w:type="dxa"/>
            <w:vAlign w:val="bottom"/>
            <w:gridSpan w:val="4"/>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320" w:type="dxa"/>
            <w:vAlign w:val="bottom"/>
            <w:gridSpan w:val="7"/>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6"/>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Andreessen Horowitz LSV Fund III, L.P.</w:t>
              </w:r>
            </w:hyperlink>
          </w:p>
        </w:tc>
        <w:tc>
          <w:tcPr>
            <w:tcW w:w="2020" w:type="dxa"/>
            <w:vAlign w:val="bottom"/>
            <w:gridSpan w:val="3"/>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Navan,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NAVN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4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0" w:type="dxa"/>
            <w:vAlign w:val="bottom"/>
            <w:gridSpan w:val="6"/>
            <w:vMerge w:val="continue"/>
          </w:tcPr>
          <w:p>
            <w:pPr>
              <w:spacing w:after="0"/>
              <w:rPr>
                <w:sz w:val="6"/>
                <w:szCs w:val="6"/>
                <w:color w:val="auto"/>
              </w:rPr>
            </w:pPr>
          </w:p>
        </w:tc>
        <w:tc>
          <w:tcPr>
            <w:tcW w:w="980" w:type="dxa"/>
            <w:vAlign w:val="bottom"/>
            <w:tcBorders>
              <w:bottom w:val="single" w:sz="8" w:color="0000EE"/>
            </w:tcBorders>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440" w:type="dxa"/>
            <w:vAlign w:val="bottom"/>
            <w:gridSpan w:val="3"/>
            <w:vMerge w:val="continue"/>
          </w:tcPr>
          <w:p>
            <w:pPr>
              <w:spacing w:after="0"/>
              <w:rPr>
                <w:sz w:val="6"/>
                <w:szCs w:val="6"/>
                <w:color w:val="auto"/>
              </w:rPr>
            </w:pPr>
          </w:p>
        </w:tc>
        <w:tc>
          <w:tcPr>
            <w:tcW w:w="7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0" w:type="dxa"/>
            <w:vAlign w:val="bottom"/>
            <w:gridSpan w:val="6"/>
            <w:vMerge w:val="continue"/>
          </w:tcPr>
          <w:p>
            <w:pPr>
              <w:spacing w:after="0"/>
              <w:rPr>
                <w:sz w:val="5"/>
                <w:szCs w:val="5"/>
                <w:color w:val="auto"/>
              </w:rPr>
            </w:pPr>
          </w:p>
        </w:tc>
        <w:tc>
          <w:tcPr>
            <w:tcW w:w="9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60" w:type="dxa"/>
            <w:vAlign w:val="bottom"/>
            <w:vMerge w:val="restart"/>
          </w:tcPr>
          <w:p>
            <w:pPr>
              <w:ind w:left="220"/>
              <w:spacing w:after="0"/>
              <w:rPr>
                <w:sz w:val="20"/>
                <w:szCs w:val="20"/>
                <w:color w:val="auto"/>
              </w:rPr>
            </w:pPr>
            <w:r>
              <w:rPr>
                <w:rFonts w:ascii="Arial" w:cs="Arial" w:eastAsia="Arial" w:hAnsi="Arial"/>
                <w:sz w:val="13"/>
                <w:szCs w:val="13"/>
                <w:color w:val="auto"/>
              </w:rPr>
              <w:t>Director</w:t>
            </w:r>
          </w:p>
        </w:tc>
        <w:tc>
          <w:tcPr>
            <w:tcW w:w="700" w:type="dxa"/>
            <w:vAlign w:val="bottom"/>
          </w:tcPr>
          <w:p>
            <w:pPr>
              <w:spacing w:after="0"/>
              <w:rPr>
                <w:sz w:val="5"/>
                <w:szCs w:val="5"/>
                <w:color w:val="auto"/>
              </w:rPr>
            </w:pPr>
          </w:p>
        </w:tc>
        <w:tc>
          <w:tcPr>
            <w:tcW w:w="1180" w:type="dxa"/>
            <w:vAlign w:val="bottom"/>
            <w:gridSpan w:val="3"/>
            <w:vMerge w:val="restart"/>
          </w:tcPr>
          <w:p>
            <w:pPr>
              <w:ind w:left="20"/>
              <w:spacing w:after="0"/>
              <w:rPr>
                <w:sz w:val="20"/>
                <w:szCs w:val="20"/>
                <w:color w:val="auto"/>
              </w:rPr>
            </w:pPr>
            <w:r>
              <w:rPr>
                <w:rFonts w:ascii="Arial" w:cs="Arial" w:eastAsia="Arial" w:hAnsi="Arial"/>
                <w:sz w:val="13"/>
                <w:szCs w:val="13"/>
                <w:color w:val="auto"/>
              </w:rPr>
              <w:t>10% Owner</w:t>
            </w: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164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118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6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760" w:type="dxa"/>
            <w:vAlign w:val="bottom"/>
            <w:gridSpan w:val="2"/>
            <w:vMerge w:val="restart"/>
          </w:tcPr>
          <w:p>
            <w:pPr>
              <w:ind w:left="220"/>
              <w:spacing w:after="0"/>
              <w:rPr>
                <w:sz w:val="20"/>
                <w:szCs w:val="20"/>
                <w:color w:val="auto"/>
              </w:rPr>
            </w:pPr>
            <w:r>
              <w:rPr>
                <w:rFonts w:ascii="Arial" w:cs="Arial" w:eastAsia="Arial" w:hAnsi="Arial"/>
                <w:sz w:val="13"/>
                <w:szCs w:val="13"/>
                <w:color w:val="auto"/>
              </w:rPr>
              <w:t>Officer (give title</w:t>
            </w:r>
          </w:p>
        </w:tc>
        <w:tc>
          <w:tcPr>
            <w:tcW w:w="1180" w:type="dxa"/>
            <w:vAlign w:val="bottom"/>
            <w:gridSpan w:val="3"/>
            <w:vMerge w:val="restart"/>
          </w:tcPr>
          <w:p>
            <w:pPr>
              <w:ind w:left="20"/>
              <w:spacing w:after="0"/>
              <w:rPr>
                <w:sz w:val="20"/>
                <w:szCs w:val="20"/>
                <w:color w:val="auto"/>
              </w:rPr>
            </w:pPr>
            <w:r>
              <w:rPr>
                <w:rFonts w:ascii="Arial" w:cs="Arial" w:eastAsia="Arial" w:hAnsi="Arial"/>
                <w:sz w:val="13"/>
                <w:szCs w:val="13"/>
                <w:color w:val="auto"/>
              </w:rPr>
              <w:t>Other (specify</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060" w:type="dxa"/>
            <w:vAlign w:val="bottom"/>
            <w:tcBorders>
              <w:top w:val="single" w:sz="8" w:color="EEEEEE"/>
            </w:tcBorders>
          </w:tcPr>
          <w:p>
            <w:pPr>
              <w:spacing w:after="0" w:line="20" w:lineRule="exact"/>
              <w:rPr>
                <w:sz w:val="1"/>
                <w:szCs w:val="1"/>
                <w:color w:val="auto"/>
              </w:rPr>
            </w:pPr>
          </w:p>
        </w:tc>
        <w:tc>
          <w:tcPr>
            <w:tcW w:w="16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60" w:type="dxa"/>
            <w:vAlign w:val="bottom"/>
            <w:gridSpan w:val="2"/>
            <w:vMerge w:val="continue"/>
          </w:tcPr>
          <w:p>
            <w:pPr>
              <w:spacing w:after="0" w:line="20" w:lineRule="exact"/>
              <w:rPr>
                <w:sz w:val="1"/>
                <w:szCs w:val="1"/>
                <w:color w:val="auto"/>
              </w:rPr>
            </w:pPr>
          </w:p>
        </w:tc>
        <w:tc>
          <w:tcPr>
            <w:tcW w:w="1180" w:type="dxa"/>
            <w:vAlign w:val="bottom"/>
            <w:gridSpan w:val="3"/>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760" w:type="dxa"/>
            <w:vAlign w:val="bottom"/>
            <w:gridSpan w:val="2"/>
            <w:vMerge w:val="continue"/>
          </w:tcPr>
          <w:p>
            <w:pPr>
              <w:spacing w:after="0"/>
              <w:rPr>
                <w:sz w:val="2"/>
                <w:szCs w:val="2"/>
                <w:color w:val="auto"/>
              </w:rPr>
            </w:pPr>
          </w:p>
        </w:tc>
        <w:tc>
          <w:tcPr>
            <w:tcW w:w="118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(Last)</w:t>
            </w:r>
          </w:p>
        </w:tc>
        <w:tc>
          <w:tcPr>
            <w:tcW w:w="1060" w:type="dxa"/>
            <w:vAlign w:val="bottom"/>
          </w:tcPr>
          <w:p>
            <w:pPr>
              <w:ind w:left="400"/>
              <w:spacing w:after="0"/>
              <w:rPr>
                <w:sz w:val="20"/>
                <w:szCs w:val="20"/>
                <w:color w:val="auto"/>
              </w:rPr>
            </w:pPr>
            <w:r>
              <w:rPr>
                <w:rFonts w:ascii="Arial" w:cs="Arial" w:eastAsia="Arial" w:hAnsi="Arial"/>
                <w:sz w:val="13"/>
                <w:szCs w:val="13"/>
                <w:color w:val="auto"/>
              </w:rPr>
              <w:t>(First)</w:t>
            </w:r>
          </w:p>
        </w:tc>
        <w:tc>
          <w:tcPr>
            <w:tcW w:w="1920" w:type="dxa"/>
            <w:vAlign w:val="bottom"/>
            <w:gridSpan w:val="4"/>
          </w:tcPr>
          <w:p>
            <w:pPr>
              <w:ind w:left="560"/>
              <w:spacing w:after="0"/>
              <w:rPr>
                <w:sz w:val="20"/>
                <w:szCs w:val="20"/>
                <w:color w:val="auto"/>
              </w:rPr>
            </w:pPr>
            <w:r>
              <w:rPr>
                <w:rFonts w:ascii="Arial" w:cs="Arial" w:eastAsia="Arial" w:hAnsi="Arial"/>
                <w:sz w:val="13"/>
                <w:szCs w:val="13"/>
                <w:color w:val="auto"/>
              </w:rPr>
              <w:t>(Middle)</w:t>
            </w:r>
          </w:p>
        </w:tc>
        <w:tc>
          <w:tcPr>
            <w:tcW w:w="2880" w:type="dxa"/>
            <w:vAlign w:val="bottom"/>
            <w:gridSpan w:val="4"/>
          </w:tcPr>
          <w:p>
            <w:pPr>
              <w:spacing w:after="0"/>
              <w:rPr>
                <w:sz w:val="20"/>
                <w:szCs w:val="20"/>
                <w:color w:val="auto"/>
              </w:rPr>
            </w:pPr>
            <w:r>
              <w:rPr>
                <w:rFonts w:ascii="Arial" w:cs="Arial" w:eastAsia="Arial" w:hAnsi="Arial"/>
                <w:sz w:val="13"/>
                <w:szCs w:val="13"/>
                <w:color w:val="auto"/>
              </w:rPr>
              <w:t>3. Date of Earliest Transaction (Month/Day/Year)</w:t>
            </w: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below)</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ANDREESSEN HOROWITZ</w:t>
            </w: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12/17/2025</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0" w:type="dxa"/>
            <w:vAlign w:val="bottom"/>
            <w:gridSpan w:val="6"/>
            <w:vMerge w:val="continue"/>
          </w:tcPr>
          <w:p>
            <w:pPr>
              <w:spacing w:after="0"/>
              <w:rPr>
                <w:sz w:val="8"/>
                <w:szCs w:val="8"/>
                <w:color w:val="auto"/>
              </w:rPr>
            </w:pPr>
          </w:p>
        </w:tc>
        <w:tc>
          <w:tcPr>
            <w:tcW w:w="9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2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2865 SAND HILL ROAD, SUITE 101</w:t>
            </w:r>
          </w:p>
        </w:tc>
        <w:tc>
          <w:tcPr>
            <w:tcW w:w="8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720" w:type="dxa"/>
            <w:vAlign w:val="bottom"/>
            <w:gridSpan w:val="5"/>
            <w:vMerge w:val="continue"/>
          </w:tcPr>
          <w:p>
            <w:pPr>
              <w:spacing w:after="0"/>
              <w:rPr>
                <w:sz w:val="6"/>
                <w:szCs w:val="6"/>
                <w:color w:val="auto"/>
              </w:rPr>
            </w:pPr>
          </w:p>
        </w:tc>
        <w:tc>
          <w:tcPr>
            <w:tcW w:w="80" w:type="dxa"/>
            <w:vAlign w:val="bottom"/>
          </w:tcPr>
          <w:p>
            <w:pPr>
              <w:spacing w:after="0"/>
              <w:rPr>
                <w:sz w:val="6"/>
                <w:szCs w:val="6"/>
                <w:color w:val="auto"/>
              </w:rPr>
            </w:pPr>
          </w:p>
        </w:tc>
        <w:tc>
          <w:tcPr>
            <w:tcW w:w="3740" w:type="dxa"/>
            <w:vAlign w:val="bottom"/>
            <w:gridSpan w:val="6"/>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20" w:type="dxa"/>
            <w:vAlign w:val="bottom"/>
            <w:gridSpan w:val="7"/>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6"/>
            <w:vMerge w:val="continue"/>
          </w:tcPr>
          <w:p>
            <w:pPr>
              <w:spacing w:after="0"/>
              <w:rPr>
                <w:sz w:val="9"/>
                <w:szCs w:val="9"/>
                <w:color w:val="auto"/>
              </w:rPr>
            </w:pPr>
          </w:p>
        </w:tc>
        <w:tc>
          <w:tcPr>
            <w:tcW w:w="3320" w:type="dxa"/>
            <w:vAlign w:val="bottom"/>
            <w:gridSpan w:val="7"/>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164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80" w:type="dxa"/>
            <w:vAlign w:val="bottom"/>
            <w:gridSpan w:val="2"/>
            <w:vMerge w:val="restart"/>
          </w:tcPr>
          <w:p>
            <w:pPr>
              <w:ind w:left="80"/>
              <w:spacing w:after="0"/>
              <w:rPr>
                <w:sz w:val="20"/>
                <w:szCs w:val="20"/>
                <w:color w:val="auto"/>
              </w:rPr>
            </w:pPr>
            <w:r>
              <w:rPr>
                <w:rFonts w:ascii="Arial" w:cs="Arial" w:eastAsia="Arial" w:hAnsi="Arial"/>
                <w:sz w:val="13"/>
                <w:szCs w:val="13"/>
                <w:color w:val="auto"/>
                <w:w w:val="96"/>
              </w:rPr>
              <w:t>Line)</w:t>
            </w:r>
          </w:p>
        </w:tc>
        <w:tc>
          <w:tcPr>
            <w:tcW w:w="10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gridSpan w:val="2"/>
            <w:vMerge w:val="continue"/>
          </w:tcPr>
          <w:p>
            <w:pPr>
              <w:spacing w:after="0"/>
              <w:rPr>
                <w:sz w:val="9"/>
                <w:szCs w:val="9"/>
                <w:color w:val="auto"/>
              </w:rPr>
            </w:pPr>
          </w:p>
        </w:tc>
        <w:tc>
          <w:tcPr>
            <w:tcW w:w="2940" w:type="dxa"/>
            <w:vAlign w:val="bottom"/>
            <w:gridSpan w:val="5"/>
            <w:vMerge w:val="restart"/>
          </w:tcPr>
          <w:p>
            <w:pPr>
              <w:ind w:left="220"/>
              <w:spacing w:after="0"/>
              <w:rPr>
                <w:sz w:val="20"/>
                <w:szCs w:val="20"/>
                <w:color w:val="auto"/>
              </w:rPr>
            </w:pPr>
            <w:r>
              <w:rPr>
                <w:rFonts w:ascii="Arial" w:cs="Arial" w:eastAsia="Arial" w:hAnsi="Arial"/>
                <w:sz w:val="13"/>
                <w:szCs w:val="13"/>
                <w:color w:val="auto"/>
              </w:rPr>
              <w:t>Form filed by One Reporting Person</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94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0000FF"/>
              </w:rPr>
              <w:t>MENLO PARK CA</w:t>
            </w:r>
          </w:p>
        </w:tc>
        <w:tc>
          <w:tcPr>
            <w:tcW w:w="1640" w:type="dxa"/>
            <w:vAlign w:val="bottom"/>
          </w:tcPr>
          <w:p>
            <w:pPr>
              <w:ind w:left="560"/>
              <w:spacing w:after="0" w:line="189" w:lineRule="exact"/>
              <w:rPr>
                <w:sz w:val="20"/>
                <w:szCs w:val="20"/>
                <w:color w:val="auto"/>
              </w:rPr>
            </w:pPr>
            <w:r>
              <w:rPr>
                <w:rFonts w:ascii="Times New Roman" w:cs="Times New Roman" w:eastAsia="Times New Roman" w:hAnsi="Times New Roman"/>
                <w:sz w:val="17"/>
                <w:szCs w:val="17"/>
                <w:color w:val="0000FF"/>
              </w:rPr>
              <w:t>94025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940" w:type="dxa"/>
            <w:vAlign w:val="bottom"/>
            <w:gridSpan w:val="5"/>
          </w:tcPr>
          <w:p>
            <w:pPr>
              <w:ind w:left="220"/>
              <w:spacing w:after="0"/>
              <w:rPr>
                <w:sz w:val="20"/>
                <w:szCs w:val="20"/>
                <w:color w:val="auto"/>
              </w:rPr>
            </w:pPr>
            <w:r>
              <w:rPr>
                <w:rFonts w:ascii="Arial" w:cs="Arial" w:eastAsia="Arial" w:hAnsi="Arial"/>
                <w:sz w:val="13"/>
                <w:szCs w:val="13"/>
                <w:color w:val="auto"/>
              </w:rPr>
              <w:t>Form filed by More than One Reporting</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106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tcPr>
          <w:p>
            <w:pPr>
              <w:ind w:left="220"/>
              <w:spacing w:after="0"/>
              <w:rPr>
                <w:sz w:val="20"/>
                <w:szCs w:val="20"/>
                <w:color w:val="auto"/>
              </w:rPr>
            </w:pPr>
            <w:r>
              <w:rPr>
                <w:rFonts w:ascii="Arial" w:cs="Arial" w:eastAsia="Arial" w:hAnsi="Arial"/>
                <w:sz w:val="13"/>
                <w:szCs w:val="13"/>
                <w:color w:val="auto"/>
              </w:rPr>
              <w:t>Person</w:t>
            </w: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400"/>
              <w:spacing w:after="0"/>
              <w:rPr>
                <w:sz w:val="20"/>
                <w:szCs w:val="20"/>
                <w:color w:val="auto"/>
              </w:rPr>
            </w:pPr>
            <w:r>
              <w:rPr>
                <w:rFonts w:ascii="Arial" w:cs="Arial" w:eastAsia="Arial" w:hAnsi="Arial"/>
                <w:sz w:val="13"/>
                <w:szCs w:val="13"/>
                <w:color w:val="auto"/>
              </w:rPr>
              <w:t>(State)</w:t>
            </w:r>
          </w:p>
        </w:tc>
        <w:tc>
          <w:tcPr>
            <w:tcW w:w="1920" w:type="dxa"/>
            <w:vAlign w:val="bottom"/>
            <w:gridSpan w:val="4"/>
          </w:tcPr>
          <w:p>
            <w:pPr>
              <w:ind w:left="560"/>
              <w:spacing w:after="0"/>
              <w:rPr>
                <w:sz w:val="20"/>
                <w:szCs w:val="20"/>
                <w:color w:val="auto"/>
              </w:rPr>
            </w:pPr>
            <w:r>
              <w:rPr>
                <w:rFonts w:ascii="Arial" w:cs="Arial" w:eastAsia="Arial" w:hAnsi="Arial"/>
                <w:sz w:val="13"/>
                <w:szCs w:val="13"/>
                <w:color w:val="auto"/>
              </w:rPr>
              <w:t>(Zip)</w:t>
            </w: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gridSpan w:val="2"/>
          </w:tcPr>
          <w:p>
            <w:pPr>
              <w:spacing w:after="0"/>
              <w:rPr>
                <w:sz w:val="10"/>
                <w:szCs w:val="10"/>
                <w:color w:val="auto"/>
              </w:rPr>
            </w:pPr>
          </w:p>
        </w:tc>
        <w:tc>
          <w:tcPr>
            <w:tcW w:w="3080" w:type="dxa"/>
            <w:vAlign w:val="bottom"/>
            <w:tcBorders>
              <w:bottom w:val="single" w:sz="8" w:color="2C2C2C"/>
            </w:tcBorders>
            <w:gridSpan w:val="6"/>
          </w:tcPr>
          <w:p>
            <w:pPr>
              <w:spacing w:after="0"/>
              <w:rPr>
                <w:sz w:val="10"/>
                <w:szCs w:val="10"/>
                <w:color w:val="auto"/>
              </w:rPr>
            </w:pPr>
          </w:p>
        </w:tc>
        <w:tc>
          <w:tcPr>
            <w:tcW w:w="1120" w:type="dxa"/>
            <w:vAlign w:val="bottom"/>
            <w:tcBorders>
              <w:bottom w:val="single" w:sz="8" w:color="2C2C2C"/>
            </w:tcBorders>
            <w:gridSpan w:val="2"/>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060" w:type="dxa"/>
            <w:vAlign w:val="bottom"/>
            <w:tcBorders>
              <w:top w:val="single" w:sz="8" w:color="2C2C2C"/>
            </w:tcBorders>
          </w:tcPr>
          <w:p>
            <w:pPr>
              <w:spacing w:after="0"/>
              <w:rPr>
                <w:sz w:val="22"/>
                <w:szCs w:val="22"/>
                <w:color w:val="auto"/>
              </w:rPr>
            </w:pPr>
          </w:p>
        </w:tc>
        <w:tc>
          <w:tcPr>
            <w:tcW w:w="7100" w:type="dxa"/>
            <w:vAlign w:val="bottom"/>
            <w:tcBorders>
              <w:top w:val="single" w:sz="8" w:color="2C2C2C"/>
            </w:tcBorders>
            <w:gridSpan w:val="13"/>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7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9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4"/>
          </w:tcPr>
          <w:p>
            <w:pPr>
              <w:ind w:left="96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2"/>
          </w:tcPr>
          <w:p>
            <w:pPr>
              <w:ind w:left="1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tcPr>
          <w:p>
            <w:pPr>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rPr>
              <w:t>6. Ownership</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920" w:type="dxa"/>
            <w:vAlign w:val="bottom"/>
            <w:gridSpan w:val="4"/>
          </w:tcPr>
          <w:p>
            <w:pPr>
              <w:ind w:left="96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140" w:type="dxa"/>
            <w:vAlign w:val="bottom"/>
            <w:gridSpan w:val="6"/>
          </w:tcPr>
          <w:p>
            <w:pPr>
              <w:ind w:left="960"/>
              <w:spacing w:after="0" w:line="133" w:lineRule="exact"/>
              <w:rPr>
                <w:sz w:val="20"/>
                <w:szCs w:val="20"/>
                <w:color w:val="auto"/>
              </w:rPr>
            </w:pPr>
            <w:r>
              <w:rPr>
                <w:rFonts w:ascii="Arial" w:cs="Arial" w:eastAsia="Arial" w:hAnsi="Arial"/>
                <w:sz w:val="12"/>
                <w:szCs w:val="12"/>
                <w:b w:val="1"/>
                <w:bCs w:val="1"/>
                <w:color w:val="auto"/>
              </w:rPr>
              <w:t>(Month/Day/Year)  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w:t>
            </w:r>
          </w:p>
        </w:tc>
        <w:tc>
          <w:tcPr>
            <w:tcW w:w="200" w:type="dxa"/>
            <w:vAlign w:val="bottom"/>
          </w:tcPr>
          <w:p>
            <w:pPr>
              <w:spacing w:after="0"/>
              <w:rPr>
                <w:sz w:val="11"/>
                <w:szCs w:val="11"/>
                <w:color w:val="auto"/>
              </w:rPr>
            </w:pPr>
          </w:p>
        </w:tc>
        <w:tc>
          <w:tcPr>
            <w:tcW w:w="9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 (I)</w:t>
            </w:r>
          </w:p>
        </w:tc>
        <w:tc>
          <w:tcPr>
            <w:tcW w:w="200" w:type="dxa"/>
            <w:vAlign w:val="bottom"/>
          </w:tcPr>
          <w:p>
            <w:pPr>
              <w:spacing w:after="0"/>
              <w:rPr>
                <w:sz w:val="11"/>
                <w:szCs w:val="11"/>
                <w:color w:val="auto"/>
              </w:rPr>
            </w:pPr>
          </w:p>
        </w:tc>
        <w:tc>
          <w:tcPr>
            <w:tcW w:w="9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70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00" w:type="dxa"/>
            <w:vAlign w:val="bottom"/>
          </w:tcPr>
          <w:p>
            <w:pPr>
              <w:spacing w:after="0"/>
              <w:rPr>
                <w:sz w:val="6"/>
                <w:szCs w:val="6"/>
                <w:color w:val="auto"/>
              </w:rPr>
            </w:pPr>
          </w:p>
        </w:tc>
        <w:tc>
          <w:tcPr>
            <w:tcW w:w="9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4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46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60" w:type="dxa"/>
            <w:vAlign w:val="bottom"/>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9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Andreessen</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20" w:type="dxa"/>
            <w:vAlign w:val="bottom"/>
            <w:gridSpan w:val="4"/>
          </w:tcPr>
          <w:p>
            <w:pPr>
              <w:jc w:val="right"/>
              <w:ind w:right="60"/>
              <w:spacing w:after="0"/>
              <w:rPr>
                <w:sz w:val="20"/>
                <w:szCs w:val="20"/>
                <w:color w:val="auto"/>
              </w:rPr>
            </w:pPr>
            <w:r>
              <w:rPr>
                <w:rFonts w:ascii="Times New Roman" w:cs="Times New Roman" w:eastAsia="Times New Roman" w:hAnsi="Times New Roman"/>
                <w:sz w:val="17"/>
                <w:szCs w:val="17"/>
                <w:color w:val="0000FF"/>
              </w:rPr>
              <w:t>12/17/2025</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860" w:type="dxa"/>
            <w:vAlign w:val="bottom"/>
          </w:tcPr>
          <w:p>
            <w:pPr>
              <w:jc w:val="right"/>
              <w:ind w:right="107"/>
              <w:spacing w:after="0"/>
              <w:rPr>
                <w:sz w:val="20"/>
                <w:szCs w:val="20"/>
                <w:color w:val="auto"/>
              </w:rPr>
            </w:pPr>
            <w:r>
              <w:rPr>
                <w:rFonts w:ascii="Times New Roman" w:cs="Times New Roman" w:eastAsia="Times New Roman" w:hAnsi="Times New Roman"/>
                <w:sz w:val="17"/>
                <w:szCs w:val="17"/>
                <w:color w:val="0000FF"/>
              </w:rPr>
              <w:t>347,600</w:t>
            </w:r>
          </w:p>
        </w:tc>
        <w:tc>
          <w:tcPr>
            <w:tcW w:w="4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80" w:type="dxa"/>
            <w:vAlign w:val="bottom"/>
            <w:gridSpan w:val="2"/>
          </w:tcPr>
          <w:p>
            <w:pPr>
              <w:jc w:val="center"/>
              <w:spacing w:after="0" w:line="213" w:lineRule="exact"/>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12.65</w:t>
            </w:r>
            <w:r>
              <w:rPr>
                <w:rFonts w:ascii="Times New Roman" w:cs="Times New Roman" w:eastAsia="Times New Roman" w:hAnsi="Times New Roman"/>
                <w:sz w:val="22"/>
                <w:szCs w:val="22"/>
                <w:color w:val="008000"/>
                <w:w w:val="95"/>
                <w:vertAlign w:val="superscript"/>
              </w:rPr>
              <w:t>(1)</w:t>
            </w:r>
          </w:p>
        </w:tc>
        <w:tc>
          <w:tcPr>
            <w:tcW w:w="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5,922,151</w:t>
            </w:r>
          </w:p>
        </w:tc>
        <w:tc>
          <w:tcPr>
            <w:tcW w:w="7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Horowitz</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LSV Fund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II, L.P.</w:t>
            </w:r>
            <w:r>
              <w:rPr>
                <w:rFonts w:ascii="Times New Roman" w:cs="Times New Roman" w:eastAsia="Times New Roman" w:hAnsi="Times New Roman"/>
                <w:sz w:val="22"/>
                <w:szCs w:val="22"/>
                <w:color w:val="008000"/>
                <w:vertAlign w:val="superscript"/>
              </w:rPr>
              <w:t>(2)</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Andreessen</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20" w:type="dxa"/>
            <w:vAlign w:val="bottom"/>
            <w:gridSpan w:val="4"/>
          </w:tcPr>
          <w:p>
            <w:pPr>
              <w:jc w:val="right"/>
              <w:ind w:right="60"/>
              <w:spacing w:after="0"/>
              <w:rPr>
                <w:sz w:val="20"/>
                <w:szCs w:val="20"/>
                <w:color w:val="auto"/>
              </w:rPr>
            </w:pPr>
            <w:r>
              <w:rPr>
                <w:rFonts w:ascii="Times New Roman" w:cs="Times New Roman" w:eastAsia="Times New Roman" w:hAnsi="Times New Roman"/>
                <w:sz w:val="17"/>
                <w:szCs w:val="17"/>
                <w:color w:val="0000FF"/>
              </w:rPr>
              <w:t>12/18/2025</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860" w:type="dxa"/>
            <w:vAlign w:val="bottom"/>
          </w:tcPr>
          <w:p>
            <w:pPr>
              <w:jc w:val="right"/>
              <w:ind w:right="107"/>
              <w:spacing w:after="0"/>
              <w:rPr>
                <w:sz w:val="20"/>
                <w:szCs w:val="20"/>
                <w:color w:val="auto"/>
              </w:rPr>
            </w:pPr>
            <w:r>
              <w:rPr>
                <w:rFonts w:ascii="Times New Roman" w:cs="Times New Roman" w:eastAsia="Times New Roman" w:hAnsi="Times New Roman"/>
                <w:sz w:val="17"/>
                <w:szCs w:val="17"/>
                <w:color w:val="0000FF"/>
              </w:rPr>
              <w:t>103,960</w:t>
            </w:r>
          </w:p>
        </w:tc>
        <w:tc>
          <w:tcPr>
            <w:tcW w:w="4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80" w:type="dxa"/>
            <w:vAlign w:val="bottom"/>
            <w:gridSpan w:val="2"/>
          </w:tcPr>
          <w:p>
            <w:pPr>
              <w:jc w:val="center"/>
              <w:spacing w:after="0" w:line="213" w:lineRule="exact"/>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13.61</w:t>
            </w:r>
            <w:r>
              <w:rPr>
                <w:rFonts w:ascii="Times New Roman" w:cs="Times New Roman" w:eastAsia="Times New Roman" w:hAnsi="Times New Roman"/>
                <w:sz w:val="22"/>
                <w:szCs w:val="22"/>
                <w:color w:val="008000"/>
                <w:w w:val="95"/>
                <w:vertAlign w:val="superscript"/>
              </w:rPr>
              <w:t>(3)</w:t>
            </w:r>
          </w:p>
        </w:tc>
        <w:tc>
          <w:tcPr>
            <w:tcW w:w="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6,026,111</w:t>
            </w:r>
          </w:p>
        </w:tc>
        <w:tc>
          <w:tcPr>
            <w:tcW w:w="7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Horowitz</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LSV Fund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II, L.P.</w:t>
            </w:r>
            <w:r>
              <w:rPr>
                <w:rFonts w:ascii="Times New Roman" w:cs="Times New Roman" w:eastAsia="Times New Roman" w:hAnsi="Times New Roman"/>
                <w:sz w:val="22"/>
                <w:szCs w:val="22"/>
                <w:color w:val="008000"/>
                <w:vertAlign w:val="superscript"/>
              </w:rPr>
              <w:t>(2)</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Andreessen</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20" w:type="dxa"/>
            <w:vAlign w:val="bottom"/>
            <w:gridSpan w:val="4"/>
          </w:tcPr>
          <w:p>
            <w:pPr>
              <w:jc w:val="right"/>
              <w:ind w:right="60"/>
              <w:spacing w:after="0"/>
              <w:rPr>
                <w:sz w:val="20"/>
                <w:szCs w:val="20"/>
                <w:color w:val="auto"/>
              </w:rPr>
            </w:pPr>
            <w:r>
              <w:rPr>
                <w:rFonts w:ascii="Times New Roman" w:cs="Times New Roman" w:eastAsia="Times New Roman" w:hAnsi="Times New Roman"/>
                <w:sz w:val="17"/>
                <w:szCs w:val="17"/>
                <w:color w:val="0000FF"/>
              </w:rPr>
              <w:t>12/19/2025</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860" w:type="dxa"/>
            <w:vAlign w:val="bottom"/>
          </w:tcPr>
          <w:p>
            <w:pPr>
              <w:jc w:val="right"/>
              <w:ind w:right="107"/>
              <w:spacing w:after="0"/>
              <w:rPr>
                <w:sz w:val="20"/>
                <w:szCs w:val="20"/>
                <w:color w:val="auto"/>
              </w:rPr>
            </w:pPr>
            <w:r>
              <w:rPr>
                <w:rFonts w:ascii="Times New Roman" w:cs="Times New Roman" w:eastAsia="Times New Roman" w:hAnsi="Times New Roman"/>
                <w:sz w:val="17"/>
                <w:szCs w:val="17"/>
                <w:color w:val="0000FF"/>
              </w:rPr>
              <w:t>240,835</w:t>
            </w:r>
          </w:p>
        </w:tc>
        <w:tc>
          <w:tcPr>
            <w:tcW w:w="4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80" w:type="dxa"/>
            <w:vAlign w:val="bottom"/>
            <w:gridSpan w:val="2"/>
          </w:tcPr>
          <w:p>
            <w:pPr>
              <w:jc w:val="center"/>
              <w:spacing w:after="0" w:line="213" w:lineRule="exact"/>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14.7</w:t>
            </w:r>
            <w:r>
              <w:rPr>
                <w:rFonts w:ascii="Times New Roman" w:cs="Times New Roman" w:eastAsia="Times New Roman" w:hAnsi="Times New Roman"/>
                <w:sz w:val="22"/>
                <w:szCs w:val="22"/>
                <w:color w:val="008000"/>
                <w:w w:val="92"/>
                <w:vertAlign w:val="superscript"/>
              </w:rPr>
              <w:t>(4)</w:t>
            </w:r>
          </w:p>
        </w:tc>
        <w:tc>
          <w:tcPr>
            <w:tcW w:w="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6,266,946</w:t>
            </w:r>
          </w:p>
        </w:tc>
        <w:tc>
          <w:tcPr>
            <w:tcW w:w="7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Horowitz</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LSV Fund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II, L.P.</w:t>
            </w:r>
            <w:r>
              <w:rPr>
                <w:rFonts w:ascii="Times New Roman" w:cs="Times New Roman" w:eastAsia="Times New Roman" w:hAnsi="Times New Roman"/>
                <w:sz w:val="22"/>
                <w:szCs w:val="22"/>
                <w:color w:val="008000"/>
                <w:vertAlign w:val="superscript"/>
              </w:rPr>
              <w:t>(2)</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Andreessen</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6,757,090</w:t>
            </w:r>
          </w:p>
        </w:tc>
        <w:tc>
          <w:tcPr>
            <w:tcW w:w="7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Horowitz</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LSV Fund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I, L.P.</w:t>
            </w:r>
            <w:r>
              <w:rPr>
                <w:rFonts w:ascii="Times New Roman" w:cs="Times New Roman" w:eastAsia="Times New Roman" w:hAnsi="Times New Roman"/>
                <w:sz w:val="22"/>
                <w:szCs w:val="22"/>
                <w:color w:val="008000"/>
                <w:vertAlign w:val="superscript"/>
              </w:rPr>
              <w:t>(5)</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Andreessen</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607,161</w:t>
            </w:r>
          </w:p>
        </w:tc>
        <w:tc>
          <w:tcPr>
            <w:tcW w:w="7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Horowitz</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LSV Fund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III, L.P.</w:t>
            </w:r>
            <w:r>
              <w:rPr>
                <w:rFonts w:ascii="Times New Roman" w:cs="Times New Roman" w:eastAsia="Times New Roman" w:hAnsi="Times New Roman"/>
                <w:sz w:val="22"/>
                <w:szCs w:val="22"/>
                <w:color w:val="008000"/>
                <w:w w:val="97"/>
                <w:vertAlign w:val="superscript"/>
              </w:rPr>
              <w:t>(6)(7)</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Andreessen</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2,081,772</w:t>
            </w:r>
          </w:p>
        </w:tc>
        <w:tc>
          <w:tcPr>
            <w:tcW w:w="7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Horowitz</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Fund V,</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L.P.</w:t>
            </w:r>
            <w:r>
              <w:rPr>
                <w:rFonts w:ascii="Times New Roman" w:cs="Times New Roman" w:eastAsia="Times New Roman" w:hAnsi="Times New Roman"/>
                <w:sz w:val="22"/>
                <w:szCs w:val="22"/>
                <w:color w:val="008000"/>
                <w:vertAlign w:val="superscript"/>
              </w:rPr>
              <w:t>(8)</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 CLF</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17,001</w:t>
            </w:r>
          </w:p>
        </w:tc>
        <w:tc>
          <w:tcPr>
            <w:tcW w:w="7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Partners,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(9)</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 AH</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10,408,860</w:t>
            </w:r>
          </w:p>
        </w:tc>
        <w:tc>
          <w:tcPr>
            <w:tcW w:w="70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Parallel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980" w:type="dxa"/>
            <w:vAlign w:val="bottom"/>
            <w:gridSpan w:val="3"/>
            <w:vMerge w:val="continue"/>
          </w:tcPr>
          <w:p>
            <w:pPr>
              <w:spacing w:after="0"/>
              <w:rPr>
                <w:sz w:val="10"/>
                <w:szCs w:val="10"/>
                <w:color w:val="auto"/>
              </w:rPr>
            </w:pPr>
          </w:p>
        </w:tc>
        <w:tc>
          <w:tcPr>
            <w:tcW w:w="1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Fund V,</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gridSpan w:val="2"/>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(10)(11)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808080"/>
          </w:tcPr>
          <w:p>
            <w:pPr>
              <w:spacing w:after="0" w:line="20" w:lineRule="exact"/>
              <w:rPr>
                <w:sz w:val="1"/>
                <w:szCs w:val="1"/>
                <w:color w:val="auto"/>
              </w:rPr>
            </w:pPr>
          </w:p>
        </w:tc>
        <w:tc>
          <w:tcPr>
            <w:tcW w:w="100" w:type="dxa"/>
            <w:vAlign w:val="bottom"/>
            <w:shd w:val="clear" w:color="auto" w:fill="808080"/>
          </w:tcPr>
          <w:p>
            <w:pPr>
              <w:spacing w:after="0" w:line="20" w:lineRule="exact"/>
              <w:rPr>
                <w:sz w:val="1"/>
                <w:szCs w:val="1"/>
                <w:color w:val="auto"/>
              </w:rPr>
            </w:pPr>
          </w:p>
        </w:tc>
        <w:tc>
          <w:tcPr>
            <w:tcW w:w="820" w:type="dxa"/>
            <w:vAlign w:val="bottom"/>
            <w:shd w:val="clear" w:color="auto" w:fill="808080"/>
          </w:tcPr>
          <w:p>
            <w:pPr>
              <w:spacing w:after="0" w:line="20" w:lineRule="exact"/>
              <w:rPr>
                <w:sz w:val="1"/>
                <w:szCs w:val="1"/>
                <w:color w:val="auto"/>
              </w:rPr>
            </w:pPr>
          </w:p>
        </w:tc>
        <w:tc>
          <w:tcPr>
            <w:tcW w:w="1060" w:type="dxa"/>
            <w:vAlign w:val="bottom"/>
            <w:shd w:val="clear" w:color="auto" w:fill="808080"/>
          </w:tcPr>
          <w:p>
            <w:pPr>
              <w:spacing w:after="0" w:line="20" w:lineRule="exact"/>
              <w:rPr>
                <w:sz w:val="1"/>
                <w:szCs w:val="1"/>
                <w:color w:val="auto"/>
              </w:rPr>
            </w:pPr>
          </w:p>
        </w:tc>
        <w:tc>
          <w:tcPr>
            <w:tcW w:w="1640" w:type="dxa"/>
            <w:vAlign w:val="bottom"/>
            <w:shd w:val="clear" w:color="auto" w:fill="808080"/>
          </w:tcPr>
          <w:p>
            <w:pPr>
              <w:spacing w:after="0" w:line="20" w:lineRule="exact"/>
              <w:rPr>
                <w:sz w:val="1"/>
                <w:szCs w:val="1"/>
                <w:color w:val="auto"/>
              </w:rPr>
            </w:pPr>
          </w:p>
        </w:tc>
        <w:tc>
          <w:tcPr>
            <w:tcW w:w="120" w:type="dxa"/>
            <w:vAlign w:val="bottom"/>
            <w:shd w:val="clear" w:color="auto" w:fill="808080"/>
          </w:tcPr>
          <w:p>
            <w:pPr>
              <w:spacing w:after="0" w:line="20" w:lineRule="exact"/>
              <w:rPr>
                <w:sz w:val="1"/>
                <w:szCs w:val="1"/>
                <w:color w:val="auto"/>
              </w:rPr>
            </w:pPr>
          </w:p>
        </w:tc>
        <w:tc>
          <w:tcPr>
            <w:tcW w:w="80" w:type="dxa"/>
            <w:vAlign w:val="bottom"/>
            <w:shd w:val="clear" w:color="auto" w:fill="808080"/>
          </w:tcPr>
          <w:p>
            <w:pPr>
              <w:spacing w:after="0" w:line="20" w:lineRule="exact"/>
              <w:rPr>
                <w:sz w:val="1"/>
                <w:szCs w:val="1"/>
                <w:color w:val="auto"/>
              </w:rPr>
            </w:pPr>
          </w:p>
        </w:tc>
        <w:tc>
          <w:tcPr>
            <w:tcW w:w="80" w:type="dxa"/>
            <w:vAlign w:val="bottom"/>
            <w:shd w:val="clear" w:color="auto" w:fill="808080"/>
          </w:tcPr>
          <w:p>
            <w:pPr>
              <w:spacing w:after="0" w:line="20" w:lineRule="exact"/>
              <w:rPr>
                <w:sz w:val="1"/>
                <w:szCs w:val="1"/>
                <w:color w:val="auto"/>
              </w:rPr>
            </w:pPr>
          </w:p>
        </w:tc>
        <w:tc>
          <w:tcPr>
            <w:tcW w:w="980" w:type="dxa"/>
            <w:vAlign w:val="bottom"/>
            <w:shd w:val="clear" w:color="auto" w:fill="808080"/>
          </w:tcPr>
          <w:p>
            <w:pPr>
              <w:spacing w:after="0" w:line="20" w:lineRule="exact"/>
              <w:rPr>
                <w:sz w:val="1"/>
                <w:szCs w:val="1"/>
                <w:color w:val="auto"/>
              </w:rPr>
            </w:pPr>
          </w:p>
        </w:tc>
        <w:tc>
          <w:tcPr>
            <w:tcW w:w="240" w:type="dxa"/>
            <w:vAlign w:val="bottom"/>
            <w:shd w:val="clear" w:color="auto" w:fill="808080"/>
          </w:tcPr>
          <w:p>
            <w:pPr>
              <w:spacing w:after="0" w:line="20" w:lineRule="exact"/>
              <w:rPr>
                <w:sz w:val="1"/>
                <w:szCs w:val="1"/>
                <w:color w:val="auto"/>
              </w:rPr>
            </w:pPr>
          </w:p>
        </w:tc>
        <w:tc>
          <w:tcPr>
            <w:tcW w:w="800" w:type="dxa"/>
            <w:vAlign w:val="bottom"/>
            <w:shd w:val="clear" w:color="auto" w:fill="808080"/>
          </w:tcPr>
          <w:p>
            <w:pPr>
              <w:spacing w:after="0" w:line="20" w:lineRule="exact"/>
              <w:rPr>
                <w:sz w:val="1"/>
                <w:szCs w:val="1"/>
                <w:color w:val="auto"/>
              </w:rPr>
            </w:pPr>
          </w:p>
        </w:tc>
        <w:tc>
          <w:tcPr>
            <w:tcW w:w="860" w:type="dxa"/>
            <w:vAlign w:val="bottom"/>
            <w:shd w:val="clear" w:color="auto" w:fill="808080"/>
          </w:tcPr>
          <w:p>
            <w:pPr>
              <w:spacing w:after="0" w:line="20" w:lineRule="exact"/>
              <w:rPr>
                <w:sz w:val="1"/>
                <w:szCs w:val="1"/>
                <w:color w:val="auto"/>
              </w:rPr>
            </w:pPr>
          </w:p>
        </w:tc>
        <w:tc>
          <w:tcPr>
            <w:tcW w:w="400" w:type="dxa"/>
            <w:vAlign w:val="bottom"/>
            <w:shd w:val="clear" w:color="auto" w:fill="808080"/>
          </w:tcPr>
          <w:p>
            <w:pPr>
              <w:spacing w:after="0" w:line="20" w:lineRule="exact"/>
              <w:rPr>
                <w:sz w:val="1"/>
                <w:szCs w:val="1"/>
                <w:color w:val="auto"/>
              </w:rPr>
            </w:pPr>
          </w:p>
        </w:tc>
        <w:tc>
          <w:tcPr>
            <w:tcW w:w="460" w:type="dxa"/>
            <w:vAlign w:val="bottom"/>
            <w:shd w:val="clear" w:color="auto" w:fill="808080"/>
          </w:tcPr>
          <w:p>
            <w:pPr>
              <w:spacing w:after="0" w:line="20" w:lineRule="exact"/>
              <w:rPr>
                <w:sz w:val="1"/>
                <w:szCs w:val="1"/>
                <w:color w:val="auto"/>
              </w:rPr>
            </w:pPr>
          </w:p>
        </w:tc>
        <w:tc>
          <w:tcPr>
            <w:tcW w:w="320" w:type="dxa"/>
            <w:vAlign w:val="bottom"/>
            <w:shd w:val="clear" w:color="auto" w:fill="808080"/>
          </w:tcPr>
          <w:p>
            <w:pPr>
              <w:spacing w:after="0" w:line="20" w:lineRule="exact"/>
              <w:rPr>
                <w:sz w:val="1"/>
                <w:szCs w:val="1"/>
                <w:color w:val="auto"/>
              </w:rPr>
            </w:pPr>
          </w:p>
        </w:tc>
        <w:tc>
          <w:tcPr>
            <w:tcW w:w="60" w:type="dxa"/>
            <w:vAlign w:val="bottom"/>
            <w:shd w:val="clear" w:color="auto" w:fill="808080"/>
          </w:tcPr>
          <w:p>
            <w:pPr>
              <w:spacing w:after="0" w:line="20" w:lineRule="exact"/>
              <w:rPr>
                <w:sz w:val="1"/>
                <w:szCs w:val="1"/>
                <w:color w:val="auto"/>
              </w:rPr>
            </w:pPr>
          </w:p>
        </w:tc>
        <w:tc>
          <w:tcPr>
            <w:tcW w:w="1060" w:type="dxa"/>
            <w:vAlign w:val="bottom"/>
            <w:shd w:val="clear" w:color="auto" w:fill="808080"/>
          </w:tcPr>
          <w:p>
            <w:pPr>
              <w:spacing w:after="0" w:line="20" w:lineRule="exact"/>
              <w:rPr>
                <w:sz w:val="1"/>
                <w:szCs w:val="1"/>
                <w:color w:val="auto"/>
              </w:rPr>
            </w:pPr>
          </w:p>
        </w:tc>
        <w:tc>
          <w:tcPr>
            <w:tcW w:w="700" w:type="dxa"/>
            <w:vAlign w:val="bottom"/>
            <w:shd w:val="clear" w:color="auto" w:fill="808080"/>
          </w:tcPr>
          <w:p>
            <w:pPr>
              <w:spacing w:after="0" w:line="20" w:lineRule="exact"/>
              <w:rPr>
                <w:sz w:val="1"/>
                <w:szCs w:val="1"/>
                <w:color w:val="auto"/>
              </w:rPr>
            </w:pPr>
          </w:p>
        </w:tc>
        <w:tc>
          <w:tcPr>
            <w:tcW w:w="200" w:type="dxa"/>
            <w:vAlign w:val="bottom"/>
            <w:shd w:val="clear" w:color="auto" w:fill="808080"/>
          </w:tcPr>
          <w:p>
            <w:pPr>
              <w:spacing w:after="0" w:line="20" w:lineRule="exact"/>
              <w:rPr>
                <w:sz w:val="1"/>
                <w:szCs w:val="1"/>
                <w:color w:val="auto"/>
              </w:rPr>
            </w:pPr>
          </w:p>
        </w:tc>
        <w:tc>
          <w:tcPr>
            <w:tcW w:w="960" w:type="dxa"/>
            <w:vAlign w:val="bottom"/>
            <w:shd w:val="clear" w:color="auto" w:fill="808080"/>
          </w:tcPr>
          <w:p>
            <w:pPr>
              <w:spacing w:after="0" w:line="20" w:lineRule="exact"/>
              <w:rPr>
                <w:sz w:val="1"/>
                <w:szCs w:val="1"/>
                <w:color w:val="auto"/>
              </w:rPr>
            </w:pPr>
          </w:p>
        </w:tc>
        <w:tc>
          <w:tcPr>
            <w:tcW w:w="20" w:type="dxa"/>
            <w:vAlign w:val="bottom"/>
            <w:shd w:val="clear" w:color="auto" w:fill="808080"/>
          </w:tcPr>
          <w:p>
            <w:pPr>
              <w:spacing w:after="0" w:line="20" w:lineRule="exact"/>
              <w:rPr>
                <w:sz w:val="1"/>
                <w:szCs w:val="1"/>
                <w:color w:val="auto"/>
              </w:rPr>
            </w:pPr>
          </w:p>
        </w:tc>
        <w:tc>
          <w:tcPr>
            <w:tcW w:w="100" w:type="dxa"/>
            <w:vAlign w:val="bottom"/>
            <w:shd w:val="clear" w:color="auto" w:fill="80808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7014845</wp:posOffset>
            </wp:positionH>
            <wp:positionV relativeFrom="paragraph">
              <wp:posOffset>-20320</wp:posOffset>
            </wp:positionV>
            <wp:extent cx="20955" cy="2241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0955" cy="224155"/>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105263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44055" cy="10526395"/>
                    </a:xfrm>
                    <a:prstGeom prst="rect">
                      <a:avLst/>
                    </a:prstGeom>
                    <a:noFill/>
                  </pic:spPr>
                </pic:pic>
              </a:graphicData>
            </a:graphic>
          </wp:anchor>
        </w:drawing>
        <w:t>Table II - Derivative Securities Acquired, Disposed of, or Beneficially Owned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5"/>
          </w:tcPr>
          <w:p>
            <w:pPr>
              <w:ind w:left="4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00" w:type="dxa"/>
            <w:vAlign w:val="bottom"/>
            <w:tcBorders>
              <w:bottom w:val="single" w:sz="8" w:color="2C2C2C"/>
            </w:tcBorders>
            <w:gridSpan w:val="3"/>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8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44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4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9"/>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Andreessen Horowitz LSV Fund III, L.P.</w:t>
              </w:r>
            </w:hyperlink>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2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5"/>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ANDREESSEN HOROWITZ</w:t>
            </w: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2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2865 SAND HILL ROAD, SUITE 101</w:t>
            </w: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96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0000FF"/>
              </w:rPr>
              <w:t>94025</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gridSpan w:val="2"/>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5"/>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00" w:type="dxa"/>
            <w:vAlign w:val="bottom"/>
            <w:tcBorders>
              <w:bottom w:val="single" w:sz="8" w:color="2C2C2C"/>
            </w:tcBorders>
            <w:gridSpan w:val="3"/>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tcBorders>
              <w:bottom w:val="single" w:sz="8" w:color="0000EE"/>
            </w:tcBorders>
            <w:gridSpan w:val="9"/>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Andreessen Horowitz LSV Fund III-B, L.P.</w:t>
              </w:r>
            </w:hyperlink>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5"/>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ANDREESSEN HOROWITZ</w:t>
            </w: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2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2865 SAND HILL ROAD, SUITE 101</w:t>
            </w: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96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0000FF"/>
              </w:rPr>
              <w:t>94025</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gridSpan w:val="2"/>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5"/>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00" w:type="dxa"/>
            <w:vAlign w:val="bottom"/>
            <w:tcBorders>
              <w:bottom w:val="single" w:sz="8" w:color="2C2C2C"/>
            </w:tcBorders>
            <w:gridSpan w:val="3"/>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9"/>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AH Equity Partners LSV III, L.L.C.</w:t>
              </w:r>
            </w:hyperlink>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2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5"/>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ANDREESSEN HOROWITZ</w:t>
            </w: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2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2865 SAND HILL ROAD, SUITE 101</w:t>
            </w: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96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0000FF"/>
              </w:rPr>
              <w:t>94025</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gridSpan w:val="2"/>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5"/>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00" w:type="dxa"/>
            <w:vAlign w:val="bottom"/>
            <w:tcBorders>
              <w:bottom w:val="single" w:sz="8" w:color="2C2C2C"/>
            </w:tcBorders>
            <w:gridSpan w:val="3"/>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AH 2022 Annual Fund, L.P.</w:t>
              </w:r>
            </w:hyperlink>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2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5"/>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ANDREESSEN HOROWITZ</w:t>
            </w: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2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2865 SAND HILL ROAD, SUITE 101</w:t>
            </w: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96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0000FF"/>
              </w:rPr>
              <w:t>94025</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gridSpan w:val="2"/>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5"/>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00" w:type="dxa"/>
            <w:vAlign w:val="bottom"/>
            <w:tcBorders>
              <w:bottom w:val="single" w:sz="8" w:color="2C2C2C"/>
            </w:tcBorders>
            <w:gridSpan w:val="3"/>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9"/>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AH 2022 ANNUAL FUND-B, L.P.</w:t>
              </w:r>
            </w:hyperlink>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2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5"/>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ANDREESSEN HOROWITZ</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2865 SAND HILL ROAD, SUITE 101</w:t>
      </w:r>
    </w:p>
    <w:p>
      <w:pPr>
        <w:spacing w:after="0" w:line="299"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191" w:right="359" w:bottom="0" w:gutter="0" w:footer="0" w:header="0"/>
        </w:sectPr>
      </w:pPr>
    </w:p>
    <w:p>
      <w:pPr>
        <w:spacing w:after="0" w:line="35" w:lineRule="exact"/>
        <w:rPr>
          <w:sz w:val="20"/>
          <w:szCs w:val="20"/>
          <w:color w:val="auto"/>
        </w:rPr>
      </w:pPr>
    </w:p>
    <w:p>
      <w:pPr>
        <w:ind w:left="120"/>
        <w:spacing w:after="0"/>
        <w:tabs>
          <w:tab w:leader="none" w:pos="1500" w:val="left"/>
          <w:tab w:leader="none" w:pos="2900" w:val="left"/>
        </w:tabs>
        <w:rPr>
          <w:sz w:val="20"/>
          <w:szCs w:val="20"/>
          <w:color w:val="auto"/>
        </w:rPr>
      </w:pPr>
      <w:r>
        <w:rPr>
          <w:rFonts w:ascii="Times New Roman" w:cs="Times New Roman" w:eastAsia="Times New Roman" w:hAnsi="Times New Roman"/>
          <w:sz w:val="17"/>
          <w:szCs w:val="17"/>
          <w:color w:val="0000FF"/>
        </w:rPr>
        <w:t>MENLO PARK</w:t>
      </w:r>
      <w:r>
        <w:rPr>
          <w:sz w:val="20"/>
          <w:szCs w:val="20"/>
          <w:color w:val="auto"/>
        </w:rPr>
        <w:tab/>
      </w:r>
      <w:r>
        <w:rPr>
          <w:rFonts w:ascii="Times New Roman" w:cs="Times New Roman" w:eastAsia="Times New Roman" w:hAnsi="Times New Roman"/>
          <w:sz w:val="17"/>
          <w:szCs w:val="17"/>
          <w:color w:val="0000FF"/>
        </w:rPr>
        <w:t>CA</w:t>
      </w:r>
      <w:r>
        <w:rPr>
          <w:sz w:val="20"/>
          <w:szCs w:val="20"/>
          <w:color w:val="auto"/>
        </w:rPr>
        <w:tab/>
      </w:r>
      <w:r>
        <w:rPr>
          <w:rFonts w:ascii="Times New Roman" w:cs="Times New Roman" w:eastAsia="Times New Roman" w:hAnsi="Times New Roman"/>
          <w:sz w:val="17"/>
          <w:szCs w:val="17"/>
          <w:color w:val="0000FF"/>
        </w:rPr>
        <w:t>94025</w:t>
      </w:r>
    </w:p>
    <w:p>
      <w:pPr>
        <w:sectPr>
          <w:pgSz w:w="11900" w:h="16838" w:orient="portrait"/>
          <w:cols w:equalWidth="0" w:num="1">
            <w:col w:w="11080"/>
          </w:cols>
          <w:pgMar w:left="460" w:top="191" w:right="359" w:bottom="0" w:gutter="0" w:footer="0" w:header="0"/>
          <w:type w:val="continuous"/>
        </w:sectPr>
      </w:pPr>
    </w:p>
    <w:bookmarkStart w:id="2" w:name="page3"/>
    <w:bookmarkEnd w:id="2"/>
    <w:p>
      <w:pPr>
        <w:spacing w:after="0" w:line="8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55632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2809240" cy="5563235"/>
                    </a:xfrm>
                    <a:prstGeom prst="rect">
                      <a:avLst/>
                    </a:prstGeom>
                    <a:noFill/>
                  </pic:spPr>
                </pic:pic>
              </a:graphicData>
            </a:graphic>
          </wp:anchor>
        </w:drawing>
      </w: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2">
        <w:r>
          <w:rPr>
            <w:rFonts w:ascii="Times New Roman" w:cs="Times New Roman" w:eastAsia="Times New Roman" w:hAnsi="Times New Roman"/>
            <w:sz w:val="21"/>
            <w:szCs w:val="21"/>
            <w:u w:val="single" w:color="auto"/>
            <w:color w:val="0000EE"/>
          </w:rPr>
          <w:t>AH 2022 ANNUAL FUND-QC, L.P.</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tcPr>
          <w:p>
            <w:pPr>
              <w:ind w:left="140"/>
              <w:spacing w:after="0"/>
              <w:rPr>
                <w:sz w:val="20"/>
                <w:szCs w:val="20"/>
                <w:color w:val="auto"/>
              </w:rPr>
            </w:pPr>
            <w:r>
              <w:rPr>
                <w:rFonts w:ascii="Arial" w:cs="Arial" w:eastAsia="Arial" w:hAnsi="Arial"/>
                <w:sz w:val="13"/>
                <w:szCs w:val="13"/>
                <w:color w:val="auto"/>
              </w:rPr>
              <w:t>(First)</w:t>
            </w:r>
          </w:p>
        </w:tc>
        <w:tc>
          <w:tcPr>
            <w:tcW w:w="1400" w:type="dxa"/>
            <w:vAlign w:val="bottom"/>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 ANDREESSEN HOROWITZ</w:t>
            </w:r>
          </w:p>
        </w:tc>
        <w:tc>
          <w:tcPr>
            <w:tcW w:w="140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2865 SAND HILL ROAD, SUITE 101</w:t>
            </w:r>
          </w:p>
        </w:tc>
        <w:tc>
          <w:tcPr>
            <w:tcW w:w="140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r>
      <w:tr>
        <w:trPr>
          <w:trHeight w:val="269"/>
        </w:trPr>
        <w:tc>
          <w:tcPr>
            <w:tcW w:w="13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0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94025</w:t>
            </w:r>
          </w:p>
        </w:tc>
      </w:tr>
      <w:tr>
        <w:trPr>
          <w:trHeight w:val="155"/>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tcPr>
          <w:p>
            <w:pPr>
              <w:ind w:left="140"/>
              <w:spacing w:after="0"/>
              <w:rPr>
                <w:sz w:val="20"/>
                <w:szCs w:val="20"/>
                <w:color w:val="auto"/>
              </w:rPr>
            </w:pPr>
            <w:r>
              <w:rPr>
                <w:rFonts w:ascii="Arial" w:cs="Arial" w:eastAsia="Arial" w:hAnsi="Arial"/>
                <w:sz w:val="13"/>
                <w:szCs w:val="13"/>
                <w:color w:val="auto"/>
              </w:rPr>
              <w:t>(State)</w:t>
            </w:r>
          </w:p>
        </w:tc>
        <w:tc>
          <w:tcPr>
            <w:tcW w:w="1400" w:type="dxa"/>
            <w:vAlign w:val="bottom"/>
          </w:tcPr>
          <w:p>
            <w:pPr>
              <w:ind w:left="4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3">
        <w:r>
          <w:rPr>
            <w:rFonts w:ascii="Times New Roman" w:cs="Times New Roman" w:eastAsia="Times New Roman" w:hAnsi="Times New Roman"/>
            <w:sz w:val="21"/>
            <w:szCs w:val="21"/>
            <w:u w:val="single" w:color="auto"/>
            <w:color w:val="0000EE"/>
          </w:rPr>
          <w:t>AH Equity Partners 2022 Annual Fund, L.L.C.</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gridSpan w:val="2"/>
          </w:tcPr>
          <w:p>
            <w:pPr>
              <w:ind w:left="14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ANDREESSEN HOROWITZ</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7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2865 SAND HILL ROAD, SUITE 101</w:t>
            </w: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94025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2"/>
          </w:tcPr>
          <w:p>
            <w:pPr>
              <w:ind w:left="14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gridSpan w:val="2"/>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60" w:type="dxa"/>
            <w:vAlign w:val="bottom"/>
            <w:gridSpan w:val="3"/>
          </w:tcPr>
          <w:p>
            <w:pPr>
              <w:spacing w:after="0" w:line="227" w:lineRule="exact"/>
              <w:rPr>
                <w:rFonts w:ascii="Times New Roman" w:cs="Times New Roman" w:eastAsia="Times New Roman" w:hAnsi="Times New Roman"/>
                <w:sz w:val="21"/>
                <w:szCs w:val="21"/>
                <w:color w:val="0000EE"/>
              </w:rPr>
            </w:pPr>
            <w:hyperlink r:id="rId24">
              <w:r>
                <w:rPr>
                  <w:rFonts w:ascii="Times New Roman" w:cs="Times New Roman" w:eastAsia="Times New Roman" w:hAnsi="Times New Roman"/>
                  <w:sz w:val="21"/>
                  <w:szCs w:val="21"/>
                  <w:color w:val="0000EE"/>
                </w:rPr>
                <w:t>CLF Partners, LP</w:t>
              </w:r>
            </w:hyperlink>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gridSpan w:val="2"/>
          </w:tcPr>
          <w:p>
            <w:pPr>
              <w:ind w:left="14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ANDREESSEN HOROWITZ</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7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2865 SAND HILL ROAD, SUITE 101</w:t>
            </w: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94025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2"/>
          </w:tcPr>
          <w:p>
            <w:pPr>
              <w:ind w:left="14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$12.48 to $12.90 inclusive. The Reporting Persons undertake to provide to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20" w:firstLine="7"/>
        <w:spacing w:after="0" w:line="24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Andreessen Horowitz LSV Fund II, L.P. ("AH LSV Fund II"), for itself and as nominee for Andreessen Horowitz LSV Fund II-B, L.P. and Andreessen Horowitz LSV Fund II-Q, L.P. (collectively, the "AH LSV Fund II Entities"). AH Equity Partners LSV II, L.L.C. ("AH EP LSV II "), the general partner of AH LSV Fund II, may be deemed to have sole voting and dispositive power over the shares held by the AH LSV Fund II Entities. Marc Andreessen and Benjamin Horowitz are the managing members of AH EP LSV II and may be deemed to have shared voting and dispositive power over the shares held by the AH LSV Fund II Entities. Each of the Reporting Persons disclaims the existence of a "group" and disclaims beneficial ownership of the securities held by the AH LSV Fund II Entities and this report shall not be deemed an admission that such person is the beneficial owner of such securities, except to the extent of such person's pecuniary interest therein, if any.</w:t>
      </w:r>
    </w:p>
    <w:p>
      <w:pPr>
        <w:spacing w:after="0" w:line="179" w:lineRule="exact"/>
        <w:rPr>
          <w:rFonts w:ascii="Times New Roman" w:cs="Times New Roman" w:eastAsia="Times New Roman" w:hAnsi="Times New Roman"/>
          <w:sz w:val="13"/>
          <w:szCs w:val="13"/>
          <w:color w:val="008000"/>
        </w:rPr>
      </w:pPr>
    </w:p>
    <w:p>
      <w:pPr>
        <w:ind w:left="20" w:right="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$12.93 to $13.90 inclusive. The Reporting Persons undertake to provide to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20" w:right="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$14.44 to $15.00 inclusive. The Reporting Persons undertake to provide to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20" w:right="60" w:firstLine="7"/>
        <w:spacing w:after="0" w:line="24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Andreessen Horowitz LSV Fund I, L.P. ("AH LSV Fund I"), for itself and as nominee for Andreessen Horowitz LSV Fund I-B, L.P. and Andreessen Horowitz LSV Fund I-Q, L.P. (collectively, the "AH LSV Fund I Entities"). AH Equity Partners LSV I, L.L.C. ("AH EP LSV I"), the general partner of AH LSV Fund I, may be deemed to have sole voting and dispositive power over the shares held by the AH LSV Fund I Entities. Marc Andreessen and Benjamin Horowitz are the managing members of AH EP LSV I and may be deemed to have shared voting and dispositive power over the shares held by the AH LSV Fund I Entities. Each of the Reporting Persons disclaims the existence of a "group" and disclaims beneficial ownership of the securities held by the AH LSV Fund I Entities and this report shall not be deemed an admission that such person is the beneficial owner of such securities, except to the extent of such person's pecuniary interest therein, if any.</w:t>
      </w:r>
    </w:p>
    <w:p>
      <w:pPr>
        <w:spacing w:after="0" w:line="179" w:lineRule="exact"/>
        <w:rPr>
          <w:rFonts w:ascii="Times New Roman" w:cs="Times New Roman" w:eastAsia="Times New Roman" w:hAnsi="Times New Roman"/>
          <w:sz w:val="13"/>
          <w:szCs w:val="13"/>
          <w:color w:val="008000"/>
        </w:rPr>
      </w:pPr>
    </w:p>
    <w:p>
      <w:pPr>
        <w:ind w:left="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Andreessen Horowitz LSV Fund III, L.P. ("AH LSV Fund III"), for itself and as nominee for Andreessen Horowitz LSV Fund III-B, L.P., AH 2022 Annual Fund, L.P., AH 2022 Annual Fund-B, L.P. and AH 2022 Annual Fund-QC, L.P. (collectively, the "AH LSV Fund III Entities"). AH Equity Partners LSV III, L.L.C. ("AH EP LSV III"), the general partner of AH LSV Fund III, may be deemed to have sole voting and dispositive power over the shares held by the AH LSV Fund III Entities.</w:t>
      </w:r>
    </w:p>
    <w:p>
      <w:pPr>
        <w:spacing w:after="0" w:line="20" w:lineRule="exact"/>
        <w:rPr>
          <w:rFonts w:ascii="Times New Roman" w:cs="Times New Roman" w:eastAsia="Times New Roman" w:hAnsi="Times New Roman"/>
          <w:sz w:val="13"/>
          <w:szCs w:val="13"/>
          <w:color w:val="008000"/>
        </w:rPr>
      </w:pPr>
    </w:p>
    <w:p>
      <w:pPr>
        <w:jc w:val="both"/>
        <w:ind w:left="20" w:right="1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6) Marc Andreessen and Benjamin Horowitz are the managing members of AH EP LSV III and may be deemed to have shared voting and dispositive power over the shares held by the AH LSV Fund III Entities. Each of the Reporting Persons disclaims the existence of a "group" and disclaims beneficial ownership of the securities held by the AH LSV Fund III Entities and this report shall not be deemed an admission that such person is the beneficial owner of such securities, except to the extent of such person's pecuniary interest therein, if any.</w:t>
      </w:r>
    </w:p>
    <w:p>
      <w:pPr>
        <w:spacing w:after="0" w:line="20" w:lineRule="exact"/>
        <w:rPr>
          <w:rFonts w:ascii="Times New Roman" w:cs="Times New Roman" w:eastAsia="Times New Roman" w:hAnsi="Times New Roman"/>
          <w:sz w:val="13"/>
          <w:szCs w:val="13"/>
          <w:color w:val="008000"/>
        </w:rPr>
      </w:pPr>
    </w:p>
    <w:p>
      <w:pPr>
        <w:ind w:left="20" w:right="100" w:firstLine="7"/>
        <w:spacing w:after="0" w:line="244"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Andreessen Horowitz Fund V, L.P. ("AH Fund V"), for itself and as nominee for Andreessen Horowitz Fund V-A, L.P., Andreessen Horowitz Fund V-B, L.P. and Andreessen Horowitz Fund V-Q, L.P. (collectively, the "AH Fund V Entities"). AH Equity Partners V, L.L.C. ("AH EP V"), the general partner of AH Fund V, may be deemed to have sole voting and dispositive power over the shares held by the AH Fund V Entities. Marc Andreessen and Benjamin Horowitz are the managing members of AH EP V and may be deemed to have shared voting and dispositive power over the shares held by the AH Fund V Entities. Each of the Reporting Persons disclaims the existence of a "group" and disclaims beneficial ownership of the securities held by the AH Fund V Entities and this report shall not be deemed an admission that such person is the beneficial owner of such securities, except to the extent of such person's pecuniary interest therein, if any.</w:t>
      </w:r>
    </w:p>
    <w:p>
      <w:pPr>
        <w:spacing w:after="0" w:line="26" w:lineRule="exact"/>
        <w:rPr>
          <w:rFonts w:ascii="Times New Roman" w:cs="Times New Roman" w:eastAsia="Times New Roman" w:hAnsi="Times New Roman"/>
          <w:sz w:val="13"/>
          <w:szCs w:val="13"/>
          <w:color w:val="008000"/>
        </w:rPr>
      </w:pPr>
    </w:p>
    <w:p>
      <w:pPr>
        <w:ind w:left="20" w:right="8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CLF Partners, LP ("CLF"). AH EP V, the general partner of CLF, may be deemed to have sole voting and dispositive power over the shares held by CLF. Marc Andreessen and Benjamin Horowitz are the managing members of AH EP V and may be deemed to have shared voting and dispositive power over the shares held by CLF. Each of the Reporting Persons disclaims the existence of a "group" and disclaims beneficial ownership of the securities held by CLF and this report shall not be deemed an admission that such person is the beneficial owner of such securities, except to the extent of such person's pecuniary interest therein, if any.</w:t>
      </w:r>
    </w:p>
    <w:p>
      <w:pPr>
        <w:spacing w:after="0" w:line="24" w:lineRule="exact"/>
        <w:rPr>
          <w:rFonts w:ascii="Times New Roman" w:cs="Times New Roman" w:eastAsia="Times New Roman" w:hAnsi="Times New Roman"/>
          <w:sz w:val="13"/>
          <w:szCs w:val="13"/>
          <w:color w:val="008000"/>
        </w:rPr>
      </w:pPr>
    </w:p>
    <w:p>
      <w:pPr>
        <w:jc w:val="both"/>
        <w:ind w:left="20" w:right="120" w:firstLine="7"/>
        <w:spacing w:after="0" w:line="247" w:lineRule="auto"/>
        <w:tabs>
          <w:tab w:leader="none" w:pos="22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AH Parallel Fund V, L.P. ("AH Parallel V"), for itself and as nominee for AH Parallel Fund V-A, L.P., AH Parallel Fund V-B, L.P., and AH Parallel Fund V-Q, L.P. (collectively, the "AH Parallel Fund V Entities"). AH Equity Partners V (Parallel), L.L.C. ("AH EP V Parallel"), the general partner of AH Parallel V, may be deemed to have sole voting and dispositive power over the shares held by the AH Parallel Fund V Entities. Marc Andreessen and Benjamin Horowitz are the managing members of AH EP V Parallel and may be deemed to have shared voting and dispositive power over the shares held by the AH Parallel Fund V Entities.</w:t>
      </w:r>
    </w:p>
    <w:p>
      <w:pPr>
        <w:spacing w:after="0" w:line="24" w:lineRule="exact"/>
        <w:rPr>
          <w:rFonts w:ascii="Times New Roman" w:cs="Times New Roman" w:eastAsia="Times New Roman" w:hAnsi="Times New Roman"/>
          <w:sz w:val="13"/>
          <w:szCs w:val="13"/>
          <w:color w:val="008000"/>
        </w:rPr>
      </w:pPr>
    </w:p>
    <w:p>
      <w:pPr>
        <w:ind w:left="20" w:right="60" w:firstLine="7"/>
        <w:spacing w:after="0" w:line="272" w:lineRule="auto"/>
        <w:tabs>
          <w:tab w:leader="none" w:pos="21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10) Each of the Reporting Persons disclaims the existence of a "group" and disclaims beneficial ownership of the securities held by the AH Parallel Fund V Entities and this report shall not be deemed an admission that such person is the beneficial owner of such securities, except to the extent of such person's pecuniary interest therein, if any.</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jc w:val="both"/>
        <w:ind w:left="20" w:right="120"/>
        <w:spacing w:after="0" w:line="247" w:lineRule="auto"/>
        <w:rPr>
          <w:sz w:val="20"/>
          <w:szCs w:val="20"/>
          <w:color w:val="auto"/>
        </w:rPr>
      </w:pPr>
      <w:r>
        <w:rPr>
          <w:rFonts w:ascii="Times New Roman" w:cs="Times New Roman" w:eastAsia="Times New Roman" w:hAnsi="Times New Roman"/>
          <w:sz w:val="13"/>
          <w:szCs w:val="13"/>
          <w:color w:val="008000"/>
        </w:rPr>
        <w:t>This Form 4 is the second of three Forms 4 filed relating to the same event. Combined, the three reports report the holdings for the following Reporting Persons: Andreessen Horowitz LSV Fund I, L.P., Andreessen Horowitz LSV Fund I-B, L.P., Andreessen Horowitz LSV Fund I-Q, L.P., AH Equity Partners LSV I, L.L.C., Andreessen Horowitz LSV Fund II, L.P., Andreessen Horowitz LSV Fund II-B, L.P., Andreessen Horowitz LSV Fund II-Q, L.P., AH Equity Partners LSV II, L.L.C., Andreessen Horowitz LSV Fund III, L.P., Andreessen Horowitz LSV Fund III-B, L.P., AH Equity Partners LSV III, L.L.C., AH 2022 Annual Fund, L.P., AH 2022 Annual Fund-B, L.P., AH 2022 Annual Fund-QC, L.P., AH Equity Partners 2022 Annual Fund, L.L.C., Andreessen Horowitz Fund V, L.P., Andreessen</w:t>
      </w:r>
    </w:p>
    <w:p>
      <w:pPr>
        <w:sectPr>
          <w:pgSz w:w="11900" w:h="16920" w:orient="portrait"/>
          <w:cols w:equalWidth="0" w:num="1">
            <w:col w:w="10900"/>
          </w:cols>
          <w:pgMar w:left="480" w:top="167" w:right="519" w:bottom="0" w:gutter="0" w:footer="0" w:header="0"/>
        </w:sectPr>
      </w:pPr>
    </w:p>
    <w:bookmarkStart w:id="3" w:name="page4"/>
    <w:bookmarkEnd w:id="3"/>
    <w:p>
      <w:pPr>
        <w:jc w:val="both"/>
        <w:spacing w:after="0" w:line="253" w:lineRule="auto"/>
        <w:rPr>
          <w:sz w:val="20"/>
          <w:szCs w:val="20"/>
          <w:color w:val="auto"/>
        </w:rPr>
      </w:pPr>
      <w:r>
        <w:rPr>
          <w:rFonts w:ascii="Times New Roman" w:cs="Times New Roman" w:eastAsia="Times New Roman" w:hAnsi="Times New Roman"/>
          <w:sz w:val="13"/>
          <w:szCs w:val="13"/>
          <w:color w:val="008000"/>
        </w:rPr>
        <w:t>Horowitz Fund V-A, L.P., Andreessen Horowitz Fund V-B, L.P., Andreessen Horowitz Fund V-Q, L.P., CLF Partners, LP, AH Equity Partners V, L.L.C., AH Parallel Fund V, L.P., AH Parallel Fund V-A, L.P., AH Parallel Fund V-B, L.P., AH Parallel Fund V-Q, L.P., AH Equity Partners V (Parallel), L.L.C. and Marc Andreessen. This Form 4 has been split into three filings because there are more than 10 reporting persons in total, and the SEC's EDGAR filing system limits a single Form 4 to a maximum of 10 reporting persons.</w:t>
      </w:r>
    </w:p>
    <w:p>
      <w:pPr>
        <w:sectPr>
          <w:pgSz w:w="11900" w:h="16838" w:orient="portrait"/>
          <w:cols w:equalWidth="0" w:num="1">
            <w:col w:w="10800"/>
          </w:cols>
          <w:pgMar w:left="500" w:top="127" w:right="599" w:bottom="1440" w:gutter="0" w:footer="0" w:header="0"/>
        </w:sectPr>
      </w:pPr>
    </w:p>
    <w:p>
      <w:pPr>
        <w:spacing w:after="0" w:line="4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Andreessen Horowitz LSV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912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Fund III, L.P., By AH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80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12801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Partners LSV III,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33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/s/ Phil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84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12084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Hathaway, Chief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52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12052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Andreessen Horowitz LSV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912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Fund III-B, L.P., By 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93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10693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Equity Partners LSV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814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10814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550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13550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 Phil Hathaway,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744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10744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829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78295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AH Equity Partners LSV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6809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126809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L.L.C., By /s/ Phil Hathaway,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36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13036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547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105473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AH 2022 Annual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649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126492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AH Equity Partners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12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Annual Fund,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877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/s/ Phil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84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12084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Hathaway, Chief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523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12052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AH 2022 Annual Fund-B,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487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114871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L.P., By AH Equity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96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12496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2022 Annual Fund,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3540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13354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/s/ Phil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840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12084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Hathaway, Chief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523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12052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AH 2022 Annual Fund-QC,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280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L.P., By AH Equity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96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12496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2022 Annual Fund,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3540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13354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/s/ Phil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840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12084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Hathaway, Chief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523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12052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AH Equity Partners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150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111506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Annual Fund,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76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12376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Phil Hathaway,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297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829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78295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CLF Partners, LP, By 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303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113030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Equity Partners V,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839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12839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/s/ Phil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840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12084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Hathaway, Chief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523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12052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12/19/2025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12/19/2025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12/19/2025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12/19/2025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12/19/2025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12/19/2025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12/19/2025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12/19/2025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99" w:lineRule="exact"/>
        <w:rPr>
          <w:sz w:val="20"/>
          <w:szCs w:val="20"/>
          <w:color w:val="auto"/>
        </w:rPr>
      </w:pPr>
    </w:p>
    <w:p>
      <w:pPr>
        <w:sectPr>
          <w:pgSz w:w="11900" w:h="16838" w:orient="portrait"/>
          <w:cols w:equalWidth="0" w:num="2">
            <w:col w:w="8680" w:space="60"/>
            <w:col w:w="2060"/>
          </w:cols>
          <w:pgMar w:left="500" w:top="127" w:right="599" w:bottom="144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0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00"/>
      </w:cols>
      <w:pgMar w:left="500" w:top="127" w:right="5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21"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png"/><Relationship Id="rId70" Type="http://schemas.openxmlformats.org/officeDocument/2006/relationships/image" Target="media/image54.png"/><Relationship Id="rId71" Type="http://schemas.openxmlformats.org/officeDocument/2006/relationships/image" Target="media/image55.png"/><Relationship Id="rId72" Type="http://schemas.openxmlformats.org/officeDocument/2006/relationships/image" Target="media/image56.png"/><Relationship Id="rId73" Type="http://schemas.openxmlformats.org/officeDocument/2006/relationships/image" Target="media/image57.png"/><Relationship Id="rId74" Type="http://schemas.openxmlformats.org/officeDocument/2006/relationships/image" Target="media/image58.png"/><Relationship Id="rId13" Type="http://schemas.openxmlformats.org/officeDocument/2006/relationships/hyperlink" Target="http://www.sec.gov/cgi-bin/browse-edgar?action=getcompany&amp;CIK=0001889367" TargetMode="External"/><Relationship Id="rId14" Type="http://schemas.openxmlformats.org/officeDocument/2006/relationships/hyperlink" Target="http://www.sec.gov/cgi-bin/browse-edgar?action=getcompany&amp;CIK=0001639723" TargetMode="External"/><Relationship Id="rId17" Type="http://schemas.openxmlformats.org/officeDocument/2006/relationships/hyperlink" Target="http://www.sec.gov/cgi-bin/browse-edgar?action=getcompany&amp;CIK=0001894619" TargetMode="External"/><Relationship Id="rId18" Type="http://schemas.openxmlformats.org/officeDocument/2006/relationships/hyperlink" Target="http://www.sec.gov/cgi-bin/browse-edgar?action=getcompany&amp;CIK=0001889893" TargetMode="External"/><Relationship Id="rId19" Type="http://schemas.openxmlformats.org/officeDocument/2006/relationships/hyperlink" Target="http://www.sec.gov/cgi-bin/browse-edgar?action=getcompany&amp;CIK=0001894744" TargetMode="External"/><Relationship Id="rId20" Type="http://schemas.openxmlformats.org/officeDocument/2006/relationships/hyperlink" Target="http://www.sec.gov/cgi-bin/browse-edgar?action=getcompany&amp;CIK=0001935421" TargetMode="External"/><Relationship Id="rId22" Type="http://schemas.openxmlformats.org/officeDocument/2006/relationships/hyperlink" Target="http://www.sec.gov/cgi-bin/browse-edgar?action=getcompany&amp;CIK=0001924807" TargetMode="External"/><Relationship Id="rId23" Type="http://schemas.openxmlformats.org/officeDocument/2006/relationships/hyperlink" Target="http://www.sec.gov/cgi-bin/browse-edgar?action=getcompany&amp;CIK=0001894740" TargetMode="External"/><Relationship Id="rId24" Type="http://schemas.openxmlformats.org/officeDocument/2006/relationships/hyperlink" Target="http://www.sec.gov/cgi-bin/browse-edgar?action=getcompany&amp;CIK=000173250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2025-12-19T19:28:50Z</dcterms:created>
  <dcterms:modified xsi:type="dcterms:W3CDTF">2025-12-19T19:28:50Z</dcterms:modified>
</cp:coreProperties>
</file>