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NAVAN,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tbl>
      <w:tblPr>
        <w:tblLayout w:type="fixed"/>
        <w:tblInd w:w="600" w:type="dxa"/>
        <w:tblCellMar>
          <w:top w:w="0" w:type="dxa"/>
          <w:left w:w="0" w:type="dxa"/>
          <w:bottom w:w="0" w:type="dxa"/>
          <w:right w:w="0" w:type="dxa"/>
        </w:tblCellMar>
      </w:tblPr>
      <w:tr>
        <w:trPr>
          <w:trHeight w:val="238"/>
        </w:trPr>
        <w:tc>
          <w:tcPr>
            <w:tcW w:w="2720" w:type="dxa"/>
            <w:vAlign w:val="bottom"/>
          </w:tcPr>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920" w:type="dxa"/>
            <w:vAlign w:val="bottom"/>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001-42922</w:t>
            </w:r>
          </w:p>
        </w:tc>
        <w:tc>
          <w:tcPr>
            <w:tcW w:w="17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47-3424780</w:t>
            </w:r>
          </w:p>
        </w:tc>
      </w:tr>
      <w:tr>
        <w:trPr>
          <w:trHeight w:val="178"/>
        </w:trPr>
        <w:tc>
          <w:tcPr>
            <w:tcW w:w="27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20" w:type="dxa"/>
            <w:vAlign w:val="bottom"/>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700" w:type="dxa"/>
            <w:vAlign w:val="bottom"/>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7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20" w:type="dxa"/>
            <w:vAlign w:val="bottom"/>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00" w:type="dxa"/>
            <w:vAlign w:val="bottom"/>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01"/>
        </w:trPr>
        <w:tc>
          <w:tcPr>
            <w:tcW w:w="2720" w:type="dxa"/>
            <w:vAlign w:val="bottom"/>
          </w:tcPr>
          <w:p>
            <w:pPr>
              <w:jc w:val="center"/>
              <w:ind w:right="179"/>
              <w:spacing w:after="0"/>
              <w:rPr>
                <w:sz w:val="20"/>
                <w:szCs w:val="20"/>
                <w:color w:val="auto"/>
              </w:rPr>
            </w:pPr>
            <w:r>
              <w:rPr>
                <w:rFonts w:ascii="Times New Roman" w:cs="Times New Roman" w:eastAsia="Times New Roman" w:hAnsi="Times New Roman"/>
                <w:sz w:val="18"/>
                <w:szCs w:val="18"/>
                <w:b w:val="1"/>
                <w:bCs w:val="1"/>
                <w:color w:val="auto"/>
                <w:w w:val="99"/>
              </w:rPr>
              <w:t>3045 Park Boulevard</w:t>
            </w:r>
          </w:p>
        </w:tc>
        <w:tc>
          <w:tcPr>
            <w:tcW w:w="49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4"/>
        </w:trPr>
        <w:tc>
          <w:tcPr>
            <w:tcW w:w="2720" w:type="dxa"/>
            <w:vAlign w:val="bottom"/>
          </w:tcPr>
          <w:p>
            <w:pPr>
              <w:jc w:val="center"/>
              <w:ind w:right="179"/>
              <w:spacing w:after="0"/>
              <w:rPr>
                <w:sz w:val="20"/>
                <w:szCs w:val="20"/>
                <w:color w:val="auto"/>
              </w:rPr>
            </w:pPr>
            <w:r>
              <w:rPr>
                <w:rFonts w:ascii="Times New Roman" w:cs="Times New Roman" w:eastAsia="Times New Roman" w:hAnsi="Times New Roman"/>
                <w:sz w:val="18"/>
                <w:szCs w:val="18"/>
                <w:b w:val="1"/>
                <w:bCs w:val="1"/>
                <w:color w:val="auto"/>
                <w:w w:val="99"/>
              </w:rPr>
              <w:t>Palo Alto, California</w:t>
            </w:r>
          </w:p>
        </w:tc>
        <w:tc>
          <w:tcPr>
            <w:tcW w:w="4920" w:type="dxa"/>
            <w:vAlign w:val="bottom"/>
          </w:tcPr>
          <w:p>
            <w:pPr>
              <w:spacing w:after="0"/>
              <w:rPr>
                <w:sz w:val="22"/>
                <w:szCs w:val="22"/>
                <w:color w:val="auto"/>
              </w:rPr>
            </w:pPr>
          </w:p>
        </w:tc>
        <w:tc>
          <w:tcPr>
            <w:tcW w:w="17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94306</w:t>
            </w:r>
          </w:p>
        </w:tc>
      </w:tr>
      <w:tr>
        <w:trPr>
          <w:trHeight w:val="190"/>
        </w:trPr>
        <w:tc>
          <w:tcPr>
            <w:tcW w:w="27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920" w:type="dxa"/>
            <w:vAlign w:val="bottom"/>
          </w:tcPr>
          <w:p>
            <w:pPr>
              <w:spacing w:after="0"/>
              <w:rPr>
                <w:sz w:val="16"/>
                <w:szCs w:val="16"/>
                <w:color w:val="auto"/>
              </w:rPr>
            </w:pPr>
          </w:p>
        </w:tc>
        <w:tc>
          <w:tcPr>
            <w:tcW w:w="1700" w:type="dxa"/>
            <w:vAlign w:val="bottom"/>
          </w:tcPr>
          <w:p>
            <w:pPr>
              <w:jc w:val="center"/>
              <w:ind w:left="5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85"/>
        </w:trPr>
        <w:tc>
          <w:tcPr>
            <w:tcW w:w="2720" w:type="dxa"/>
            <w:vAlign w:val="bottom"/>
          </w:tcPr>
          <w:p>
            <w:pPr>
              <w:spacing w:after="0"/>
              <w:rPr>
                <w:sz w:val="24"/>
                <w:szCs w:val="24"/>
                <w:color w:val="auto"/>
              </w:rPr>
            </w:pPr>
          </w:p>
        </w:tc>
        <w:tc>
          <w:tcPr>
            <w:tcW w:w="4920" w:type="dxa"/>
            <w:vAlign w:val="bottom"/>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(888) 505-8747</w:t>
            </w:r>
          </w:p>
        </w:tc>
        <w:tc>
          <w:tcPr>
            <w:tcW w:w="1700" w:type="dxa"/>
            <w:vAlign w:val="bottom"/>
          </w:tcPr>
          <w:p>
            <w:pPr>
              <w:spacing w:after="0"/>
              <w:rPr>
                <w:sz w:val="24"/>
                <w:szCs w:val="24"/>
                <w:color w:val="auto"/>
              </w:rPr>
            </w:pPr>
          </w:p>
        </w:tc>
      </w:tr>
      <w:tr>
        <w:trPr>
          <w:trHeight w:val="190"/>
        </w:trPr>
        <w:tc>
          <w:tcPr>
            <w:tcW w:w="2720" w:type="dxa"/>
            <w:vAlign w:val="bottom"/>
          </w:tcPr>
          <w:p>
            <w:pPr>
              <w:spacing w:after="0"/>
              <w:rPr>
                <w:sz w:val="16"/>
                <w:szCs w:val="16"/>
                <w:color w:val="auto"/>
              </w:rPr>
            </w:pPr>
          </w:p>
        </w:tc>
        <w:tc>
          <w:tcPr>
            <w:tcW w:w="4920" w:type="dxa"/>
            <w:vAlign w:val="bottom"/>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6"/>
                <w:szCs w:val="16"/>
                <w:color w:val="auto"/>
              </w:rPr>
            </w:pPr>
          </w:p>
        </w:tc>
      </w:tr>
      <w:tr>
        <w:trPr>
          <w:trHeight w:val="336"/>
        </w:trPr>
        <w:tc>
          <w:tcPr>
            <w:tcW w:w="2720" w:type="dxa"/>
            <w:vAlign w:val="bottom"/>
          </w:tcPr>
          <w:p>
            <w:pPr>
              <w:spacing w:after="0"/>
              <w:rPr>
                <w:sz w:val="24"/>
                <w:szCs w:val="24"/>
                <w:color w:val="auto"/>
              </w:rPr>
            </w:pPr>
          </w:p>
        </w:tc>
        <w:tc>
          <w:tcPr>
            <w:tcW w:w="4920" w:type="dxa"/>
            <w:vAlign w:val="bottom"/>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00" w:type="dxa"/>
            <w:vAlign w:val="bottom"/>
          </w:tcPr>
          <w:p>
            <w:pPr>
              <w:spacing w:after="0"/>
              <w:rPr>
                <w:sz w:val="24"/>
                <w:szCs w:val="24"/>
                <w:color w:val="auto"/>
              </w:rPr>
            </w:pPr>
          </w:p>
        </w:tc>
      </w:tr>
      <w:tr>
        <w:trPr>
          <w:trHeight w:val="190"/>
        </w:trPr>
        <w:tc>
          <w:tcPr>
            <w:tcW w:w="2720" w:type="dxa"/>
            <w:vAlign w:val="bottom"/>
          </w:tcPr>
          <w:p>
            <w:pPr>
              <w:spacing w:after="0"/>
              <w:rPr>
                <w:sz w:val="16"/>
                <w:szCs w:val="16"/>
                <w:color w:val="auto"/>
              </w:rPr>
            </w:pPr>
          </w:p>
        </w:tc>
        <w:tc>
          <w:tcPr>
            <w:tcW w:w="492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ind w:right="66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22"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169"/>
        </w:trPr>
        <w:tc>
          <w:tcPr>
            <w:tcW w:w="36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Class A Common Stock, $0.00000625 par</w:t>
            </w:r>
          </w:p>
        </w:tc>
        <w:tc>
          <w:tcPr>
            <w:tcW w:w="120" w:type="dxa"/>
            <w:vAlign w:val="bottom"/>
          </w:tcPr>
          <w:p>
            <w:pPr>
              <w:spacing w:after="0"/>
              <w:rPr>
                <w:sz w:val="14"/>
                <w:szCs w:val="14"/>
                <w:color w:val="auto"/>
              </w:rPr>
            </w:pPr>
          </w:p>
        </w:tc>
        <w:tc>
          <w:tcPr>
            <w:tcW w:w="36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6"/>
              </w:rPr>
              <w:t>NAVN</w:t>
            </w:r>
          </w:p>
        </w:tc>
        <w:tc>
          <w:tcPr>
            <w:tcW w:w="120" w:type="dxa"/>
            <w:vAlign w:val="bottom"/>
          </w:tcPr>
          <w:p>
            <w:pPr>
              <w:spacing w:after="0"/>
              <w:rPr>
                <w:sz w:val="14"/>
                <w:szCs w:val="14"/>
                <w:color w:val="auto"/>
              </w:rPr>
            </w:pPr>
          </w:p>
        </w:tc>
        <w:tc>
          <w:tcPr>
            <w:tcW w:w="36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spacing w:after="0"/>
              <w:rPr>
                <w:sz w:val="20"/>
                <w:szCs w:val="20"/>
                <w:color w:val="auto"/>
              </w:rPr>
            </w:pPr>
          </w:p>
        </w:tc>
      </w:tr>
    </w:tbl>
    <w:p>
      <w:pPr>
        <w:spacing w:after="0" w:line="297"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024"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Agreement</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October 29, 2025, in connection with its initial public offering (the “IPO”), Navan, Inc. (the “Company”) entered into an exchange agreement (the “Exchange Agreement”) with Ariel Cohen and Ilan Twig (each, a “Co-Founder,” and together, the “Co-Founders”) and certain entities affiliated with the Founders. The Exchange Agreement provides for the exchange of shares of Class A common stock for shares of Class B common stock, effective immediately prior to the sale of the shares of the Company’s Class A common stock in the IPO as part of the closing. The Exchange Agreement is attached hereto as Exhibit 10.1 and is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Exchange Right Agreements</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October 29, 2025, in connection with the IPO, the Company entered into equity exchange right agreements (each an “Equity Exchange Right Agreement”) with each of the Co-Founders. Each Equity Exchange Right Agreement requires the Company to exchange any shares of Class A common stock received upon the vesting and settlement of restricted stock units related to shares of Class A common stock or upon the exercise of stock options to purchase shares of Class A common stock for an equivalent number of shares of Class B common stock. The Equity Exchange Rights Agreements are attached hereto as Exhibits 10.2 and 10.3 and are incorporated herein by reference.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and Restatement of Certificate of Incorporation</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October 31, 2025, the Company filed an amended and restated certificate of incorporation (the “Restated Certificate”) with the Secretary of State of the State of Delaware in connection with the closing of the IPO. The Company’s board of directors (the “Board”) and the Company’s stockholders previously approved the Restated Certificate to be effective upon the closing of the IPO. The Restated Certificate is attached hereto as Exhibit 3.1 and is incorporated herein by reference.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and Restatement of Bylaws</w:t>
      </w:r>
    </w:p>
    <w:p>
      <w:pPr>
        <w:spacing w:after="0" w:line="22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October 31, 2025, the Company’s amended and restated bylaws (the “Restated Bylaws”) became effective in connection with the closing of the IPO. The Board and the Company’s stockholders previously approved the Restated Bylaws to be effective immediately prior to the closing of the IPO. The Restated Bylaws are attached hereto as Exhibit 3.2 and are incorporated herein by reference.</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Please see the description of the Restated Certificate and the Restated Bylaws in the section titled “Description of Capital Stock” in the final prospectus pursuant to Rule 424(b) under the Securities Act of 1933, as amended, filed by the Company with the Securities and Exchange Commission on October 30, 2025, relating to the Company’s Registration Statement on Form S-1, as amended (File No. 333-290396).</w:t>
      </w:r>
    </w:p>
    <w:p>
      <w:pPr>
        <w:sectPr>
          <w:pgSz w:w="11900" w:h="16838" w:orient="portrait"/>
          <w:cols w:equalWidth="0" w:num="1">
            <w:col w:w="11200"/>
          </w:cols>
          <w:pgMar w:left="320" w:top="1413"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2"/>
        </w:trPr>
        <w:tc>
          <w:tcPr>
            <w:tcW w:w="14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gridSpan w:val="6"/>
          </w:tcPr>
          <w:p>
            <w:pPr>
              <w:spacing w:after="0" w:line="182" w:lineRule="exact"/>
              <w:rPr>
                <w:sz w:val="20"/>
                <w:szCs w:val="20"/>
                <w:color w:val="auto"/>
              </w:rPr>
            </w:pPr>
            <w:r>
              <w:rPr>
                <w:rFonts w:ascii="Times New Roman" w:cs="Times New Roman" w:eastAsia="Times New Roman" w:hAnsi="Times New Roman"/>
                <w:sz w:val="18"/>
                <w:szCs w:val="18"/>
                <w:color w:val="3051F2"/>
              </w:rPr>
              <w:t>Amended and Restated Certificate of Incorporation of Navan, Inc.</w:t>
            </w:r>
          </w:p>
        </w:tc>
      </w:tr>
      <w:tr>
        <w:trPr>
          <w:trHeight w:val="250"/>
        </w:trPr>
        <w:tc>
          <w:tcPr>
            <w:tcW w:w="1420" w:type="dxa"/>
            <w:vAlign w:val="bottom"/>
          </w:tcPr>
          <w:p>
            <w:pPr>
              <w:ind w:left="20"/>
              <w:spacing w:after="0" w:line="250" w:lineRule="exact"/>
              <w:rPr>
                <w:sz w:val="20"/>
                <w:szCs w:val="20"/>
                <w:color w:val="auto"/>
              </w:rPr>
            </w:pPr>
            <w:r>
              <w:rPr>
                <w:rFonts w:ascii="Times New Roman" w:cs="Times New Roman" w:eastAsia="Times New Roman" w:hAnsi="Times New Roman"/>
                <w:sz w:val="18"/>
                <w:szCs w:val="18"/>
                <w:color w:val="auto"/>
              </w:rPr>
              <w:t>3.2</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60" w:type="dxa"/>
            <w:vAlign w:val="bottom"/>
            <w:tcBorders>
              <w:top w:val="single" w:sz="8" w:color="3051F2"/>
            </w:tcBorders>
            <w:gridSpan w:val="2"/>
          </w:tcPr>
          <w:p>
            <w:pPr>
              <w:spacing w:after="0"/>
              <w:rPr>
                <w:rFonts w:ascii="Times New Roman" w:cs="Times New Roman" w:eastAsia="Times New Roman" w:hAnsi="Times New Roman"/>
                <w:sz w:val="18"/>
                <w:szCs w:val="18"/>
                <w:color w:val="3051F2"/>
              </w:rPr>
            </w:pPr>
            <w:hyperlink r:id="rId15">
              <w:r>
                <w:rPr>
                  <w:rFonts w:ascii="Times New Roman" w:cs="Times New Roman" w:eastAsia="Times New Roman" w:hAnsi="Times New Roman"/>
                  <w:sz w:val="18"/>
                  <w:szCs w:val="18"/>
                  <w:color w:val="3051F2"/>
                </w:rPr>
                <w:t>Amended and Restated Bylaws of Navan, Inc.</w:t>
              </w:r>
            </w:hyperlink>
          </w:p>
        </w:tc>
        <w:tc>
          <w:tcPr>
            <w:tcW w:w="4940" w:type="dxa"/>
            <w:vAlign w:val="bottom"/>
            <w:gridSpan w:val="4"/>
          </w:tcPr>
          <w:p>
            <w:pPr>
              <w:spacing w:after="0"/>
              <w:rPr>
                <w:sz w:val="21"/>
                <w:szCs w:val="21"/>
                <w:color w:val="auto"/>
              </w:rPr>
            </w:pPr>
          </w:p>
        </w:tc>
      </w:tr>
      <w:tr>
        <w:trPr>
          <w:trHeight w:val="20"/>
        </w:trPr>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shd w:val="clear" w:color="auto" w:fill="3051F2"/>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09"/>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160" w:type="dxa"/>
            <w:vAlign w:val="bottom"/>
            <w:tcBorders>
              <w:bottom w:val="single" w:sz="8" w:color="3051F2"/>
            </w:tcBorders>
            <w:gridSpan w:val="5"/>
          </w:tcPr>
          <w:p>
            <w:pPr>
              <w:spacing w:after="0"/>
              <w:rPr>
                <w:sz w:val="20"/>
                <w:szCs w:val="20"/>
                <w:color w:val="auto"/>
              </w:rPr>
            </w:pPr>
            <w:r>
              <w:rPr>
                <w:rFonts w:ascii="Times New Roman" w:cs="Times New Roman" w:eastAsia="Times New Roman" w:hAnsi="Times New Roman"/>
                <w:sz w:val="18"/>
                <w:szCs w:val="18"/>
                <w:color w:val="3051F2"/>
                <w:w w:val="99"/>
              </w:rPr>
              <w:t>Exchange Agreement among Navan, Inc., Ariel Cohen, Ilan Twig, and certain other affiliated parties, dated October 29, 2025.*</w:t>
            </w:r>
          </w:p>
        </w:tc>
        <w:tc>
          <w:tcPr>
            <w:tcW w:w="540" w:type="dxa"/>
            <w:vAlign w:val="bottom"/>
          </w:tcPr>
          <w:p>
            <w:pPr>
              <w:spacing w:after="0"/>
              <w:rPr>
                <w:sz w:val="18"/>
                <w:szCs w:val="18"/>
                <w:color w:val="auto"/>
              </w:rPr>
            </w:pPr>
          </w:p>
        </w:tc>
      </w:tr>
      <w:tr>
        <w:trPr>
          <w:trHeight w:val="210"/>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0" w:type="dxa"/>
            <w:vAlign w:val="bottom"/>
            <w:tcBorders>
              <w:bottom w:val="single" w:sz="8" w:color="3051F2"/>
            </w:tcBorders>
            <w:gridSpan w:val="4"/>
          </w:tcPr>
          <w:p>
            <w:pPr>
              <w:spacing w:after="0"/>
              <w:rPr>
                <w:sz w:val="20"/>
                <w:szCs w:val="20"/>
                <w:color w:val="auto"/>
              </w:rPr>
            </w:pPr>
            <w:r>
              <w:rPr>
                <w:rFonts w:ascii="Times New Roman" w:cs="Times New Roman" w:eastAsia="Times New Roman" w:hAnsi="Times New Roman"/>
                <w:sz w:val="18"/>
                <w:szCs w:val="18"/>
                <w:color w:val="3051F2"/>
                <w:w w:val="99"/>
              </w:rPr>
              <w:t>Equity Exchange Right Agreement between Navan, Inc. and Ariel Cohen, dated October 29, 2025.*</w:t>
            </w:r>
          </w:p>
        </w:tc>
        <w:tc>
          <w:tcPr>
            <w:tcW w:w="2500" w:type="dxa"/>
            <w:vAlign w:val="bottom"/>
            <w:gridSpan w:val="2"/>
          </w:tcPr>
          <w:p>
            <w:pPr>
              <w:spacing w:after="0"/>
              <w:rPr>
                <w:sz w:val="18"/>
                <w:szCs w:val="18"/>
                <w:color w:val="auto"/>
              </w:rPr>
            </w:pPr>
          </w:p>
        </w:tc>
      </w:tr>
      <w:tr>
        <w:trPr>
          <w:trHeight w:val="210"/>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color w:val="3051F2"/>
              </w:rPr>
              <w:t>Equity Exchange Right Agreement between Navan, Inc. and Ilan Twig, dated October 29, 2025.*</w:t>
            </w:r>
          </w:p>
        </w:tc>
      </w:tr>
      <w:tr>
        <w:trPr>
          <w:trHeight w:val="250"/>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0" w:type="dxa"/>
            <w:vAlign w:val="bottom"/>
            <w:tcBorders>
              <w:top w:val="single" w:sz="8" w:color="3051F2"/>
            </w:tcBorders>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700" w:type="dxa"/>
            <w:vAlign w:val="bottom"/>
            <w:gridSpan w:val="3"/>
          </w:tcPr>
          <w:p>
            <w:pPr>
              <w:spacing w:after="0"/>
              <w:rPr>
                <w:sz w:val="21"/>
                <w:szCs w:val="2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12" w:lineRule="exact"/>
        <w:rPr>
          <w:sz w:val="20"/>
          <w:szCs w:val="20"/>
          <w:color w:val="auto"/>
        </w:rPr>
      </w:pPr>
    </w:p>
    <w:p>
      <w:pPr>
        <w:ind w:left="340" w:right="60" w:hanging="332"/>
        <w:spacing w:after="0" w:line="249" w:lineRule="auto"/>
        <w:tabs>
          <w:tab w:leader="none" w:pos="332"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Previously filed as Exhibit 3.4 to the Company’s Registration Statement on Form S-1, as amended (File No. 333-290396), filed with the Securities and Exchange Commission on October 10, 2025, and incorporated herein by reference.</w:t>
      </w:r>
    </w:p>
    <w:p>
      <w:pPr>
        <w:spacing w:after="0" w:line="1" w:lineRule="exact"/>
        <w:rPr>
          <w:sz w:val="20"/>
          <w:szCs w:val="20"/>
          <w:color w:val="auto"/>
        </w:rPr>
      </w:pPr>
    </w:p>
    <w:p>
      <w:pPr>
        <w:ind w:left="180" w:right="100" w:hanging="172"/>
        <w:spacing w:after="0" w:line="260" w:lineRule="auto"/>
        <w:tabs>
          <w:tab w:leader="none" w:pos="1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(indicated by asterisks) have been omitted because they are both not material and are the type that the Registrant treats as private or confidential.</w:t>
      </w:r>
    </w:p>
    <w:p>
      <w:pPr>
        <w:sectPr>
          <w:pgSz w:w="11900" w:h="16838" w:orient="portrait"/>
          <w:cols w:equalWidth="0" w:num="1">
            <w:col w:w="11240"/>
          </w:cols>
          <w:pgMar w:left="320" w:top="1413" w:right="339" w:bottom="1440" w:gutter="0" w:footer="0" w:header="0"/>
        </w:sectPr>
      </w:pPr>
    </w:p>
    <w:bookmarkStart w:id="3" w:name="page4"/>
    <w:bookmarkEnd w:id="3"/>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Navan,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October 31, 2025</w:t>
      </w:r>
    </w:p>
    <w:p>
      <w:pPr>
        <w:spacing w:after="0" w:line="23" w:lineRule="exact"/>
        <w:rPr>
          <w:sz w:val="20"/>
          <w:szCs w:val="20"/>
          <w:color w:val="auto"/>
        </w:rPr>
      </w:pPr>
    </w:p>
    <w:p>
      <w:pPr>
        <w:ind w:left="4960"/>
        <w:spacing w:after="0"/>
        <w:tabs>
          <w:tab w:leader="none" w:pos="5460" w:val="left"/>
        </w:tabs>
        <w:rPr>
          <w:sz w:val="20"/>
          <w:szCs w:val="20"/>
          <w:color w:val="auto"/>
        </w:rPr>
      </w:pPr>
      <w:r>
        <w:rPr>
          <w:rFonts w:ascii="Times New Roman" w:cs="Times New Roman" w:eastAsia="Times New Roman" w:hAnsi="Times New Roman"/>
          <w:sz w:val="18"/>
          <w:szCs w:val="18"/>
          <w:color w:val="auto"/>
        </w:rPr>
        <w:t>By:</w:t>
        <w:tab/>
        <w:t>/s/ Ariel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14605</wp:posOffset>
            </wp:positionV>
            <wp:extent cx="36690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1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Ariel Cohen</w:t>
      </w:r>
    </w:p>
    <w:p>
      <w:pPr>
        <w:spacing w:after="0" w:line="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020"/>
          </w:cols>
          <w:pgMar w:left="320" w:top="1413" w:right="5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CERTIFICATE OF INCORPORATION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NAVAN, INC.</w:t>
      </w:r>
    </w:p>
    <w:p>
      <w:pPr>
        <w:spacing w:after="0" w:line="20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b w:val="1"/>
          <w:bCs w:val="1"/>
          <w:color w:val="auto"/>
        </w:rPr>
        <w:t>__________________________________________________</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Navan, Inc., a corporation organized and existing under and by virtue of the General Corporation Law of the State of Delaware (the “</w:t>
      </w:r>
      <w:r>
        <w:rPr>
          <w:rFonts w:ascii="Times New Roman" w:cs="Times New Roman" w:eastAsia="Times New Roman" w:hAnsi="Times New Roman"/>
          <w:sz w:val="20"/>
          <w:szCs w:val="20"/>
          <w:b w:val="1"/>
          <w:bCs w:val="1"/>
          <w:i w:val="1"/>
          <w:iCs w:val="1"/>
          <w:color w:val="auto"/>
        </w:rPr>
        <w:t>DGCL</w:t>
      </w:r>
      <w:r>
        <w:rPr>
          <w:rFonts w:ascii="Times New Roman" w:cs="Times New Roman" w:eastAsia="Times New Roman" w:hAnsi="Times New Roman"/>
          <w:sz w:val="20"/>
          <w:szCs w:val="20"/>
          <w:color w:val="auto"/>
        </w:rPr>
        <w:t>”), does hereby certify that:</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u w:val="single" w:color="auto"/>
          <w:color w:val="auto"/>
        </w:rPr>
        <w:t>ONE:</w:t>
      </w:r>
      <w:r>
        <w:rPr>
          <w:rFonts w:ascii="Times New Roman" w:cs="Times New Roman" w:eastAsia="Times New Roman" w:hAnsi="Times New Roman"/>
          <w:sz w:val="20"/>
          <w:szCs w:val="20"/>
          <w:color w:val="auto"/>
        </w:rPr>
        <w:t xml:space="preserve"> The name of this corporation is Navan, Inc. The date of filing of the original certificate of incorporation of this corporation with the Secretary of State of the State of Delaware was February 12, 2015, and the name under which such filing was made was TripActions, Inc.</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u w:val="single" w:color="auto"/>
          <w:color w:val="auto"/>
        </w:rPr>
        <w:t>TWO:</w:t>
      </w:r>
      <w:r>
        <w:rPr>
          <w:rFonts w:ascii="Times New Roman" w:cs="Times New Roman" w:eastAsia="Times New Roman" w:hAnsi="Times New Roman"/>
          <w:sz w:val="20"/>
          <w:szCs w:val="20"/>
          <w:color w:val="auto"/>
        </w:rPr>
        <w:t xml:space="preserve"> This certificate of incorporation was duly adopted in accordance with the provisions of Sections 242 and 245 of the DGCL, and has been duly approved by the written consent of the stockholders of this corporation in accordance with Section 228 of the DGCL.</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u w:val="single" w:color="auto"/>
          <w:color w:val="auto"/>
        </w:rPr>
        <w:t>THREE:</w:t>
      </w:r>
      <w:r>
        <w:rPr>
          <w:rFonts w:ascii="Times New Roman" w:cs="Times New Roman" w:eastAsia="Times New Roman" w:hAnsi="Times New Roman"/>
          <w:sz w:val="20"/>
          <w:szCs w:val="20"/>
          <w:color w:val="auto"/>
        </w:rPr>
        <w:t xml:space="preserve"> Pursuant to Sections 242 and 245 of the DGCL, the certificate of incorporation of this corporation, as heretofore amended, is hereby amended, integrated and restated to read in its entirety as follows:</w:t>
      </w:r>
    </w:p>
    <w:p>
      <w:pPr>
        <w:spacing w:after="0" w:line="16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SECTION 1.</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name of this corporation is Navan, Inc. (the “</w:t>
      </w:r>
      <w:r>
        <w:rPr>
          <w:rFonts w:ascii="Times New Roman" w:cs="Times New Roman" w:eastAsia="Times New Roman" w:hAnsi="Times New Roman"/>
          <w:sz w:val="20"/>
          <w:szCs w:val="20"/>
          <w:b w:val="1"/>
          <w:bCs w:val="1"/>
          <w:i w:val="1"/>
          <w:iCs w:val="1"/>
          <w:color w:val="auto"/>
        </w:rPr>
        <w:t>Corporation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2.</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address of the registered office of the Corporation in the State of Delaware is 1209 Orange Street, City of Wilmington, County of New Castle, Zip Code 19801, and the name of the registered agent of the Corporation in the State of Delaware at such address is The Corporation Trust Company.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3.</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purpose of the Corporation is to engage in any lawful act or activity for which a corporation may be organized under the DGCL.</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4.</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Section 4.1 </w:t>
      </w:r>
      <w:r>
        <w:rPr>
          <w:rFonts w:ascii="Times New Roman" w:cs="Times New Roman" w:eastAsia="Times New Roman" w:hAnsi="Times New Roman"/>
          <w:sz w:val="20"/>
          <w:szCs w:val="20"/>
          <w:color w:val="auto"/>
        </w:rPr>
        <w:t>The Corporation is authorized to issue two classes of stock to be designated, respectively, “</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Preferred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Stock</w:t>
      </w:r>
      <w:r>
        <w:rPr>
          <w:rFonts w:ascii="Times New Roman" w:cs="Times New Roman" w:eastAsia="Times New Roman" w:hAnsi="Times New Roman"/>
          <w:sz w:val="20"/>
          <w:szCs w:val="20"/>
          <w:color w:val="auto"/>
        </w:rPr>
        <w:t>.” The total number of shares that the Corporation is authorized to issue is 2,070,000,000 shares, of which (A) 2,050,000,000 shares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shall be a class of Common Stock divided into two series with (i) 2,000,000,000 shares of the Common Stock being a series designated as Class A Common Stock, par value $0.00000625 per share (the “</w:t>
      </w:r>
      <w:r>
        <w:rPr>
          <w:rFonts w:ascii="Times New Roman" w:cs="Times New Roman" w:eastAsia="Times New Roman" w:hAnsi="Times New Roman"/>
          <w:sz w:val="20"/>
          <w:szCs w:val="20"/>
          <w:b w:val="1"/>
          <w:bCs w:val="1"/>
          <w:i w:val="1"/>
          <w:iCs w:val="1"/>
          <w:color w:val="auto"/>
        </w:rPr>
        <w:t>Class A Common Stock</w:t>
      </w:r>
      <w:r>
        <w:rPr>
          <w:rFonts w:ascii="Times New Roman" w:cs="Times New Roman" w:eastAsia="Times New Roman" w:hAnsi="Times New Roman"/>
          <w:sz w:val="20"/>
          <w:szCs w:val="20"/>
          <w:color w:val="auto"/>
        </w:rPr>
        <w:t>”) and (ii) 50,000,000 shares of the Common Stock being a series designated as Class B Common Stock, par value</w:t>
      </w:r>
    </w:p>
    <w:p>
      <w:pPr>
        <w:sectPr>
          <w:pgSz w:w="11900" w:h="16838" w:orient="portrait"/>
          <w:cols w:equalWidth="0" w:num="1">
            <w:col w:w="11240"/>
          </w:cols>
          <w:pgMar w:left="320" w:top="117" w:right="339" w:bottom="1440" w:gutter="0" w:footer="0" w:header="0"/>
        </w:sectPr>
      </w:pPr>
    </w:p>
    <w:bookmarkStart w:id="5" w:name="page6"/>
    <w:bookmarkEnd w:id="5"/>
    <w:p>
      <w:pPr>
        <w:jc w:val="both"/>
        <w:spacing w:after="0" w:line="287" w:lineRule="auto"/>
        <w:rPr>
          <w:sz w:val="20"/>
          <w:szCs w:val="20"/>
          <w:color w:val="auto"/>
        </w:rPr>
      </w:pPr>
      <w:r>
        <w:rPr>
          <w:rFonts w:ascii="Times New Roman" w:cs="Times New Roman" w:eastAsia="Times New Roman" w:hAnsi="Times New Roman"/>
          <w:sz w:val="20"/>
          <w:szCs w:val="20"/>
          <w:color w:val="auto"/>
        </w:rPr>
        <w:t>$0.00000625 per share (the “</w:t>
      </w:r>
      <w:r>
        <w:rPr>
          <w:rFonts w:ascii="Times New Roman" w:cs="Times New Roman" w:eastAsia="Times New Roman" w:hAnsi="Times New Roman"/>
          <w:sz w:val="20"/>
          <w:szCs w:val="20"/>
          <w:b w:val="1"/>
          <w:bCs w:val="1"/>
          <w:i w:val="1"/>
          <w:iCs w:val="1"/>
          <w:color w:val="auto"/>
        </w:rPr>
        <w:t>Class B Common Stock</w:t>
      </w:r>
      <w:r>
        <w:rPr>
          <w:rFonts w:ascii="Times New Roman" w:cs="Times New Roman" w:eastAsia="Times New Roman" w:hAnsi="Times New Roman"/>
          <w:sz w:val="20"/>
          <w:szCs w:val="20"/>
          <w:color w:val="auto"/>
        </w:rPr>
        <w:t>”); and (B) 20,000,000 shares shall be a class of Preferred Stock, par value $0.00000625 per share.</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Section 4.2 </w:t>
      </w:r>
      <w:r>
        <w:rPr>
          <w:rFonts w:ascii="Times New Roman" w:cs="Times New Roman" w:eastAsia="Times New Roman" w:hAnsi="Times New Roman"/>
          <w:sz w:val="20"/>
          <w:szCs w:val="20"/>
          <w:color w:val="auto"/>
        </w:rPr>
        <w:t>The Preferred Stock may be issued from time to time in one or more series. The Board of Directors of the Corporation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is hereby expressly authorized to provide for the issue of all or any of the unissued and undesignated shares of the Preferred Stock, in one or more series, and to fix the number of shares of such series and to determine for each such series, such voting powers, full or limited, or no voting powers, and such designations, preferences, and relative, participating, optional, or other rights and such qualifications, limitations, or restrictions thereof, as shall be set forth in a certificate of designation adopted by the Board and filed in accordance with the DGCL.</w:t>
      </w:r>
    </w:p>
    <w:p>
      <w:pPr>
        <w:spacing w:after="0" w:line="1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Section 4.3 </w:t>
      </w:r>
      <w:r>
        <w:rPr>
          <w:rFonts w:ascii="Times New Roman" w:cs="Times New Roman" w:eastAsia="Times New Roman" w:hAnsi="Times New Roman"/>
          <w:sz w:val="20"/>
          <w:szCs w:val="20"/>
          <w:color w:val="auto"/>
        </w:rPr>
        <w:t>Irrespective of the provisions of Section 242(b)(2) of the DGCL, but subject to the terms of any certificate of designation filed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respect to any series of Preferred Stock, the holders of Preferred Stock and Common Stock shall vote together, and not as separate classes, on any amendment to this Certificate of Incorporation (as amended from time to time, the “</w:t>
      </w:r>
      <w:r>
        <w:rPr>
          <w:rFonts w:ascii="Times New Roman" w:cs="Times New Roman" w:eastAsia="Times New Roman" w:hAnsi="Times New Roman"/>
          <w:sz w:val="20"/>
          <w:szCs w:val="20"/>
          <w:b w:val="1"/>
          <w:bCs w:val="1"/>
          <w:i w:val="1"/>
          <w:iCs w:val="1"/>
          <w:color w:val="auto"/>
        </w:rPr>
        <w:t>Certificate of Incorporation</w:t>
      </w:r>
      <w:r>
        <w:rPr>
          <w:rFonts w:ascii="Times New Roman" w:cs="Times New Roman" w:eastAsia="Times New Roman" w:hAnsi="Times New Roman"/>
          <w:sz w:val="20"/>
          <w:szCs w:val="20"/>
          <w:color w:val="auto"/>
        </w:rPr>
        <w:t>”) to increase or decrease the number of authorized shares of Preferred Stock or Common Stock.</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Section 4.4 </w:t>
      </w:r>
      <w:r>
        <w:rPr>
          <w:rFonts w:ascii="Times New Roman" w:cs="Times New Roman" w:eastAsia="Times New Roman" w:hAnsi="Times New Roman"/>
          <w:sz w:val="20"/>
          <w:szCs w:val="20"/>
          <w:color w:val="auto"/>
        </w:rPr>
        <w:t>Except as provided herein or required by applicable law, holders of Common Stock shall not be entitled to vote on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amendment to this Certificate of Incorporation including any certificate of designation filed with respect to any series of Preferred Stock that relates solely to the terms of one or more outstanding series of Preferred Stock if the holders of such affected series of Preferred Stock are entitled, either separately or together as a class with the holders of one or more other affected series of Preferred Stock, to vote thereon pursuant to applicable law or the Certificate of Incorporation (including any certificate of designation filed with respect to any series of Preferred Stock).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5.</w:t>
      </w:r>
    </w:p>
    <w:p>
      <w:pPr>
        <w:spacing w:after="0" w:line="220"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Except as provided above, the designations, powers, preferences, privileges and relative participating, optional, or other rights, and qualifications, limitations, or restrictions of the Class A Common Stock and Class B Common Stock are as follows:</w:t>
      </w:r>
    </w:p>
    <w:p>
      <w:pPr>
        <w:spacing w:after="0" w:line="14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Section 5.1</w:t>
      </w:r>
      <w:r>
        <w:rPr>
          <w:sz w:val="20"/>
          <w:szCs w:val="20"/>
          <w:color w:val="auto"/>
        </w:rPr>
        <w:tab/>
      </w:r>
      <w:r>
        <w:rPr>
          <w:rFonts w:ascii="Times New Roman" w:cs="Times New Roman" w:eastAsia="Times New Roman" w:hAnsi="Times New Roman"/>
          <w:sz w:val="19"/>
          <w:szCs w:val="19"/>
          <w:b w:val="1"/>
          <w:bCs w:val="1"/>
          <w:color w:val="auto"/>
        </w:rPr>
        <w:t>Definitions</w:t>
      </w:r>
      <w:r>
        <w:rPr>
          <w:rFonts w:ascii="Times New Roman" w:cs="Times New Roman" w:eastAsia="Times New Roman" w:hAnsi="Times New Roman"/>
          <w:sz w:val="19"/>
          <w:szCs w:val="19"/>
          <w:color w:val="auto"/>
        </w:rPr>
        <w:t>. For purposes of this Certificate of Incorporation, the following definitions apply;</w:t>
      </w:r>
    </w:p>
    <w:p>
      <w:pPr>
        <w:spacing w:after="0" w:line="229" w:lineRule="exact"/>
        <w:rPr>
          <w:sz w:val="20"/>
          <w:szCs w:val="20"/>
          <w:color w:val="auto"/>
        </w:rPr>
      </w:pPr>
    </w:p>
    <w:p>
      <w:pPr>
        <w:jc w:val="both"/>
        <w:ind w:firstLine="656"/>
        <w:spacing w:after="0" w:line="251" w:lineRule="auto"/>
        <w:tabs>
          <w:tab w:leader="none" w:pos="1062"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Acquisition</w:t>
      </w:r>
      <w:r>
        <w:rPr>
          <w:rFonts w:ascii="Times New Roman" w:cs="Times New Roman" w:eastAsia="Times New Roman" w:hAnsi="Times New Roman"/>
          <w:sz w:val="20"/>
          <w:szCs w:val="20"/>
          <w:color w:val="auto"/>
        </w:rPr>
        <w:t>” means (i) any consolidation or merger of the Corporation with or into any other corporation or other entity or person, or any other corporate reorganization, other than any such consolidation, merger or reorganization in which the shares of capital stock of the Corporation immediately prior to such consolidation, merger or reorganization continue to represent a majority of the voting power of the surviving entity (or, if the surviving entity is a wholly owned subsidiary, its Parent) immediately after such consolidation, merger or reorganization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for the purpose of this Section 5.1.a, all stock, options, warrants, purchase rights or other securities exercisable for or convertible into Common Stock outstanding immediately prior to such merger or consolidation shall be deemed to be outstanding immediately prior to such merger or consolidation and, if applicable, converted or exchanged in such merger or consolidation on the same terms as the actual outstanding shares of capital stock are converted or exchanged); or (ii) any transaction or series of related transactions to which the Corporation is a party in which shares of the Corporation are transferred such that in excess of fifty percent (50%) of the Corporation’s voting power is transferred;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 Acquisition shall not include any transaction or series of transactions principally for bona fide equity financing purposes in which cash is</w:t>
      </w:r>
    </w:p>
    <w:p>
      <w:pPr>
        <w:sectPr>
          <w:pgSz w:w="11900" w:h="16838" w:orient="portrait"/>
          <w:cols w:equalWidth="0" w:num="1">
            <w:col w:w="11240"/>
          </w:cols>
          <w:pgMar w:left="320" w:top="140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color w:val="auto"/>
        </w:rPr>
        <w:t>received by the Corporation or any successor or indebtedness of the Corporation is cancelled or converted or a combination thereof.</w:t>
      </w:r>
    </w:p>
    <w:p>
      <w:pPr>
        <w:spacing w:after="0" w:line="225" w:lineRule="exact"/>
        <w:rPr>
          <w:sz w:val="20"/>
          <w:szCs w:val="20"/>
          <w:color w:val="auto"/>
        </w:rPr>
      </w:pPr>
    </w:p>
    <w:p>
      <w:pPr>
        <w:ind w:right="20" w:firstLine="656"/>
        <w:spacing w:after="0" w:line="273" w:lineRule="auto"/>
        <w:tabs>
          <w:tab w:leader="none" w:pos="1046" w:val="left"/>
        </w:tabs>
        <w:numPr>
          <w:ilvl w:val="1"/>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Asset Transfer</w:t>
      </w:r>
      <w:r>
        <w:rPr>
          <w:rFonts w:ascii="Times New Roman" w:cs="Times New Roman" w:eastAsia="Times New Roman" w:hAnsi="Times New Roman"/>
          <w:sz w:val="20"/>
          <w:szCs w:val="20"/>
          <w:color w:val="auto"/>
        </w:rPr>
        <w:t>” means a sale, lease, exchange, transfer, exclusive license or other disposition of all or substantially all of the assets of the Corporation.</w:t>
      </w:r>
    </w:p>
    <w:p>
      <w:pPr>
        <w:spacing w:after="0" w:line="165" w:lineRule="exact"/>
        <w:rPr>
          <w:rFonts w:ascii="Times New Roman" w:cs="Times New Roman" w:eastAsia="Times New Roman" w:hAnsi="Times New Roman"/>
          <w:sz w:val="20"/>
          <w:szCs w:val="20"/>
          <w:b w:val="1"/>
          <w:bCs w:val="1"/>
          <w:color w:val="auto"/>
        </w:rPr>
      </w:pPr>
    </w:p>
    <w:p>
      <w:pPr>
        <w:ind w:left="1020" w:hanging="364"/>
        <w:spacing w:after="0"/>
        <w:tabs>
          <w:tab w:leader="none" w:pos="1020" w:val="left"/>
        </w:tabs>
        <w:numPr>
          <w:ilvl w:val="1"/>
          <w:numId w:val="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Cause for Termination</w:t>
      </w:r>
      <w:r>
        <w:rPr>
          <w:rFonts w:ascii="Times New Roman" w:cs="Times New Roman" w:eastAsia="Times New Roman" w:hAnsi="Times New Roman"/>
          <w:sz w:val="19"/>
          <w:szCs w:val="19"/>
          <w:color w:val="auto"/>
        </w:rPr>
        <w:t>” means (i) fraud or embezzlement by Cohen in connection with his employment with the Corporation,</w:t>
      </w:r>
    </w:p>
    <w:p>
      <w:pPr>
        <w:spacing w:after="0" w:line="37" w:lineRule="exact"/>
        <w:rPr>
          <w:rFonts w:ascii="Times New Roman" w:cs="Times New Roman" w:eastAsia="Times New Roman" w:hAnsi="Times New Roman"/>
          <w:sz w:val="19"/>
          <w:szCs w:val="19"/>
          <w:b w:val="1"/>
          <w:bCs w:val="1"/>
          <w:color w:val="auto"/>
        </w:rPr>
      </w:pPr>
    </w:p>
    <w:p>
      <w:pPr>
        <w:ind w:left="300" w:hanging="292"/>
        <w:spacing w:after="0"/>
        <w:tabs>
          <w:tab w:leader="none" w:pos="3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willful act of material dishonesty by Cohen in connection with his employment with the Corporation that results in or would reasonably</w:t>
      </w:r>
    </w:p>
    <w:p>
      <w:pPr>
        <w:spacing w:after="0" w:line="1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20"/>
          <w:szCs w:val="20"/>
          <w:color w:val="auto"/>
        </w:rPr>
        <w:t>be expected to result in material loss to the Corporation, or (iii) Cohen’s conviction of, or plea of guilty to, a felony that results in or would reasonably be expected to result in material loss to the Corporation.</w:t>
      </w:r>
    </w:p>
    <w:p>
      <w:pPr>
        <w:spacing w:after="0" w:line="157" w:lineRule="exact"/>
        <w:rPr>
          <w:sz w:val="20"/>
          <w:szCs w:val="20"/>
          <w:color w:val="auto"/>
        </w:rPr>
      </w:pPr>
    </w:p>
    <w:p>
      <w:pPr>
        <w:jc w:val="both"/>
        <w:ind w:firstLine="656"/>
        <w:spacing w:after="0" w:line="250" w:lineRule="auto"/>
        <w:tabs>
          <w:tab w:leader="none" w:pos="1059"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 means, with respect to any Founder, the permanent and total disability of such Founder such that he is unable to engage in any substantial gainful activity by reason of any medically determinable physical or mental impairment which can be expected to result in death within 12 months or which has lasted or can be expected to last for a continuous period of not less than 12 months as determined by a licensed medical practitioner jointly selected by a majority of the Independent Directors and such Founder. If such Founder is incapable of selecting a licensed medical practitioner, then such Founder’s spouse shall make the selection on behalf of such Founder, or, in the absence or incapacity of such Founder’s spouse, such Founder’s adult children by majority vote shall make the selection on behalf of such Founder, or, in the absence of adult children of such Founder or their inability to act by majority vote, a natural person then acting as the successor trustee of a revocable living trust which was created by such Founder and which holds in the aggregate more shares of all classes of capital stock of the Corporation than any other revocable living trust created by such Founder shall make the selection on behalf of such Founder, or, in the absence of any such successor trustee, the legal guardian or conservator of the estate of such Founder shall make the selection on behalf of such Founder. In the event of a dispute as to whether a Founder has suffered a Disability, no Disability of such Founder shall be deemed to have occurred unless and until an affirmative ruling regarding such Disability has been made by a court of competent jurisdiction, and such ruling has become final and non-appealable.</w:t>
      </w:r>
    </w:p>
    <w:p>
      <w:pPr>
        <w:spacing w:after="0" w:line="193" w:lineRule="exact"/>
        <w:rPr>
          <w:rFonts w:ascii="Times New Roman" w:cs="Times New Roman" w:eastAsia="Times New Roman" w:hAnsi="Times New Roman"/>
          <w:sz w:val="20"/>
          <w:szCs w:val="20"/>
          <w:b w:val="1"/>
          <w:bCs w:val="1"/>
          <w:color w:val="auto"/>
        </w:rPr>
      </w:pPr>
    </w:p>
    <w:p>
      <w:pPr>
        <w:ind w:firstLine="656"/>
        <w:spacing w:after="0" w:line="273" w:lineRule="auto"/>
        <w:tabs>
          <w:tab w:leader="none" w:pos="983"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means the date that this Amended and Restated Certificate is accepted for filing by the Secretary of State of the State of Delaware.</w:t>
      </w:r>
    </w:p>
    <w:p>
      <w:pPr>
        <w:spacing w:after="0" w:line="165" w:lineRule="exact"/>
        <w:rPr>
          <w:rFonts w:ascii="Times New Roman" w:cs="Times New Roman" w:eastAsia="Times New Roman" w:hAnsi="Times New Roman"/>
          <w:sz w:val="20"/>
          <w:szCs w:val="20"/>
          <w:b w:val="1"/>
          <w:bCs w:val="1"/>
          <w:color w:val="auto"/>
        </w:rPr>
      </w:pPr>
    </w:p>
    <w:p>
      <w:pPr>
        <w:jc w:val="both"/>
        <w:ind w:firstLine="656"/>
        <w:spacing w:after="0" w:line="263" w:lineRule="auto"/>
        <w:tabs>
          <w:tab w:leader="none" w:pos="1002"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Family Member</w:t>
      </w:r>
      <w:r>
        <w:rPr>
          <w:rFonts w:ascii="Times New Roman" w:cs="Times New Roman" w:eastAsia="Times New Roman" w:hAnsi="Times New Roman"/>
          <w:sz w:val="20"/>
          <w:szCs w:val="20"/>
          <w:color w:val="auto"/>
        </w:rPr>
        <w:t>” means, with respect to any Founder, the spouse, domestic partner, parents, grandparents, lineal descendants, siblings and lineal descendants of siblings of such Founder (including adopted persons, step children, step parents and step siblings of such Founder).</w:t>
      </w:r>
    </w:p>
    <w:p>
      <w:pPr>
        <w:spacing w:after="0" w:line="175" w:lineRule="exact"/>
        <w:rPr>
          <w:rFonts w:ascii="Times New Roman" w:cs="Times New Roman" w:eastAsia="Times New Roman" w:hAnsi="Times New Roman"/>
          <w:sz w:val="20"/>
          <w:szCs w:val="20"/>
          <w:b w:val="1"/>
          <w:bCs w:val="1"/>
          <w:color w:val="auto"/>
        </w:rPr>
      </w:pPr>
    </w:p>
    <w:p>
      <w:pPr>
        <w:ind w:left="1000" w:hanging="344"/>
        <w:spacing w:after="0"/>
        <w:tabs>
          <w:tab w:leader="none" w:pos="100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Final Conversion Date</w:t>
      </w:r>
      <w:r>
        <w:rPr>
          <w:rFonts w:ascii="Times New Roman" w:cs="Times New Roman" w:eastAsia="Times New Roman" w:hAnsi="Times New Roman"/>
          <w:sz w:val="20"/>
          <w:szCs w:val="20"/>
          <w:color w:val="auto"/>
        </w:rPr>
        <w:t>” means the earliest to occur following the Effective Date of:</w:t>
      </w:r>
    </w:p>
    <w:p>
      <w:pPr>
        <w:spacing w:after="0" w:line="219" w:lineRule="exact"/>
        <w:rPr>
          <w:rFonts w:ascii="Times New Roman" w:cs="Times New Roman" w:eastAsia="Times New Roman" w:hAnsi="Times New Roman"/>
          <w:sz w:val="20"/>
          <w:szCs w:val="20"/>
          <w:b w:val="1"/>
          <w:bCs w:val="1"/>
          <w:color w:val="auto"/>
        </w:rPr>
      </w:pPr>
    </w:p>
    <w:p>
      <w:pPr>
        <w:jc w:val="both"/>
        <w:ind w:firstLine="1304"/>
        <w:spacing w:after="0" w:line="257" w:lineRule="auto"/>
        <w:tabs>
          <w:tab w:leader="none" w:pos="1789" w:val="left"/>
        </w:tabs>
        <w:numPr>
          <w:ilvl w:val="1"/>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date fixed by the Board that is no less than 61 days and no more than 180 days following the first time (the “</w:t>
      </w:r>
      <w:r>
        <w:rPr>
          <w:rFonts w:ascii="Times New Roman" w:cs="Times New Roman" w:eastAsia="Times New Roman" w:hAnsi="Times New Roman"/>
          <w:sz w:val="20"/>
          <w:szCs w:val="20"/>
          <w:b w:val="1"/>
          <w:bCs w:val="1"/>
          <w:i w:val="1"/>
          <w:iCs w:val="1"/>
          <w:color w:val="auto"/>
        </w:rPr>
        <w:t>Ownership Trigger Time</w:t>
      </w:r>
      <w:r>
        <w:rPr>
          <w:rFonts w:ascii="Times New Roman" w:cs="Times New Roman" w:eastAsia="Times New Roman" w:hAnsi="Times New Roman"/>
          <w:sz w:val="20"/>
          <w:szCs w:val="20"/>
          <w:color w:val="auto"/>
        </w:rPr>
        <w:t>”) after 11:59 p.m. Eastern Time on the Effective Date that the number of Threshold Shares held by Cohen and his Permitted Entities and Permitted Transferees is less than 20% of the number of shares of Class B Common Stock held by Cohen and his Permitted Entities at 11:59 p.m. Eastern Time on the Effective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for the avoidance of doubt, that if no such date is fixed by the Board, the Final Conversion Date for purposes of this clause shall be the 180th date following the Ownership Trigger Time);</w:t>
      </w:r>
    </w:p>
    <w:p>
      <w:pPr>
        <w:spacing w:after="0" w:line="172" w:lineRule="exact"/>
        <w:rPr>
          <w:rFonts w:ascii="Times New Roman" w:cs="Times New Roman" w:eastAsia="Times New Roman" w:hAnsi="Times New Roman"/>
          <w:sz w:val="20"/>
          <w:szCs w:val="20"/>
          <w:b w:val="1"/>
          <w:bCs w:val="1"/>
          <w:color w:val="auto"/>
        </w:rPr>
      </w:pPr>
    </w:p>
    <w:p>
      <w:pPr>
        <w:ind w:left="1740" w:hanging="436"/>
        <w:spacing w:after="0"/>
        <w:tabs>
          <w:tab w:leader="none" w:pos="1740" w:val="left"/>
        </w:tabs>
        <w:numPr>
          <w:ilvl w:val="1"/>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last Trading Day of the fiscal year following the tenth (10th) anniversary of the Effective Date;</w:t>
      </w:r>
    </w:p>
    <w:p>
      <w:pPr>
        <w:sectPr>
          <w:pgSz w:w="11900" w:h="16838" w:orient="portrait"/>
          <w:cols w:equalWidth="0" w:num="1">
            <w:col w:w="11240"/>
          </w:cols>
          <w:pgMar w:left="320" w:top="1413" w:right="339" w:bottom="1440" w:gutter="0" w:footer="0" w:header="0"/>
        </w:sectPr>
      </w:pPr>
    </w:p>
    <w:bookmarkStart w:id="7" w:name="page8"/>
    <w:bookmarkEnd w:id="7"/>
    <w:p>
      <w:pPr>
        <w:jc w:val="both"/>
        <w:ind w:firstLine="1304"/>
        <w:spacing w:after="0" w:line="253" w:lineRule="auto"/>
        <w:tabs>
          <w:tab w:leader="none" w:pos="1885" w:val="left"/>
        </w:tabs>
        <w:numPr>
          <w:ilvl w:val="1"/>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date fixed by the Board that is no less than 61 days and no more than 180 days following the first time (the “</w:t>
      </w:r>
      <w:r>
        <w:rPr>
          <w:rFonts w:ascii="Times New Roman" w:cs="Times New Roman" w:eastAsia="Times New Roman" w:hAnsi="Times New Roman"/>
          <w:sz w:val="20"/>
          <w:szCs w:val="20"/>
          <w:b w:val="1"/>
          <w:bCs w:val="1"/>
          <w:i w:val="1"/>
          <w:iCs w:val="1"/>
          <w:color w:val="auto"/>
        </w:rPr>
        <w:t>Service Trigger Time</w:t>
      </w:r>
      <w:r>
        <w:rPr>
          <w:rFonts w:ascii="Times New Roman" w:cs="Times New Roman" w:eastAsia="Times New Roman" w:hAnsi="Times New Roman"/>
          <w:sz w:val="20"/>
          <w:szCs w:val="20"/>
          <w:color w:val="auto"/>
        </w:rPr>
        <w:t>”) after 11:59 p.m. Eastern Time on the Effective Date that both (A) Cohen is no longer providing services to the Corporation as an officer or employee, and (B) Cohen is no longer a director of the Corporation as a result of a voluntary resignation by Cohen from the Board or as a result of a request or agreement by Cohen not to be renominated as a director of the Corporation at a meeting of stockholders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for the avoidance of doubt, that if no such date is fixed by the Board, the Final Conversion Date for purposes of this clause shall be the 180th date following the Service Trigger Time);</w:t>
      </w:r>
    </w:p>
    <w:p>
      <w:pPr>
        <w:spacing w:after="0" w:line="192" w:lineRule="exact"/>
        <w:rPr>
          <w:rFonts w:ascii="Times New Roman" w:cs="Times New Roman" w:eastAsia="Times New Roman" w:hAnsi="Times New Roman"/>
          <w:sz w:val="20"/>
          <w:szCs w:val="20"/>
          <w:b w:val="1"/>
          <w:bCs w:val="1"/>
          <w:color w:val="auto"/>
        </w:rPr>
      </w:pPr>
    </w:p>
    <w:p>
      <w:pPr>
        <w:jc w:val="both"/>
        <w:ind w:firstLine="1304"/>
        <w:spacing w:after="0" w:line="254" w:lineRule="auto"/>
        <w:tabs>
          <w:tab w:leader="none" w:pos="1833" w:val="left"/>
        </w:tabs>
        <w:numPr>
          <w:ilvl w:val="1"/>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date fixed by the Board that is no less than 61 days and no more than 180 days following the date that Cohen’s employment with the Corporation is terminated for Cause for Termination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for the avoidance of doubt, that if no such date is fixed by the Board, the Final Conversion Date for purposes of this clause shall be the 180th date following such date of Cohen’s termination of employment with the Corporation pursuant to this Section 5.1.g(iv)); or</w:t>
      </w:r>
    </w:p>
    <w:p>
      <w:pPr>
        <w:spacing w:after="0" w:line="187" w:lineRule="exact"/>
        <w:rPr>
          <w:rFonts w:ascii="Times New Roman" w:cs="Times New Roman" w:eastAsia="Times New Roman" w:hAnsi="Times New Roman"/>
          <w:sz w:val="20"/>
          <w:szCs w:val="20"/>
          <w:b w:val="1"/>
          <w:bCs w:val="1"/>
          <w:color w:val="auto"/>
        </w:rPr>
      </w:pPr>
    </w:p>
    <w:p>
      <w:pPr>
        <w:ind w:left="1740" w:hanging="436"/>
        <w:spacing w:after="0"/>
        <w:tabs>
          <w:tab w:leader="none" w:pos="1740" w:val="left"/>
        </w:tabs>
        <w:numPr>
          <w:ilvl w:val="1"/>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date that is twelve (12) months after the death or Disability of Cohen.</w:t>
      </w:r>
    </w:p>
    <w:p>
      <w:pPr>
        <w:spacing w:after="0" w:line="225" w:lineRule="exact"/>
        <w:rPr>
          <w:rFonts w:ascii="Times New Roman" w:cs="Times New Roman" w:eastAsia="Times New Roman" w:hAnsi="Times New Roman"/>
          <w:sz w:val="20"/>
          <w:szCs w:val="20"/>
          <w:b w:val="1"/>
          <w:bCs w:val="1"/>
          <w:color w:val="auto"/>
        </w:rPr>
      </w:pPr>
    </w:p>
    <w:p>
      <w:pPr>
        <w:ind w:left="1020" w:hanging="364"/>
        <w:spacing w:after="0"/>
        <w:tabs>
          <w:tab w:leader="none" w:pos="102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Founder</w:t>
      </w:r>
      <w:r>
        <w:rPr>
          <w:rFonts w:ascii="Times New Roman" w:cs="Times New Roman" w:eastAsia="Times New Roman" w:hAnsi="Times New Roman"/>
          <w:sz w:val="20"/>
          <w:szCs w:val="20"/>
          <w:color w:val="auto"/>
        </w:rPr>
        <w:t>” means each of Ariel Cohen (“</w:t>
      </w:r>
      <w:r>
        <w:rPr>
          <w:rFonts w:ascii="Times New Roman" w:cs="Times New Roman" w:eastAsia="Times New Roman" w:hAnsi="Times New Roman"/>
          <w:sz w:val="20"/>
          <w:szCs w:val="20"/>
          <w:b w:val="1"/>
          <w:bCs w:val="1"/>
          <w:i w:val="1"/>
          <w:iCs w:val="1"/>
          <w:color w:val="auto"/>
        </w:rPr>
        <w:t>Cohen</w:t>
      </w:r>
      <w:r>
        <w:rPr>
          <w:rFonts w:ascii="Times New Roman" w:cs="Times New Roman" w:eastAsia="Times New Roman" w:hAnsi="Times New Roman"/>
          <w:sz w:val="20"/>
          <w:szCs w:val="20"/>
          <w:color w:val="auto"/>
        </w:rPr>
        <w:t>”) and Ilan Twig (“</w:t>
      </w:r>
      <w:r>
        <w:rPr>
          <w:rFonts w:ascii="Times New Roman" w:cs="Times New Roman" w:eastAsia="Times New Roman" w:hAnsi="Times New Roman"/>
          <w:sz w:val="20"/>
          <w:szCs w:val="20"/>
          <w:b w:val="1"/>
          <w:bCs w:val="1"/>
          <w:i w:val="1"/>
          <w:iCs w:val="1"/>
          <w:color w:val="auto"/>
        </w:rPr>
        <w:t>Twig</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jc w:val="both"/>
        <w:ind w:firstLine="656"/>
        <w:spacing w:after="0" w:line="263" w:lineRule="auto"/>
        <w:tabs>
          <w:tab w:leader="none" w:pos="1045"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Founder Voting Proxies</w:t>
      </w:r>
      <w:r>
        <w:rPr>
          <w:rFonts w:ascii="Times New Roman" w:cs="Times New Roman" w:eastAsia="Times New Roman" w:hAnsi="Times New Roman"/>
          <w:sz w:val="20"/>
          <w:szCs w:val="20"/>
          <w:color w:val="auto"/>
        </w:rPr>
        <w:t>” means the voting proxies from, and executed by, Twig and his Permitted Entities and Permitted Transferees in favor of Cohen to be in effect as of the Effective Date, as such may be amended from time to time, and which shall become effective only upon the occurrence of a Triggering Event.</w:t>
      </w:r>
    </w:p>
    <w:p>
      <w:pPr>
        <w:spacing w:after="0" w:line="175" w:lineRule="exact"/>
        <w:rPr>
          <w:rFonts w:ascii="Times New Roman" w:cs="Times New Roman" w:eastAsia="Times New Roman" w:hAnsi="Times New Roman"/>
          <w:sz w:val="20"/>
          <w:szCs w:val="20"/>
          <w:b w:val="1"/>
          <w:bCs w:val="1"/>
          <w:color w:val="auto"/>
        </w:rPr>
      </w:pPr>
    </w:p>
    <w:p>
      <w:pPr>
        <w:ind w:left="1020" w:hanging="364"/>
        <w:spacing w:after="0"/>
        <w:tabs>
          <w:tab w:leader="none" w:pos="102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Independent Directors</w:t>
      </w:r>
      <w:r>
        <w:rPr>
          <w:rFonts w:ascii="Times New Roman" w:cs="Times New Roman" w:eastAsia="Times New Roman" w:hAnsi="Times New Roman"/>
          <w:sz w:val="20"/>
          <w:szCs w:val="20"/>
          <w:color w:val="auto"/>
        </w:rPr>
        <w:t>” means the members of the Board designated as independent directors in accordance with the Listing</w:t>
      </w:r>
    </w:p>
    <w:p>
      <w:pPr>
        <w:spacing w:after="0" w:line="32"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Standards.</w:t>
      </w:r>
    </w:p>
    <w:p>
      <w:pPr>
        <w:spacing w:after="0" w:line="196" w:lineRule="exact"/>
        <w:rPr>
          <w:rFonts w:ascii="Times New Roman" w:cs="Times New Roman" w:eastAsia="Times New Roman" w:hAnsi="Times New Roman"/>
          <w:sz w:val="20"/>
          <w:szCs w:val="20"/>
          <w:b w:val="1"/>
          <w:bCs w:val="1"/>
          <w:color w:val="auto"/>
        </w:rPr>
      </w:pPr>
    </w:p>
    <w:p>
      <w:pPr>
        <w:ind w:firstLine="656"/>
        <w:spacing w:after="0" w:line="287" w:lineRule="auto"/>
        <w:tabs>
          <w:tab w:leader="none" w:pos="1019"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Liquidation Event</w:t>
      </w:r>
      <w:r>
        <w:rPr>
          <w:rFonts w:ascii="Times New Roman" w:cs="Times New Roman" w:eastAsia="Times New Roman" w:hAnsi="Times New Roman"/>
          <w:sz w:val="20"/>
          <w:szCs w:val="20"/>
          <w:color w:val="auto"/>
        </w:rPr>
        <w:t>” means any liquidation, dissolution, or winding up of the Corporation, whether voluntary or involuntary, or any Acquisition or Asset Transfer.</w:t>
      </w:r>
    </w:p>
    <w:p>
      <w:pPr>
        <w:spacing w:after="0" w:line="138" w:lineRule="exact"/>
        <w:rPr>
          <w:rFonts w:ascii="Times New Roman" w:cs="Times New Roman" w:eastAsia="Times New Roman" w:hAnsi="Times New Roman"/>
          <w:sz w:val="20"/>
          <w:szCs w:val="20"/>
          <w:b w:val="1"/>
          <w:bCs w:val="1"/>
          <w:color w:val="auto"/>
        </w:rPr>
      </w:pPr>
    </w:p>
    <w:p>
      <w:pPr>
        <w:jc w:val="both"/>
        <w:ind w:firstLine="656"/>
        <w:spacing w:after="0" w:line="260" w:lineRule="auto"/>
        <w:tabs>
          <w:tab w:leader="none" w:pos="977"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Listing Standards</w:t>
      </w:r>
      <w:r>
        <w:rPr>
          <w:rFonts w:ascii="Times New Roman" w:cs="Times New Roman" w:eastAsia="Times New Roman" w:hAnsi="Times New Roman"/>
          <w:sz w:val="20"/>
          <w:szCs w:val="20"/>
          <w:color w:val="auto"/>
        </w:rPr>
        <w:t>” means (i) the requirements of any national stock exchange under which the Corporation’s equity securities are listed for trading that are generally applicable to companies with common equity securities listed thereon or (ii) if the Corporation’s equity securities are not listed for trading on a national stock exchange, the requirements of the Nasdaq Global Select Market generally applicable to companies with equity securities listed thereon.</w:t>
      </w:r>
    </w:p>
    <w:p>
      <w:pPr>
        <w:spacing w:after="0" w:line="177" w:lineRule="exact"/>
        <w:rPr>
          <w:rFonts w:ascii="Times New Roman" w:cs="Times New Roman" w:eastAsia="Times New Roman" w:hAnsi="Times New Roman"/>
          <w:sz w:val="20"/>
          <w:szCs w:val="20"/>
          <w:b w:val="1"/>
          <w:bCs w:val="1"/>
          <w:color w:val="auto"/>
        </w:rPr>
      </w:pPr>
    </w:p>
    <w:p>
      <w:pPr>
        <w:ind w:firstLine="656"/>
        <w:spacing w:after="0" w:line="273" w:lineRule="auto"/>
        <w:tabs>
          <w:tab w:leader="none" w:pos="1087"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Parent</w:t>
      </w:r>
      <w:r>
        <w:rPr>
          <w:rFonts w:ascii="Times New Roman" w:cs="Times New Roman" w:eastAsia="Times New Roman" w:hAnsi="Times New Roman"/>
          <w:sz w:val="20"/>
          <w:szCs w:val="20"/>
          <w:color w:val="auto"/>
        </w:rPr>
        <w:t>” of an entity means any entity that directly or indirectly owns or controls a majority of the voting power of the voting securities of such entity.</w:t>
      </w:r>
    </w:p>
    <w:p>
      <w:pPr>
        <w:spacing w:after="0" w:line="165" w:lineRule="exact"/>
        <w:rPr>
          <w:rFonts w:ascii="Times New Roman" w:cs="Times New Roman" w:eastAsia="Times New Roman" w:hAnsi="Times New Roman"/>
          <w:sz w:val="20"/>
          <w:szCs w:val="20"/>
          <w:b w:val="1"/>
          <w:bCs w:val="1"/>
          <w:color w:val="auto"/>
        </w:rPr>
      </w:pPr>
    </w:p>
    <w:p>
      <w:pPr>
        <w:jc w:val="both"/>
        <w:ind w:firstLine="656"/>
        <w:spacing w:after="0" w:line="252" w:lineRule="auto"/>
        <w:tabs>
          <w:tab w:leader="none" w:pos="1046"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Entity</w:t>
      </w:r>
      <w:r>
        <w:rPr>
          <w:rFonts w:ascii="Times New Roman" w:cs="Times New Roman" w:eastAsia="Times New Roman" w:hAnsi="Times New Roman"/>
          <w:sz w:val="20"/>
          <w:szCs w:val="20"/>
          <w:color w:val="auto"/>
        </w:rPr>
        <w:t>” means, with respect to any Founder, (i) any trust for the exclusive benefit of such Founder or one or more Family Members of such Founder or any other Permitted Entity of such Founder, (ii) any general partnership, limited liability company, corporation or other entity exclusively owned by such Founder, one or more Family Members of such Founder or any other Permitted Entity of such Founder, (iii) any charitable organization, foundation or similar entity established by a Founder, one or more Family Members of such Founder or any other Permitted Entity of such Founder, and (iv) any Individual Retirement Account, as defined in Section 408(a) of the Internal Revenue Code, or a pension, profit sharing, stock bonus or other type of plan or trust of which such Founder is a participant or beneficiary and which satisfies the requirements for qualification under Section 401 of the Internal Revenue Code.</w:t>
      </w:r>
    </w:p>
    <w:p>
      <w:pPr>
        <w:sectPr>
          <w:pgSz w:w="11900" w:h="16838" w:orient="portrait"/>
          <w:cols w:equalWidth="0" w:num="1">
            <w:col w:w="11240"/>
          </w:cols>
          <w:pgMar w:left="320" w:top="1413" w:right="339" w:bottom="1440" w:gutter="0" w:footer="0" w:header="0"/>
        </w:sectPr>
      </w:pPr>
    </w:p>
    <w:bookmarkStart w:id="8" w:name="page9"/>
    <w:bookmarkEnd w:id="8"/>
    <w:p>
      <w:pPr>
        <w:jc w:val="both"/>
        <w:ind w:left="-656" w:firstLine="656"/>
        <w:spacing w:after="0" w:line="262" w:lineRule="auto"/>
        <w:tabs>
          <w:tab w:leader="none" w:pos="352" w:val="left"/>
        </w:tabs>
        <w:numPr>
          <w:ilvl w:val="0"/>
          <w:numId w:val="1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Permitted Transfer</w:t>
      </w:r>
      <w:r>
        <w:rPr>
          <w:rFonts w:ascii="Times New Roman" w:cs="Times New Roman" w:eastAsia="Times New Roman" w:hAnsi="Times New Roman"/>
          <w:sz w:val="19"/>
          <w:szCs w:val="19"/>
          <w:color w:val="auto"/>
        </w:rPr>
        <w:t xml:space="preserve">” means (i) any Transfer of a share of Class B Common Stock from a Founder, from a Founder’s Permitted Entities, or from a Founder’s Permitted Transferees, to any Founder, to any Family Member of any Founder, to the estate of any Founder or Family Member of a Founder, or to any Permitted Entity of any Founder;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the transferee is Twig, a Permitted Entity or Family Member of Twig, or the estate of Twig or a Family Member of Twig, then such Transfer shall qualify as a Permitted Transfer only if (a) Cohen shall have exclusive Voting Control with respect to such share of Class B Common Stock, including through a voting proxy in favor of Cohen, following such Transfer, or (b) (1) Twig shall have exclusive Voting Control with respect to such share of Class B Common Stock, including through a voting proxy in favor of Twig, following such Transfer, and (2) such share of Class B Common Stock shall be subject to a Founder Voting Proxy or a substantially similar voting proxy in favor of Cohen following such Transfer (it being understood that, in the case of any Transfer under this clause (i), such voting proxy may be executed promptly following (and in no event later than 10 days after) such Transfer); and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if the transferee is a Permitted Entity or Family Member of Cohen, or the estate of Cohen or a Family Member of Cohen, then such Transfer shall qualify as a Permitted Transfer only if Cohen shall have exclusive Voting Control with respect to such share of Class B Common Stock, including through a voting proxy in favor of Cohen, following such Transfer, and (ii) any Transfer of a share of Class B Common Stock from a holder to such holder’s affiliates with the prior written approval of the Board, which Transfer does not otherwise qualify as a Permitted Transfer pursuant to clause (i) above;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the transferee of such share of Class B Common Stock is not Cohen, then such Transfer shall qualify as a Permitted Transfer only if Cohen shall have exclusive Voting Control with respect to such share of Class B Common Stock, including through a voting proxy in favor of Cohen, following such Transfer (it being understood that any such voting proxy may be executed promptly following (and in no event later than 10 days after) such Transfer). Notwithstanding anything to the contrary in this Section 5.1.o, in the event that Cohen does not have exclusive Voting Control with respect to a share of Class B Common Stock following any Transfer described in this Section 5.1.o, including through a voting proxy in favor of Cohen, or such share is not subject to a Founder Voting Proxy in favor of Cohen following such Transfer (within the time periods permitted in this Section 5.1.o), each such share of Class B Common Stock purported to be transferred shall automatically, and with no further action by the holder or the Corporation, convert into one fully paid and non-assessable share of Class A Common Stock.</w:t>
      </w:r>
    </w:p>
    <w:p>
      <w:pPr>
        <w:spacing w:after="0" w:line="200" w:lineRule="exact"/>
        <w:rPr>
          <w:rFonts w:ascii="Times New Roman" w:cs="Times New Roman" w:eastAsia="Times New Roman" w:hAnsi="Times New Roman"/>
          <w:sz w:val="19"/>
          <w:szCs w:val="19"/>
          <w:b w:val="1"/>
          <w:bCs w:val="1"/>
          <w:color w:val="auto"/>
        </w:rPr>
      </w:pPr>
    </w:p>
    <w:p>
      <w:pPr>
        <w:spacing w:after="0" w:line="231" w:lineRule="exact"/>
        <w:rPr>
          <w:rFonts w:ascii="Times New Roman" w:cs="Times New Roman" w:eastAsia="Times New Roman" w:hAnsi="Times New Roman"/>
          <w:sz w:val="19"/>
          <w:szCs w:val="19"/>
          <w:b w:val="1"/>
          <w:bCs w:val="1"/>
          <w:color w:val="auto"/>
        </w:rPr>
      </w:pPr>
    </w:p>
    <w:p>
      <w:pPr>
        <w:ind w:left="-656" w:firstLine="656"/>
        <w:spacing w:after="0" w:line="287" w:lineRule="auto"/>
        <w:tabs>
          <w:tab w:leader="none" w:pos="43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Transferee</w:t>
      </w:r>
      <w:r>
        <w:rPr>
          <w:rFonts w:ascii="Times New Roman" w:cs="Times New Roman" w:eastAsia="Times New Roman" w:hAnsi="Times New Roman"/>
          <w:sz w:val="20"/>
          <w:szCs w:val="20"/>
          <w:color w:val="auto"/>
        </w:rPr>
        <w:t>” means a transferee of shares of Class B Common Stock, or rights or interests therein, received in a Transfer that constitutes a Permitted Transfer.</w:t>
      </w:r>
    </w:p>
    <w:p>
      <w:pPr>
        <w:spacing w:after="0" w:line="138" w:lineRule="exact"/>
        <w:rPr>
          <w:rFonts w:ascii="Times New Roman" w:cs="Times New Roman" w:eastAsia="Times New Roman" w:hAnsi="Times New Roman"/>
          <w:sz w:val="20"/>
          <w:szCs w:val="20"/>
          <w:b w:val="1"/>
          <w:bCs w:val="1"/>
          <w:color w:val="auto"/>
        </w:rPr>
      </w:pPr>
    </w:p>
    <w:p>
      <w:pPr>
        <w:jc w:val="both"/>
        <w:ind w:left="-656" w:firstLine="656"/>
        <w:spacing w:after="0" w:line="258" w:lineRule="auto"/>
        <w:tabs>
          <w:tab w:leader="none" w:pos="349"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Threshold Shares</w:t>
      </w:r>
      <w:r>
        <w:rPr>
          <w:rFonts w:ascii="Times New Roman" w:cs="Times New Roman" w:eastAsia="Times New Roman" w:hAnsi="Times New Roman"/>
          <w:sz w:val="20"/>
          <w:szCs w:val="20"/>
          <w:color w:val="auto"/>
        </w:rPr>
        <w:t>” means, with respect to any person as of any time, the sum of (without duplication): (i) any shares of Class B Common Stock held by such person as of such time and (ii) any shares of Class B Common Stock underlying any securities (including restricted stock units, options, or other convertible instruments) held by such person as of such time, so long as such securities were also held by such person at the Effective Date, whether such securities are vested or unvested, earned or unearned, convertible into or exchangeable or exercisable as of such time or in the future.</w:t>
      </w:r>
    </w:p>
    <w:p>
      <w:pPr>
        <w:spacing w:after="0" w:line="167" w:lineRule="exact"/>
        <w:rPr>
          <w:rFonts w:ascii="Times New Roman" w:cs="Times New Roman" w:eastAsia="Times New Roman" w:hAnsi="Times New Roman"/>
          <w:sz w:val="20"/>
          <w:szCs w:val="20"/>
          <w:b w:val="1"/>
          <w:bCs w:val="1"/>
          <w:color w:val="auto"/>
        </w:rPr>
      </w:pPr>
    </w:p>
    <w:p>
      <w:pPr>
        <w:ind w:left="364" w:hanging="364"/>
        <w:spacing w:after="0"/>
        <w:tabs>
          <w:tab w:leader="none" w:pos="364"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Trading Day</w:t>
      </w:r>
      <w:r>
        <w:rPr>
          <w:rFonts w:ascii="Times New Roman" w:cs="Times New Roman" w:eastAsia="Times New Roman" w:hAnsi="Times New Roman"/>
          <w:sz w:val="20"/>
          <w:szCs w:val="20"/>
          <w:color w:val="auto"/>
        </w:rPr>
        <w:t>” means any day on which The Nasdaq Stock Market and the New York Stock Exchange are open for trading.</w:t>
      </w:r>
    </w:p>
    <w:p>
      <w:pPr>
        <w:spacing w:after="0" w:line="229" w:lineRule="exact"/>
        <w:rPr>
          <w:rFonts w:ascii="Times New Roman" w:cs="Times New Roman" w:eastAsia="Times New Roman" w:hAnsi="Times New Roman"/>
          <w:sz w:val="20"/>
          <w:szCs w:val="20"/>
          <w:b w:val="1"/>
          <w:bCs w:val="1"/>
          <w:color w:val="auto"/>
        </w:rPr>
      </w:pPr>
    </w:p>
    <w:p>
      <w:pPr>
        <w:jc w:val="both"/>
        <w:ind w:left="-656" w:firstLine="656"/>
        <w:spacing w:after="0" w:line="260" w:lineRule="auto"/>
        <w:tabs>
          <w:tab w:leader="none" w:pos="411"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Transfer</w:t>
      </w:r>
      <w:r>
        <w:rPr>
          <w:rFonts w:ascii="Times New Roman" w:cs="Times New Roman" w:eastAsia="Times New Roman" w:hAnsi="Times New Roman"/>
          <w:sz w:val="20"/>
          <w:szCs w:val="20"/>
          <w:color w:val="auto"/>
        </w:rPr>
        <w:t>” of a share of Class B Common Stock means any sale, assignment, transfer, conveyance, hypothecation or other disposition of such share or any legal or beneficial interest in such share, whether or not for value and whether voluntary or involuntary or by operation of law (including by merger, consolidation or otherwise) after 11:59 p.m. Eastern Time on the Effective Date, or the transfer of, or entering into a binding agreement with respect to the transfer of, Voting Control (as defined below)</w:t>
      </w:r>
    </w:p>
    <w:p>
      <w:pPr>
        <w:sectPr>
          <w:pgSz w:w="11900" w:h="16838" w:orient="portrait"/>
          <w:cols w:equalWidth="0" w:num="1">
            <w:col w:w="10584"/>
          </w:cols>
          <w:pgMar w:left="976" w:top="140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color w:val="auto"/>
        </w:rPr>
        <w:t>over such share by proxy or otherwise. Notwithstanding the foregoing, the following will not be considered a “</w:t>
      </w:r>
      <w:r>
        <w:rPr>
          <w:rFonts w:ascii="Times New Roman" w:cs="Times New Roman" w:eastAsia="Times New Roman" w:hAnsi="Times New Roman"/>
          <w:sz w:val="20"/>
          <w:szCs w:val="20"/>
          <w:b w:val="1"/>
          <w:bCs w:val="1"/>
          <w:i w:val="1"/>
          <w:iCs w:val="1"/>
          <w:color w:val="auto"/>
        </w:rPr>
        <w:t>Transfer</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1304"/>
        <w:spacing w:after="0" w:line="253" w:lineRule="auto"/>
        <w:tabs>
          <w:tab w:leader="none" w:pos="1694"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grant by any holder of shares of Class B Common Stock of a revocable proxy to (A) officers or directors or agents of the Corporation at the request of the Board in connection with (1) actions to be taken at an annual or special meeting of stockholders or by stockholder consent or (2) any other action of the stockholders permitted by this Amended and Restated Certificate, or (B) any other person with specific direction to vote such shares of Class B Common Stock as directed by the holders of such shares, without discretion, in connection with actions to be taken at an annual meeting or special meeting of stockholders or by stockholder consent;</w:t>
      </w:r>
    </w:p>
    <w:p>
      <w:pPr>
        <w:spacing w:after="0" w:line="191" w:lineRule="exact"/>
        <w:rPr>
          <w:rFonts w:ascii="Times New Roman" w:cs="Times New Roman" w:eastAsia="Times New Roman" w:hAnsi="Times New Roman"/>
          <w:sz w:val="20"/>
          <w:szCs w:val="20"/>
          <w:b w:val="1"/>
          <w:bCs w:val="1"/>
          <w:color w:val="auto"/>
        </w:rPr>
      </w:pPr>
    </w:p>
    <w:p>
      <w:pPr>
        <w:jc w:val="both"/>
        <w:ind w:firstLine="1304"/>
        <w:spacing w:after="0" w:line="253" w:lineRule="auto"/>
        <w:tabs>
          <w:tab w:leader="none" w:pos="1789"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any pledge of shares of Class B Common Stock by a stockholder that creates a mere security interest in such shares pursuant to a bona fide loan or indebtedness transaction for so long as such stockholder continues to exercise Voting Control over such pledged shares or has granted a proxy to Cohen to exercise Voting Control over such pledged shares;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a foreclosure on such shares or other similar action by the pledgee will constitute a “Transfer” unless such foreclosure or similar action qualifies as a “Permitted Transfer” at such time;</w:t>
      </w:r>
    </w:p>
    <w:p>
      <w:pPr>
        <w:spacing w:after="0" w:line="191" w:lineRule="exact"/>
        <w:rPr>
          <w:rFonts w:ascii="Times New Roman" w:cs="Times New Roman" w:eastAsia="Times New Roman" w:hAnsi="Times New Roman"/>
          <w:sz w:val="20"/>
          <w:szCs w:val="20"/>
          <w:b w:val="1"/>
          <w:bCs w:val="1"/>
          <w:color w:val="auto"/>
        </w:rPr>
      </w:pPr>
    </w:p>
    <w:p>
      <w:pPr>
        <w:ind w:firstLine="1304"/>
        <w:spacing w:after="0" w:line="269" w:lineRule="auto"/>
        <w:tabs>
          <w:tab w:leader="none" w:pos="1844"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grant of a proxy to, or the exercise of Voting Control by, the Secretary of the Corporation or such other person pursuant to Section 5.5;</w:t>
      </w:r>
    </w:p>
    <w:p>
      <w:pPr>
        <w:spacing w:after="0" w:line="172" w:lineRule="exact"/>
        <w:rPr>
          <w:rFonts w:ascii="Times New Roman" w:cs="Times New Roman" w:eastAsia="Times New Roman" w:hAnsi="Times New Roman"/>
          <w:sz w:val="20"/>
          <w:szCs w:val="20"/>
          <w:b w:val="1"/>
          <w:bCs w:val="1"/>
          <w:color w:val="auto"/>
        </w:rPr>
      </w:pPr>
    </w:p>
    <w:p>
      <w:pPr>
        <w:jc w:val="both"/>
        <w:ind w:firstLine="1304"/>
        <w:spacing w:after="0" w:line="253" w:lineRule="auto"/>
        <w:tabs>
          <w:tab w:leader="none" w:pos="1847"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entering into a voting trust, agreement or arrangement (with or without granting a proxy and, if a proxy is granted, whether a revocable or irrevocable proxy) solely with stockholders who are holders of Class B Common Stock that (A) is disclosed either in a Schedule 13D filed with the Securities and Exchange Commission or in writing to the Secretary of the Company, (B) either has a term not exceeding one (1) year or is terminable by the holder of the shares subject thereto at any time and (C) does not involve any payment of cash, securities, property or other consideration to the holder of the shares subject thereto other than the mutual promise to vote shares in a designated manner;</w:t>
      </w:r>
    </w:p>
    <w:p>
      <w:pPr>
        <w:spacing w:after="0" w:line="178" w:lineRule="exact"/>
        <w:rPr>
          <w:rFonts w:ascii="Times New Roman" w:cs="Times New Roman" w:eastAsia="Times New Roman" w:hAnsi="Times New Roman"/>
          <w:sz w:val="20"/>
          <w:szCs w:val="20"/>
          <w:b w:val="1"/>
          <w:bCs w:val="1"/>
          <w:color w:val="auto"/>
        </w:rPr>
      </w:pPr>
    </w:p>
    <w:p>
      <w:pPr>
        <w:jc w:val="both"/>
        <w:ind w:firstLine="1304"/>
        <w:spacing w:after="0" w:line="261" w:lineRule="auto"/>
        <w:tabs>
          <w:tab w:leader="none" w:pos="1792"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entering into a voting trust, agreement or arrangement (with or without granting a proxy and, if a proxy is granted, whether a revocable or irrevocable proxy) pursuant to a written agreement to which the Company is a party or that has been approved by the Board;</w:t>
      </w:r>
    </w:p>
    <w:p>
      <w:pPr>
        <w:spacing w:after="0" w:line="181" w:lineRule="exact"/>
        <w:rPr>
          <w:rFonts w:ascii="Times New Roman" w:cs="Times New Roman" w:eastAsia="Times New Roman" w:hAnsi="Times New Roman"/>
          <w:sz w:val="20"/>
          <w:szCs w:val="20"/>
          <w:b w:val="1"/>
          <w:bCs w:val="1"/>
          <w:color w:val="auto"/>
        </w:rPr>
      </w:pPr>
    </w:p>
    <w:p>
      <w:pPr>
        <w:jc w:val="both"/>
        <w:ind w:firstLine="1304"/>
        <w:spacing w:after="0" w:line="261" w:lineRule="auto"/>
        <w:tabs>
          <w:tab w:leader="none" w:pos="1806"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any entry into a trading plan pursuant to Rule 10b5-1 under the Securities Exchange Act of 1934, as amended, with a broker or other nominee;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however, that a sale of such shares of Class B Common Stock pursuant to such plan shall constitute a “Transfer” at the time of such sale;</w:t>
      </w:r>
    </w:p>
    <w:p>
      <w:pPr>
        <w:spacing w:after="0" w:line="181" w:lineRule="exact"/>
        <w:rPr>
          <w:rFonts w:ascii="Times New Roman" w:cs="Times New Roman" w:eastAsia="Times New Roman" w:hAnsi="Times New Roman"/>
          <w:sz w:val="20"/>
          <w:szCs w:val="20"/>
          <w:b w:val="1"/>
          <w:bCs w:val="1"/>
          <w:color w:val="auto"/>
        </w:rPr>
      </w:pPr>
    </w:p>
    <w:p>
      <w:pPr>
        <w:jc w:val="both"/>
        <w:ind w:firstLine="1304"/>
        <w:spacing w:after="0" w:line="252" w:lineRule="auto"/>
        <w:tabs>
          <w:tab w:leader="none" w:pos="1929"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any entry by Cohen (or, if requested by Cohen, entry by any holder of shares of Class B Common Stock) into a support, voting, tender or similar agreement, arrangement or understanding (with or without granting a proxy) in connection with a Liquidation Event or consummating the actions or transactions contemplated therein (including, without limitation, tendering shares of Class B Common Stock or voting such shares in connection with a Liquidation Event, the consummation of a Liquidation Event or the sale, assignment, transfer, conveyance, hypothecation or other disposition of shares of Class B Common Stock or any legal or beneficial interest in shares of Class B Common Stock in connection with a Liquidation Event);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any sale, tender, assignment, transfer, conveyance, hypothecation or other disposition of Class B Common Stock or any legal or economic interest therein by Cohen or such other holder pursuant to a Liquidation Event, or any grant of a proxy over Class B Common Stock by Cohen or such other holder with respect to a Liquidation Event</w:t>
      </w:r>
    </w:p>
    <w:p>
      <w:pPr>
        <w:sectPr>
          <w:pgSz w:w="11900" w:h="16838" w:orient="portrait"/>
          <w:cols w:equalWidth="0" w:num="1">
            <w:col w:w="11240"/>
          </w:cols>
          <w:pgMar w:left="320" w:top="1409" w:right="339" w:bottom="1440" w:gutter="0" w:footer="0" w:header="0"/>
        </w:sectPr>
      </w:pPr>
    </w:p>
    <w:bookmarkStart w:id="10" w:name="page11"/>
    <w:bookmarkEnd w:id="10"/>
    <w:p>
      <w:pPr>
        <w:spacing w:after="0" w:line="287" w:lineRule="auto"/>
        <w:rPr>
          <w:sz w:val="20"/>
          <w:szCs w:val="20"/>
          <w:color w:val="auto"/>
        </w:rPr>
      </w:pPr>
      <w:r>
        <w:rPr>
          <w:rFonts w:ascii="Times New Roman" w:cs="Times New Roman" w:eastAsia="Times New Roman" w:hAnsi="Times New Roman"/>
          <w:sz w:val="20"/>
          <w:szCs w:val="20"/>
          <w:color w:val="auto"/>
        </w:rPr>
        <w:t>without specific instructions as to how to vote such Class B Common Stock, in each case, will constitute a “</w:t>
      </w:r>
      <w:r>
        <w:rPr>
          <w:rFonts w:ascii="Times New Roman" w:cs="Times New Roman" w:eastAsia="Times New Roman" w:hAnsi="Times New Roman"/>
          <w:sz w:val="20"/>
          <w:szCs w:val="20"/>
          <w:b w:val="1"/>
          <w:bCs w:val="1"/>
          <w:i w:val="1"/>
          <w:iCs w:val="1"/>
          <w:color w:val="auto"/>
        </w:rPr>
        <w:t>Transfer</w:t>
      </w:r>
      <w:r>
        <w:rPr>
          <w:rFonts w:ascii="Times New Roman" w:cs="Times New Roman" w:eastAsia="Times New Roman" w:hAnsi="Times New Roman"/>
          <w:sz w:val="20"/>
          <w:szCs w:val="20"/>
          <w:color w:val="auto"/>
        </w:rPr>
        <w:t>” of such Class B Common Stock unless such Liquidation Event was approved by the Board prior to the taking of such action;</w:t>
      </w:r>
    </w:p>
    <w:p>
      <w:pPr>
        <w:spacing w:after="0" w:line="142" w:lineRule="exact"/>
        <w:rPr>
          <w:sz w:val="20"/>
          <w:szCs w:val="20"/>
          <w:color w:val="auto"/>
        </w:rPr>
      </w:pPr>
    </w:p>
    <w:p>
      <w:pPr>
        <w:ind w:firstLine="1304"/>
        <w:spacing w:after="0" w:line="283" w:lineRule="auto"/>
        <w:tabs>
          <w:tab w:leader="none" w:pos="1916" w:val="left"/>
        </w:tabs>
        <w:numPr>
          <w:ilvl w:val="1"/>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issuance or reissuance by the Corporation of a share of Class B Common Stock or any redemption, purchase or acquisition by the Corporation of a share of Class B Common Stock; and</w:t>
      </w:r>
    </w:p>
    <w:p>
      <w:pPr>
        <w:spacing w:after="0" w:line="146" w:lineRule="exact"/>
        <w:rPr>
          <w:rFonts w:ascii="Times New Roman" w:cs="Times New Roman" w:eastAsia="Times New Roman" w:hAnsi="Times New Roman"/>
          <w:sz w:val="20"/>
          <w:szCs w:val="20"/>
          <w:b w:val="1"/>
          <w:bCs w:val="1"/>
          <w:color w:val="auto"/>
        </w:rPr>
      </w:pPr>
    </w:p>
    <w:p>
      <w:pPr>
        <w:jc w:val="both"/>
        <w:ind w:firstLine="1304"/>
        <w:spacing w:after="0" w:line="274" w:lineRule="auto"/>
        <w:tabs>
          <w:tab w:leader="none" w:pos="1847" w:val="left"/>
        </w:tabs>
        <w:numPr>
          <w:ilvl w:val="1"/>
          <w:numId w:val="1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 xml:space="preserve">the fact that, as of the Effective Time or at any time after the Effective Time, the spouse of any holder of Class B Common Stock possesses or obtains an interest in such holder’s shares of Class B Common Stock arising solely by reason of the application of the community property laws of any jurisdiction;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any transfer of shares by any holder of shares of Class B Common Stock to such holder’s spouse, including a transfer in connection with a divorce proceeding, domestic relations order or similar legal requirement, shall constitute a “Transfer” of such shares of Class B Common Stock unless otherwise exempt from the definition of Transfer.</w:t>
      </w:r>
    </w:p>
    <w:p>
      <w:pPr>
        <w:spacing w:after="0" w:line="152" w:lineRule="exact"/>
        <w:rPr>
          <w:rFonts w:ascii="Times New Roman" w:cs="Times New Roman" w:eastAsia="Times New Roman" w:hAnsi="Times New Roman"/>
          <w:sz w:val="19"/>
          <w:szCs w:val="19"/>
          <w:b w:val="1"/>
          <w:bCs w:val="1"/>
          <w:color w:val="auto"/>
        </w:rPr>
      </w:pPr>
    </w:p>
    <w:p>
      <w:pPr>
        <w:ind w:firstLine="656"/>
        <w:spacing w:after="0" w:line="287" w:lineRule="auto"/>
        <w:tabs>
          <w:tab w:leader="none" w:pos="961"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Voting Control</w:t>
      </w:r>
      <w:r>
        <w:rPr>
          <w:rFonts w:ascii="Times New Roman" w:cs="Times New Roman" w:eastAsia="Times New Roman" w:hAnsi="Times New Roman"/>
          <w:sz w:val="20"/>
          <w:szCs w:val="20"/>
          <w:color w:val="auto"/>
        </w:rPr>
        <w:t>” means, with respect to a share of capital stock or other security, the power (whether exclusive or shared) to vote or direct the voting of such security, including by proxy, voting agreement or otherwise.</w:t>
      </w:r>
    </w:p>
    <w:p>
      <w:pPr>
        <w:spacing w:after="0" w:line="1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color w:val="auto"/>
        </w:rPr>
        <w:t>Section 5.2 Identical Rights</w:t>
      </w:r>
      <w:r>
        <w:rPr>
          <w:rFonts w:ascii="Times New Roman" w:cs="Times New Roman" w:eastAsia="Times New Roman" w:hAnsi="Times New Roman"/>
          <w:sz w:val="20"/>
          <w:szCs w:val="20"/>
          <w:color w:val="auto"/>
        </w:rPr>
        <w:t>. Except as otherwise provided in this Amended and Restated Certificate or required by applicable law,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Common Stock shall have the same rights and powers, rank equally (including as to dividends and distributions, and any liquidation, dissolution or winding up of the Corporation but excluding voting and other matters as described in Section 5.3 below), share ratably and be identical in all respects as to all matters, including:</w:t>
      </w:r>
    </w:p>
    <w:p>
      <w:pPr>
        <w:spacing w:after="0" w:line="188" w:lineRule="exact"/>
        <w:rPr>
          <w:sz w:val="20"/>
          <w:szCs w:val="20"/>
          <w:color w:val="auto"/>
        </w:rPr>
      </w:pPr>
    </w:p>
    <w:p>
      <w:pPr>
        <w:jc w:val="both"/>
        <w:ind w:firstLine="656"/>
        <w:spacing w:after="0" w:line="253" w:lineRule="auto"/>
        <w:tabs>
          <w:tab w:leader="none" w:pos="1008"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to the prior rights of holders of all classes and series of stock at the time outstanding having prior rights as to dividends, the holders of the Common Stock shall be entitled to receive, when, as and if declared by the Board, out of any assets of the Corporation legally available therefor, such dividends as may be declared from time to time by the Board. Any dividends paid to the holders of shares of Common Stock shall be paid pro rata, on an equal priority, pari passu basis, unless different treatment of the shares of any such series thereof is approved by the affirmative vote of the holders of a majority of the voting power of the outstanding shares of such applicable series of Common Stock treated adversely, voting separately as a series.</w:t>
      </w:r>
    </w:p>
    <w:p>
      <w:pPr>
        <w:spacing w:after="0" w:line="178" w:lineRule="exact"/>
        <w:rPr>
          <w:rFonts w:ascii="Times New Roman" w:cs="Times New Roman" w:eastAsia="Times New Roman" w:hAnsi="Times New Roman"/>
          <w:sz w:val="20"/>
          <w:szCs w:val="20"/>
          <w:b w:val="1"/>
          <w:bCs w:val="1"/>
          <w:color w:val="auto"/>
        </w:rPr>
      </w:pPr>
    </w:p>
    <w:p>
      <w:pPr>
        <w:jc w:val="both"/>
        <w:ind w:firstLine="656"/>
        <w:spacing w:after="0" w:line="250" w:lineRule="auto"/>
        <w:tabs>
          <w:tab w:leader="none" w:pos="1005"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The Corporation shall not declare or pay any dividend or make any other distribution to the holders of Common Stock payable in securities of the Corporation unless the same dividend or distribution with the same record date and payment date shall be declared and paid on all shares of Common Stock;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however, that (i) dividends or other distributions payable in shares of Class A Common Stock or rights to acquire shares of Class A Common Stock may be declared and paid to the holders of Class A Common Stock without the same dividend or distribution being declared and paid to the holders of the Class B Common Stock if, and only if, a dividend payable in shares of Class B Common Stock, or rights to acquire shares of Class B Common Stock, are declared and paid to the holders of Class B Common Stock at the same rate and with the same record date and payment date; and (ii) dividends or other distributions payable in shares of Class B Common Stock or rights to acquire shares Class B Common Stock may be declared and paid to the holders of Class B Common Stock without the same dividend or distribution being declared and paid to the holders of the Class A Common Stock if, and only if, a dividend payable in shares of Class A Common Stock, or rights to acquire shares of Class A Common Stock, are declared and paid to the holders of Class A Common Stock at the same</w:t>
      </w:r>
    </w:p>
    <w:p>
      <w:pPr>
        <w:sectPr>
          <w:pgSz w:w="11900" w:h="16838" w:orient="portrait"/>
          <w:cols w:equalWidth="0" w:num="1">
            <w:col w:w="11240"/>
          </w:cols>
          <w:pgMar w:left="320" w:top="1409" w:right="339" w:bottom="1440" w:gutter="0" w:footer="0" w:header="0"/>
        </w:sectPr>
      </w:pPr>
    </w:p>
    <w:bookmarkStart w:id="11" w:name="page12"/>
    <w:bookmarkEnd w:id="11"/>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rate and with the same record date and payment date; 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nothing in the foregoing shall prevent the Corporation from declaring and paying dividends or other distributions payable in shares of one series of Common Stock or rights to acquire one series of Common Stock to holders of all series of Common Stock, or, with the approval of holders of a majority of the outstanding shares of each of the Class A Common Stock and Class B Common Stock, each voting separately as a series, from providing for different treatment of the shares of Class A Common Stock and Class B Common Stock.</w:t>
      </w:r>
    </w:p>
    <w:p>
      <w:pPr>
        <w:spacing w:after="0" w:line="191" w:lineRule="exact"/>
        <w:rPr>
          <w:sz w:val="20"/>
          <w:szCs w:val="20"/>
          <w:color w:val="auto"/>
        </w:rPr>
      </w:pPr>
    </w:p>
    <w:p>
      <w:pPr>
        <w:jc w:val="both"/>
        <w:ind w:firstLine="656"/>
        <w:spacing w:after="0" w:line="253" w:lineRule="auto"/>
        <w:tabs>
          <w:tab w:leader="none" w:pos="996" w:val="left"/>
        </w:tabs>
        <w:numPr>
          <w:ilvl w:val="0"/>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Corporation in any manner subdivides or combines the outstanding shares of Class A Common Stock or Class B Common Stock, then the outstanding shares (and shares held as treasury stock) of all Common Stock will be subdivided or combined in the same proportion and manner, unless different treatment of the shares of Class A Common Stock and Class B Common Stock is approved by the affirmative vote of the holders of a majority of the outstanding shares of each of the Class A Common Stock and Class B Common Stock, each voting separately as a series.</w:t>
      </w:r>
    </w:p>
    <w:p>
      <w:pPr>
        <w:spacing w:after="0" w:line="18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Section 5.3</w:t>
      </w:r>
      <w:r>
        <w:rPr>
          <w:sz w:val="20"/>
          <w:szCs w:val="20"/>
          <w:color w:val="auto"/>
        </w:rPr>
        <w:tab/>
      </w:r>
      <w:r>
        <w:rPr>
          <w:rFonts w:ascii="Times New Roman" w:cs="Times New Roman" w:eastAsia="Times New Roman" w:hAnsi="Times New Roman"/>
          <w:sz w:val="19"/>
          <w:szCs w:val="19"/>
          <w:b w:val="1"/>
          <w:bCs w:val="1"/>
          <w:color w:val="auto"/>
        </w:rPr>
        <w:t>Voting Rights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000" w:hanging="344"/>
        <w:spacing w:after="0"/>
        <w:tabs>
          <w:tab w:leader="none" w:pos="1000" w:val="left"/>
        </w:tabs>
        <w:numPr>
          <w:ilvl w:val="0"/>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Common Stock</w:t>
      </w:r>
    </w:p>
    <w:p>
      <w:pPr>
        <w:spacing w:after="0" w:line="215" w:lineRule="exact"/>
        <w:rPr>
          <w:rFonts w:ascii="Times New Roman" w:cs="Times New Roman" w:eastAsia="Times New Roman" w:hAnsi="Times New Roman"/>
          <w:sz w:val="20"/>
          <w:szCs w:val="20"/>
          <w:b w:val="1"/>
          <w:bCs w:val="1"/>
          <w:color w:val="auto"/>
        </w:rPr>
      </w:pPr>
    </w:p>
    <w:p>
      <w:pPr>
        <w:jc w:val="both"/>
        <w:ind w:firstLine="1304"/>
        <w:spacing w:after="0" w:line="261" w:lineRule="auto"/>
        <w:tabs>
          <w:tab w:leader="none" w:pos="1735" w:val="left"/>
        </w:tabs>
        <w:numPr>
          <w:ilvl w:val="1"/>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Class A Common Stock</w:t>
      </w:r>
      <w:r>
        <w:rPr>
          <w:rFonts w:ascii="Times New Roman" w:cs="Times New Roman" w:eastAsia="Times New Roman" w:hAnsi="Times New Roman"/>
          <w:sz w:val="20"/>
          <w:szCs w:val="20"/>
          <w:color w:val="auto"/>
        </w:rPr>
        <w:t>. Except as otherwise expressly provided herein or required by applicable law, each holder of shares of Class A Common Stock will be entitled to one (1) vote for each share thereof held at the record date for the determination of the stockholders entitled to vote on such matters.</w:t>
      </w:r>
    </w:p>
    <w:p>
      <w:pPr>
        <w:spacing w:after="0" w:line="181" w:lineRule="exact"/>
        <w:rPr>
          <w:rFonts w:ascii="Times New Roman" w:cs="Times New Roman" w:eastAsia="Times New Roman" w:hAnsi="Times New Roman"/>
          <w:sz w:val="20"/>
          <w:szCs w:val="20"/>
          <w:b w:val="1"/>
          <w:bCs w:val="1"/>
          <w:color w:val="auto"/>
        </w:rPr>
      </w:pPr>
    </w:p>
    <w:p>
      <w:pPr>
        <w:jc w:val="both"/>
        <w:ind w:firstLine="1304"/>
        <w:spacing w:after="0" w:line="261" w:lineRule="auto"/>
        <w:tabs>
          <w:tab w:leader="none" w:pos="1789" w:val="left"/>
        </w:tabs>
        <w:numPr>
          <w:ilvl w:val="1"/>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Class B Common Stock</w:t>
      </w:r>
      <w:r>
        <w:rPr>
          <w:rFonts w:ascii="Times New Roman" w:cs="Times New Roman" w:eastAsia="Times New Roman" w:hAnsi="Times New Roman"/>
          <w:sz w:val="20"/>
          <w:szCs w:val="20"/>
          <w:color w:val="auto"/>
        </w:rPr>
        <w:t>. Except as otherwise expressly provided herein or required by appliable law, each holder of shares of Class B Common Stock will be entitled to thirty (30) votes for each share thereof held at the record date for the determination of the stockholders entitled to vote on such matters.</w:t>
      </w:r>
    </w:p>
    <w:p>
      <w:pPr>
        <w:spacing w:after="0" w:line="181" w:lineRule="exact"/>
        <w:rPr>
          <w:rFonts w:ascii="Times New Roman" w:cs="Times New Roman" w:eastAsia="Times New Roman" w:hAnsi="Times New Roman"/>
          <w:sz w:val="20"/>
          <w:szCs w:val="20"/>
          <w:b w:val="1"/>
          <w:bCs w:val="1"/>
          <w:color w:val="auto"/>
        </w:rPr>
      </w:pPr>
    </w:p>
    <w:p>
      <w:pPr>
        <w:jc w:val="both"/>
        <w:ind w:firstLine="656"/>
        <w:spacing w:after="0" w:line="251" w:lineRule="auto"/>
        <w:tabs>
          <w:tab w:leader="none" w:pos="1032" w:val="left"/>
        </w:tabs>
        <w:numPr>
          <w:ilvl w:val="0"/>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Except as otherwise expressly provided herein or as required by law, the holders of Class A Common Stock and Class B Common Stock will vote together and not as separate series. Except as otherwise required by applicable law, holders of Common Stock shall not be entitled to vote on any amendment to the Certificate of Incorporation (including any certificate of designation filed with respect to any series of Preferred Stock) that relates solely to the terms of one or more outstanding series of Preferred Stock if the holders of such affected series of Preferred Stock are entitled, either separately or together as a class with the holders of one or more other affected series of Preferred Stock, to vote thereon pursuant to applicable law or the Certificate of Incorporation (including any certificate of designation filed with respect to any series of Preferred Stock)</w:t>
      </w:r>
    </w:p>
    <w:p>
      <w:pPr>
        <w:spacing w:after="0" w:line="192" w:lineRule="exact"/>
        <w:rPr>
          <w:rFonts w:ascii="Times New Roman" w:cs="Times New Roman" w:eastAsia="Times New Roman" w:hAnsi="Times New Roman"/>
          <w:sz w:val="20"/>
          <w:szCs w:val="20"/>
          <w:b w:val="1"/>
          <w:bCs w:val="1"/>
          <w:color w:val="auto"/>
        </w:rPr>
      </w:pPr>
    </w:p>
    <w:p>
      <w:pPr>
        <w:jc w:val="both"/>
        <w:ind w:firstLine="656"/>
        <w:spacing w:after="0" w:line="253" w:lineRule="auto"/>
        <w:tabs>
          <w:tab w:leader="none" w:pos="1064" w:val="left"/>
        </w:tabs>
        <w:numPr>
          <w:ilvl w:val="0"/>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Election of Directors</w:t>
      </w:r>
      <w:r>
        <w:rPr>
          <w:rFonts w:ascii="Times New Roman" w:cs="Times New Roman" w:eastAsia="Times New Roman" w:hAnsi="Times New Roman"/>
          <w:sz w:val="20"/>
          <w:szCs w:val="20"/>
          <w:color w:val="auto"/>
        </w:rPr>
        <w:t>. Subject to any rights of the holders of any series of Preferred Stock to elect directors under specified circumstances, prior to the Final Conversion Date, the holders of Class A Common Stock and Class B Common Stock, voting together as a single class, shall be entitled to elect and remove all directors of the Corporation. Upon and following the Final Conversion Date, subject to any rights of the holders of any series of Preferred Stock to elect directors under specified circumstances, the holders of Class A Common Stock shall be entitled to elect and remove all directors of the Corporation.</w:t>
      </w:r>
    </w:p>
    <w:p>
      <w:pPr>
        <w:spacing w:after="0" w:line="18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Section 5.4 Liquidation Rights</w:t>
      </w:r>
      <w:r>
        <w:rPr>
          <w:rFonts w:ascii="Times New Roman" w:cs="Times New Roman" w:eastAsia="Times New Roman" w:hAnsi="Times New Roman"/>
          <w:sz w:val="20"/>
          <w:szCs w:val="20"/>
          <w:color w:val="auto"/>
        </w:rPr>
        <w:t>. In the event of a Liquidation Event in connection with which the Board has determined to effect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distribution of assets of the Corporation to any holder or holders of Common Stock, then, subject to the rights of any Preferred Stock that may then be outstanding, the assets of the Corporation legally available for distribution to stockholders shall be distributed on an equal</w:t>
      </w:r>
    </w:p>
    <w:p>
      <w:pPr>
        <w:sectPr>
          <w:pgSz w:w="11900" w:h="16838" w:orient="portrait"/>
          <w:cols w:equalWidth="0" w:num="1">
            <w:col w:w="11240"/>
          </w:cols>
          <w:pgMar w:left="320" w:top="1409" w:right="339" w:bottom="1440" w:gutter="0" w:footer="0" w:header="0"/>
        </w:sectPr>
      </w:pPr>
    </w:p>
    <w:bookmarkStart w:id="12" w:name="page13"/>
    <w:bookmarkEnd w:id="12"/>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priority, pro rata basis to the holders of Common Stock, unless different treatment of the shares of each series thereof is approved by the affirmative vote of the holders of a majority of the outstanding shares of Class A Common Stock and Class B Common Stock, each voting separately as a series;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however, that for the avoidance of doubt, consideration to be paid or received by a holder of Common Stock in connection with any Liquidation Event pursuant to any employment, consulting, severance or similar services arrangement shall not be deemed to be a “distribution to stockholders” for the purpose of this Section 5.4;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holders of shares of a series of Common Stock may receive, or have the right to elect to receive, different or disproportionate consideration in connection with any such consolidation, merger or other transaction if the only difference in the per share consideration to the holders of the Class A Common Stock and Class B Common Stock is that any securities distributed to the holder of a share of Class B Common Stock have thirty (30) times the voting power of any securities distributed to the holder of a share of Class A Common Stock.</w:t>
      </w:r>
    </w:p>
    <w:p>
      <w:pPr>
        <w:spacing w:after="0" w:line="1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Section 5.5 Conversion of the Class B Common Stock</w:t>
      </w:r>
      <w:r>
        <w:rPr>
          <w:rFonts w:ascii="Times New Roman" w:cs="Times New Roman" w:eastAsia="Times New Roman" w:hAnsi="Times New Roman"/>
          <w:sz w:val="20"/>
          <w:szCs w:val="20"/>
          <w:color w:val="auto"/>
        </w:rPr>
        <w:t>. The Class B Common Stock will be convertible into Class A Common Stock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follows:</w:t>
      </w:r>
    </w:p>
    <w:p>
      <w:pPr>
        <w:spacing w:after="0" w:line="156" w:lineRule="exact"/>
        <w:rPr>
          <w:sz w:val="20"/>
          <w:szCs w:val="20"/>
          <w:color w:val="auto"/>
        </w:rPr>
      </w:pPr>
    </w:p>
    <w:p>
      <w:pPr>
        <w:jc w:val="both"/>
        <w:ind w:firstLine="656"/>
        <w:spacing w:after="0" w:line="253" w:lineRule="auto"/>
        <w:tabs>
          <w:tab w:leader="none" w:pos="1116"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Each share of Class B Common Stock will automatically convert into one fully paid and nonassessable share of Class A Common Stock on the Final Conversion Date. During the period commencing on the death or Disability of Cohen and ending on the 12-month anniversary of such death or Disability, a person designated by Cohen and approved by the Board (or, if there is no such person, then the Secretary of the Corporation in office from time to time) shall exercise Voting Control over all outstanding shares of Class B Common Stock.</w:t>
      </w:r>
    </w:p>
    <w:p>
      <w:pPr>
        <w:spacing w:after="0" w:line="191" w:lineRule="exact"/>
        <w:rPr>
          <w:rFonts w:ascii="Times New Roman" w:cs="Times New Roman" w:eastAsia="Times New Roman" w:hAnsi="Times New Roman"/>
          <w:sz w:val="20"/>
          <w:szCs w:val="20"/>
          <w:b w:val="1"/>
          <w:bCs w:val="1"/>
          <w:color w:val="auto"/>
        </w:rPr>
      </w:pPr>
    </w:p>
    <w:p>
      <w:pPr>
        <w:ind w:firstLine="656"/>
        <w:spacing w:after="0" w:line="269" w:lineRule="auto"/>
        <w:tabs>
          <w:tab w:leader="none" w:pos="1140"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With respect to any holder of Class B Common Stock, each share of Class B Common Stock held by such holder will automatically be converted into one fully paid and nonassessable share of Class A Common Stock, as follows:</w:t>
      </w:r>
    </w:p>
    <w:p>
      <w:pPr>
        <w:spacing w:after="0" w:line="172" w:lineRule="exact"/>
        <w:rPr>
          <w:rFonts w:ascii="Times New Roman" w:cs="Times New Roman" w:eastAsia="Times New Roman" w:hAnsi="Times New Roman"/>
          <w:sz w:val="20"/>
          <w:szCs w:val="20"/>
          <w:b w:val="1"/>
          <w:bCs w:val="1"/>
          <w:color w:val="auto"/>
        </w:rPr>
      </w:pPr>
    </w:p>
    <w:p>
      <w:pPr>
        <w:jc w:val="both"/>
        <w:ind w:firstLine="1304"/>
        <w:spacing w:after="0" w:line="261" w:lineRule="auto"/>
        <w:tabs>
          <w:tab w:leader="none" w:pos="1681" w:val="left"/>
        </w:tabs>
        <w:numPr>
          <w:ilvl w:val="1"/>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on the affirmative written election of such holder to convert such share of Class B Common Stock or, if later, at the time or the happening of a future event specified in such written election (which election may be revoked by such holder prior to the date on which the automatic conversion would otherwise occur unless otherwise specified by such holder); or</w:t>
      </w:r>
    </w:p>
    <w:p>
      <w:pPr>
        <w:spacing w:after="0" w:line="167" w:lineRule="exact"/>
        <w:rPr>
          <w:rFonts w:ascii="Times New Roman" w:cs="Times New Roman" w:eastAsia="Times New Roman" w:hAnsi="Times New Roman"/>
          <w:sz w:val="20"/>
          <w:szCs w:val="20"/>
          <w:b w:val="1"/>
          <w:bCs w:val="1"/>
          <w:color w:val="auto"/>
        </w:rPr>
      </w:pPr>
    </w:p>
    <w:p>
      <w:pPr>
        <w:ind w:left="1760" w:hanging="456"/>
        <w:spacing w:after="0"/>
        <w:tabs>
          <w:tab w:leader="none" w:pos="1760" w:val="left"/>
        </w:tabs>
        <w:numPr>
          <w:ilvl w:val="1"/>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on the occurrence of a Transfer of such share of Class B Common Stock to any person or entity that is not a Permitted</w:t>
      </w:r>
    </w:p>
    <w:p>
      <w:pPr>
        <w:spacing w:after="0" w:line="28"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Transferee.</w:t>
      </w:r>
    </w:p>
    <w:p>
      <w:pPr>
        <w:spacing w:after="0" w:line="213" w:lineRule="exact"/>
        <w:rPr>
          <w:rFonts w:ascii="Times New Roman" w:cs="Times New Roman" w:eastAsia="Times New Roman" w:hAnsi="Times New Roman"/>
          <w:sz w:val="20"/>
          <w:szCs w:val="20"/>
          <w:b w:val="1"/>
          <w:bCs w:val="1"/>
          <w:color w:val="auto"/>
        </w:rPr>
      </w:pPr>
    </w:p>
    <w:p>
      <w:pPr>
        <w:jc w:val="both"/>
        <w:ind w:firstLine="656"/>
        <w:spacing w:after="0" w:line="261" w:lineRule="auto"/>
        <w:tabs>
          <w:tab w:leader="none" w:pos="1010"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With respect to shares of Class B Common Stock held by Twig, his Permitted Entities, or his Permitted Transferees, each share of Class B Common Stock held by such holders will automatically be converted into one fully paid and nonassessable share of Class A Common Stock upon the occurrence of either of the following (each such event, a “</w:t>
      </w:r>
      <w:r>
        <w:rPr>
          <w:rFonts w:ascii="Times New Roman" w:cs="Times New Roman" w:eastAsia="Times New Roman" w:hAnsi="Times New Roman"/>
          <w:sz w:val="20"/>
          <w:szCs w:val="20"/>
          <w:b w:val="1"/>
          <w:bCs w:val="1"/>
          <w:i w:val="1"/>
          <w:iCs w:val="1"/>
          <w:color w:val="auto"/>
        </w:rPr>
        <w:t>Triggering Event</w:t>
      </w:r>
      <w:r>
        <w:rPr>
          <w:rFonts w:ascii="Times New Roman" w:cs="Times New Roman" w:eastAsia="Times New Roman" w:hAnsi="Times New Roman"/>
          <w:sz w:val="20"/>
          <w:szCs w:val="20"/>
          <w:color w:val="auto"/>
        </w:rPr>
        <w:t>”):</w:t>
      </w:r>
    </w:p>
    <w:p>
      <w:pPr>
        <w:spacing w:after="0" w:line="167" w:lineRule="exact"/>
        <w:rPr>
          <w:rFonts w:ascii="Times New Roman" w:cs="Times New Roman" w:eastAsia="Times New Roman" w:hAnsi="Times New Roman"/>
          <w:sz w:val="20"/>
          <w:szCs w:val="20"/>
          <w:b w:val="1"/>
          <w:bCs w:val="1"/>
          <w:color w:val="auto"/>
        </w:rPr>
      </w:pPr>
    </w:p>
    <w:p>
      <w:pPr>
        <w:ind w:left="1680" w:hanging="376"/>
        <w:spacing w:after="0"/>
        <w:tabs>
          <w:tab w:leader="none" w:pos="1680" w:val="left"/>
        </w:tabs>
        <w:numPr>
          <w:ilvl w:val="1"/>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upon Twig’s death or Disability; or</w:t>
      </w:r>
    </w:p>
    <w:p>
      <w:pPr>
        <w:spacing w:after="0" w:line="229" w:lineRule="exact"/>
        <w:rPr>
          <w:rFonts w:ascii="Times New Roman" w:cs="Times New Roman" w:eastAsia="Times New Roman" w:hAnsi="Times New Roman"/>
          <w:sz w:val="20"/>
          <w:szCs w:val="20"/>
          <w:b w:val="1"/>
          <w:bCs w:val="1"/>
          <w:color w:val="auto"/>
        </w:rPr>
      </w:pPr>
    </w:p>
    <w:p>
      <w:pPr>
        <w:ind w:left="1740" w:hanging="436"/>
        <w:spacing w:after="0"/>
        <w:tabs>
          <w:tab w:leader="none" w:pos="1740" w:val="left"/>
        </w:tabs>
        <w:numPr>
          <w:ilvl w:val="1"/>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upon the date that Twig is no longer providing services to the Corporation as an officer, employee, or director,</w:t>
      </w:r>
    </w:p>
    <w:p>
      <w:pPr>
        <w:spacing w:after="0" w:line="225"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provided, however, </w:t>
      </w:r>
      <w:r>
        <w:rPr>
          <w:rFonts w:ascii="Times New Roman" w:cs="Times New Roman" w:eastAsia="Times New Roman" w:hAnsi="Times New Roman"/>
          <w:sz w:val="20"/>
          <w:szCs w:val="20"/>
          <w:color w:val="auto"/>
        </w:rPr>
        <w:t>that in either case, such conversion shall not occur so long as such shares are subject to the Founder Voting Proxy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a substantially similar voting proxy whereby Cohen is granted exclusive Voting Control upon the occurrence of the Triggering Event.</w:t>
      </w:r>
    </w:p>
    <w:p>
      <w:pPr>
        <w:sectPr>
          <w:pgSz w:w="11900" w:h="16838" w:orient="portrait"/>
          <w:cols w:equalWidth="0" w:num="1">
            <w:col w:w="11240"/>
          </w:cols>
          <w:pgMar w:left="320" w:top="1413" w:right="339" w:bottom="1440" w:gutter="0" w:footer="0" w:header="0"/>
        </w:sectPr>
      </w:pPr>
    </w:p>
    <w:bookmarkStart w:id="13" w:name="page14"/>
    <w:bookmarkEnd w:id="13"/>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Section 5.6 Procedures</w:t>
      </w:r>
      <w:r>
        <w:rPr>
          <w:rFonts w:ascii="Times New Roman" w:cs="Times New Roman" w:eastAsia="Times New Roman" w:hAnsi="Times New Roman"/>
          <w:sz w:val="20"/>
          <w:szCs w:val="20"/>
          <w:color w:val="auto"/>
        </w:rPr>
        <w:t>. The Corporation may, from time to time, establish such policies and procedures relating to the conversion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Class B Common Stock to Class A Common Stock and the general administration of this multi-class stock structure, including the issuance of stock certificates with respect thereto, as it may deem necessary or advisable, and may from time to time request that holders of shares of Class B Common Stock furnish certifications, affidavits or other proof to the Corporation as it deems necessary to verify the ownership of Class B Common Stock and to confirm that a conversion to Class A Common Stock has not occurred. A determination by the Corporation as to whether or not a Transfer has occurred and results in a conversion to Class A Common Stock shall be conclusive and binding.</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color w:val="auto"/>
        </w:rPr>
        <w:t>Section 5.7 Immediate Effect</w:t>
      </w:r>
      <w:r>
        <w:rPr>
          <w:rFonts w:ascii="Times New Roman" w:cs="Times New Roman" w:eastAsia="Times New Roman" w:hAnsi="Times New Roman"/>
          <w:sz w:val="20"/>
          <w:szCs w:val="20"/>
          <w:color w:val="auto"/>
        </w:rPr>
        <w:t>. In the event of and upon a conversion of shares of Class B Common Stock to shares of Class A Common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pursuant to Section 5.5, such conversion(s) shall be deemed to have been made (a) at the time that the Transfer of shares, death, Disability, or Triggering Event occurred, (b) on the date of the delivery of the written election of a holder of such shares of Class B Common Stock pursuant to Section 5.5b(i) (unless otherwise specified therein, in which case, such conversion(s) shall be deemed to have been made at the time or the happening of a future event specified therein, unless otherwise revoked prior thereto in accordance with Section 5.5b(i)) or (c) immediately upon the Final Conversion Date, as applicable, subject in all cases to any transition periods specifically provided for in this Amended and Restated Certificate. Upon any conversion of Class B Common Stock to Class A Common Stock in accordance with this Amended and Restated Certificate, all rights of the holder of shares of Class B Common Stock shall cease and the person or persons in whose names or names the certificate or certificates representing the shares of Class A Common Stock are to be issued shall be treated for all purposes as having become the record holder or holders of such shares of Class A Common Stock.</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color w:val="auto"/>
        </w:rPr>
        <w:t>Section 5.8 Reservation of Stock Issuable Upon Conversion</w:t>
      </w:r>
      <w:r>
        <w:rPr>
          <w:rFonts w:ascii="Times New Roman" w:cs="Times New Roman" w:eastAsia="Times New Roman" w:hAnsi="Times New Roman"/>
          <w:sz w:val="20"/>
          <w:szCs w:val="20"/>
          <w:color w:val="auto"/>
        </w:rPr>
        <w:t>. The Corporation will at all times reserve and keep available out of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authorized but unissued shares of Class A Common Stock, solely for the purpose of effecting the conversion of the shares of the Class B Common Stock, such number of its shares of Class A Common Stock as shall from time to time be sufficient to effect the conversion of all outstanding shares of Class B Common Stock; and if at any time the number of authorized but unissued shares of Class A Common Stock will not be sufficient to effect the conversion of all then-outstanding shares of Class B Common Stock, the Corporation will take such corporate action as may, in the opinion of its counsel, be necessary to increase its authorized but unissued shares of Class A Common Stock to such number of shares as will be sufficient for such purpose.</w:t>
      </w:r>
    </w:p>
    <w:p>
      <w:pPr>
        <w:spacing w:after="0" w:line="1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Section 5.9 Preemptive Rights</w:t>
      </w:r>
      <w:r>
        <w:rPr>
          <w:rFonts w:ascii="Times New Roman" w:cs="Times New Roman" w:eastAsia="Times New Roman" w:hAnsi="Times New Roman"/>
          <w:sz w:val="20"/>
          <w:szCs w:val="20"/>
          <w:color w:val="auto"/>
        </w:rPr>
        <w:t>. No stockholder of the Corporation shall have a right to purchase shares of capital stock of the Corporation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sold or issued by the Corporation except to the extent that such a right may from time to time be set forth in a written agreement between the Corporation and a stockholder.</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Section 5.10 Class B Protective Provisions</w:t>
      </w:r>
      <w:r>
        <w:rPr>
          <w:rFonts w:ascii="Times New Roman" w:cs="Times New Roman" w:eastAsia="Times New Roman" w:hAnsi="Times New Roman"/>
          <w:sz w:val="20"/>
          <w:szCs w:val="20"/>
          <w:color w:val="auto"/>
        </w:rPr>
        <w:t>. After 11:59 p.m. Eastern Time on the Effective Date, and prior to the Final Conversion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Corporation shall not, without the prior affirmative vote (either at a meeting or by written consent) of the holders of two-thirds of the outstanding shares of Class B Common Stock, voting as a separate series, in addition to any other vote required by applicable law or this Amended and Restated Certificate:</w:t>
      </w:r>
    </w:p>
    <w:p>
      <w:pPr>
        <w:spacing w:after="0" w:line="182" w:lineRule="exact"/>
        <w:rPr>
          <w:sz w:val="20"/>
          <w:szCs w:val="20"/>
          <w:color w:val="auto"/>
        </w:rPr>
      </w:pPr>
    </w:p>
    <w:p>
      <w:pPr>
        <w:jc w:val="both"/>
        <w:ind w:firstLine="656"/>
        <w:spacing w:after="0" w:line="261" w:lineRule="auto"/>
        <w:tabs>
          <w:tab w:leader="none" w:pos="1035"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directly or indirectly, whether by amendment, or through merger, recapitalization, consolidation or otherwise, amend or repeal, or adopt any provision of this Amended and Restated Certificate inconsistent with, or otherwise alter, any provision of this Amended and Restated Certificate</w:t>
      </w:r>
    </w:p>
    <w:p>
      <w:pPr>
        <w:sectPr>
          <w:pgSz w:w="11900" w:h="16838" w:orient="portrait"/>
          <w:cols w:equalWidth="0" w:num="1">
            <w:col w:w="11240"/>
          </w:cols>
          <w:pgMar w:left="320" w:top="1409" w:right="339" w:bottom="1440" w:gutter="0" w:footer="0" w:header="0"/>
        </w:sectPr>
      </w:pPr>
    </w:p>
    <w:bookmarkStart w:id="14" w:name="page15"/>
    <w:bookmarkEnd w:id="14"/>
    <w:p>
      <w:pPr>
        <w:ind w:right="20"/>
        <w:spacing w:after="0" w:line="283" w:lineRule="auto"/>
        <w:rPr>
          <w:sz w:val="20"/>
          <w:szCs w:val="20"/>
          <w:color w:val="auto"/>
        </w:rPr>
      </w:pPr>
      <w:r>
        <w:rPr>
          <w:rFonts w:ascii="Times New Roman" w:cs="Times New Roman" w:eastAsia="Times New Roman" w:hAnsi="Times New Roman"/>
          <w:sz w:val="20"/>
          <w:szCs w:val="20"/>
          <w:color w:val="auto"/>
        </w:rPr>
        <w:t>relating to the voting, conversion or other rights, powers, preferences, privileges or restrictions of the Class B Common Stock or increase or decrease the number of authorized Shares of the Class B Common Stock;</w:t>
      </w:r>
    </w:p>
    <w:p>
      <w:pPr>
        <w:spacing w:after="0" w:line="146" w:lineRule="exact"/>
        <w:rPr>
          <w:sz w:val="20"/>
          <w:szCs w:val="20"/>
          <w:color w:val="auto"/>
        </w:rPr>
      </w:pPr>
    </w:p>
    <w:p>
      <w:pPr>
        <w:jc w:val="both"/>
        <w:ind w:firstLine="656"/>
        <w:spacing w:after="0" w:line="261" w:lineRule="auto"/>
        <w:tabs>
          <w:tab w:leader="none" w:pos="1073"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reclassify any outstanding shares of Class A Common Stock into shares having rights as to dividends or liquidation that are senior to the Class B Common Stock or, in the case of Class A Common Stock, the right to have more than one (1) vote for each share thereof;</w:t>
      </w:r>
    </w:p>
    <w:p>
      <w:pPr>
        <w:spacing w:after="0" w:line="181" w:lineRule="exact"/>
        <w:rPr>
          <w:rFonts w:ascii="Times New Roman" w:cs="Times New Roman" w:eastAsia="Times New Roman" w:hAnsi="Times New Roman"/>
          <w:sz w:val="20"/>
          <w:szCs w:val="20"/>
          <w:b w:val="1"/>
          <w:bCs w:val="1"/>
          <w:color w:val="auto"/>
        </w:rPr>
      </w:pPr>
    </w:p>
    <w:p>
      <w:pPr>
        <w:jc w:val="both"/>
        <w:ind w:firstLine="656"/>
        <w:spacing w:after="0" w:line="258" w:lineRule="auto"/>
        <w:tabs>
          <w:tab w:leader="none" w:pos="1077"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issue any shares of Class B Common Stock (other than (i) shares of Class B Common Stock over which Cohen shall have exclusive Voting Control or (ii) shares of Class B Common Stock issued pursuant to options, warrants, purchase rights or other securities exercisable for or convertible into Class B Common Stock, which securities were issued and outstanding prior to 11:59 p.m. Eastern Time on the Effective Date); or</w:t>
      </w:r>
    </w:p>
    <w:p>
      <w:pPr>
        <w:spacing w:after="0" w:line="172" w:lineRule="exact"/>
        <w:rPr>
          <w:rFonts w:ascii="Times New Roman" w:cs="Times New Roman" w:eastAsia="Times New Roman" w:hAnsi="Times New Roman"/>
          <w:sz w:val="20"/>
          <w:szCs w:val="20"/>
          <w:b w:val="1"/>
          <w:bCs w:val="1"/>
          <w:color w:val="auto"/>
        </w:rPr>
      </w:pPr>
    </w:p>
    <w:p>
      <w:pPr>
        <w:ind w:firstLine="656"/>
        <w:spacing w:after="0" w:line="283" w:lineRule="auto"/>
        <w:tabs>
          <w:tab w:leader="none" w:pos="1073"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authorize, or issue any shares of, any class or series of capital stock of the Corporation (other than Class B Common Stock) having the right to more than (1) vote for each share thereof.</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6.</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the management of the business and for the conduct of the affairs of the Corporation, and in further definition, limitation and regulation of the powers of the Corporation, of its directors and stockholders, or any class thereof, as the case may be, it is further provided that:</w:t>
      </w:r>
    </w:p>
    <w:p>
      <w:pPr>
        <w:spacing w:after="0" w:line="17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Section 6.1</w:t>
      </w:r>
      <w:r>
        <w:rPr>
          <w:sz w:val="20"/>
          <w:szCs w:val="20"/>
          <w:color w:val="auto"/>
        </w:rPr>
        <w:tab/>
      </w:r>
      <w:r>
        <w:rPr>
          <w:rFonts w:ascii="Times New Roman" w:cs="Times New Roman" w:eastAsia="Times New Roman" w:hAnsi="Times New Roman"/>
          <w:sz w:val="19"/>
          <w:szCs w:val="19"/>
          <w:b w:val="1"/>
          <w:bCs w:val="1"/>
          <w:color w:val="auto"/>
        </w:rPr>
        <w:t>Management of the Business.</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Except as otherwise provided by the DGCL or the Certificate of Incorporation, the business and affairs of the Corporation shall be managed by or under the direction of the Board. Subject to any rights of the holders of shares of any one or more series of Preferred Stock then outstanding to elect additional directors under specified circumstances, the number of directors that shall constitute the Board shall be fixed exclusively by the Board.</w:t>
      </w:r>
    </w:p>
    <w:p>
      <w:pPr>
        <w:spacing w:after="0" w:line="183"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Section 6.2</w:t>
      </w:r>
      <w:r>
        <w:rPr>
          <w:sz w:val="20"/>
          <w:szCs w:val="20"/>
          <w:color w:val="auto"/>
        </w:rPr>
        <w:tab/>
      </w:r>
      <w:r>
        <w:rPr>
          <w:rFonts w:ascii="Times New Roman" w:cs="Times New Roman" w:eastAsia="Times New Roman" w:hAnsi="Times New Roman"/>
          <w:sz w:val="19"/>
          <w:szCs w:val="19"/>
          <w:b w:val="1"/>
          <w:bCs w:val="1"/>
          <w:color w:val="auto"/>
        </w:rPr>
        <w:t>Board of Directors</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Subject to the rights of the holders of any one or more series of Preferred Stock to elect additional directors under specified circumstances, the directors shall be divided into three classes designated as Class I, Class II and Class III, respectively. The Board is authorized to assign members of the Board already in office to such classes at the time the classification becomes effective (the “</w:t>
      </w:r>
      <w:r>
        <w:rPr>
          <w:rFonts w:ascii="Times New Roman" w:cs="Times New Roman" w:eastAsia="Times New Roman" w:hAnsi="Times New Roman"/>
          <w:sz w:val="20"/>
          <w:szCs w:val="20"/>
          <w:b w:val="1"/>
          <w:bCs w:val="1"/>
          <w:i w:val="1"/>
          <w:iCs w:val="1"/>
          <w:color w:val="auto"/>
        </w:rPr>
        <w:t>Filing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Date</w:t>
      </w:r>
      <w:r>
        <w:rPr>
          <w:rFonts w:ascii="Times New Roman" w:cs="Times New Roman" w:eastAsia="Times New Roman" w:hAnsi="Times New Roman"/>
          <w:sz w:val="20"/>
          <w:szCs w:val="20"/>
          <w:color w:val="auto"/>
        </w:rPr>
        <w:t>”). At the first annual meeting of stockholders following the Filing Date, the initial term of office of the Class I directors shall expire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Class I directors shall be elected for a full term of three years. At the second annual meeting of stockholders following the Filing Date, the initial term of office of the Class II directors shall expire and Class II directors shall be elected for a full term of three years. At the third annual meeting of stockholders following the Filing Date, the initial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Notwithstanding the foregoing provisions of this section, each director shall serve until such director’s successor is duly elected and qualified or until such director’s earlier death, resignation or removal. No decrease in the number of directors constituting the Board shall remove or shorten the term of any incumbent director.</w:t>
      </w:r>
    </w:p>
    <w:p>
      <w:pPr>
        <w:sectPr>
          <w:pgSz w:w="11900" w:h="16838" w:orient="portrait"/>
          <w:cols w:equalWidth="0" w:num="1">
            <w:col w:w="11240"/>
          </w:cols>
          <w:pgMar w:left="320" w:top="1413" w:right="339" w:bottom="1440" w:gutter="0" w:footer="0" w:header="0"/>
        </w:sectPr>
      </w:pPr>
    </w:p>
    <w:bookmarkStart w:id="15" w:name="page16"/>
    <w:bookmarkEnd w:id="15"/>
    <w:p>
      <w:pPr>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Section 6.3</w:t>
      </w:r>
      <w:r>
        <w:rPr>
          <w:sz w:val="20"/>
          <w:szCs w:val="20"/>
          <w:color w:val="auto"/>
        </w:rPr>
        <w:tab/>
      </w:r>
      <w:r>
        <w:rPr>
          <w:rFonts w:ascii="Times New Roman" w:cs="Times New Roman" w:eastAsia="Times New Roman" w:hAnsi="Times New Roman"/>
          <w:sz w:val="19"/>
          <w:szCs w:val="19"/>
          <w:b w:val="1"/>
          <w:bCs w:val="1"/>
          <w:color w:val="auto"/>
        </w:rPr>
        <w:t>Removal of Directors</w:t>
      </w:r>
    </w:p>
    <w:p>
      <w:pPr>
        <w:spacing w:after="0" w:line="23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Subject to the rights of the holders of any one or more series of Preferred Stock to remove directors elected by such series of Preferred Stock, any individual director or the entire Board may be removed from office at any time, but only for cause, and only by the affirmative vote of the holders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w:t>
      </w:r>
      <w:r>
        <w:rPr>
          <w:rFonts w:ascii="Times New Roman" w:cs="Times New Roman" w:eastAsia="Times New Roman" w:hAnsi="Times New Roman"/>
          <w:sz w:val="25"/>
          <w:szCs w:val="25"/>
          <w:color w:val="auto"/>
          <w:vertAlign w:val="subscript"/>
        </w:rPr>
        <w:t>3</w:t>
      </w:r>
      <w:r>
        <w:rPr>
          <w:rFonts w:ascii="Times New Roman" w:cs="Times New Roman" w:eastAsia="Times New Roman" w:hAnsi="Times New Roman"/>
          <w:sz w:val="20"/>
          <w:szCs w:val="20"/>
          <w:color w:val="auto"/>
        </w:rPr>
        <w:t>% of the voting power of all the then-outstanding shares of the capital stock of the Corporation entitled to vote generally at an election of directors, voting together as a single class.</w:t>
      </w:r>
    </w:p>
    <w:p>
      <w:pPr>
        <w:spacing w:after="0" w:line="20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Section 6.4</w:t>
      </w:r>
      <w:r>
        <w:rPr>
          <w:sz w:val="20"/>
          <w:szCs w:val="20"/>
          <w:color w:val="auto"/>
        </w:rPr>
        <w:tab/>
      </w:r>
      <w:r>
        <w:rPr>
          <w:rFonts w:ascii="Times New Roman" w:cs="Times New Roman" w:eastAsia="Times New Roman" w:hAnsi="Times New Roman"/>
          <w:sz w:val="19"/>
          <w:szCs w:val="19"/>
          <w:b w:val="1"/>
          <w:bCs w:val="1"/>
          <w:color w:val="auto"/>
        </w:rPr>
        <w:t>Vacancies.</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Subject to any limitations imposed by applicable law and subject to the rights of the holders of any one or more series of Preferred Stock to elect additional directors or fill vacancies in respect of such directors, any vacancies on the Board resulting from death, resignation, disqualification, removal or other causes and any newly created directorships resulting from any increase in the number of directors, shall be filled only by the affirmative vote of a majority of the directors then in office, even though less than a quorum of the Board, or by a sole remaining director, and not by the stockholders. Any director elected to fill a newly created directorship or vacancy in accordance with the preceding sentence shall hold office until the next annual meeting of stockholders held to elect the class of directors to which such director is elected and until such director’s successor shall have been elected and qualified or such director’s earlier death, resignation or removal.</w:t>
      </w:r>
    </w:p>
    <w:p>
      <w:pPr>
        <w:spacing w:after="0" w:line="18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Section 6.5</w:t>
      </w:r>
      <w:r>
        <w:rPr>
          <w:sz w:val="20"/>
          <w:szCs w:val="20"/>
          <w:color w:val="auto"/>
        </w:rPr>
        <w:tab/>
      </w:r>
      <w:r>
        <w:rPr>
          <w:rFonts w:ascii="Times New Roman" w:cs="Times New Roman" w:eastAsia="Times New Roman" w:hAnsi="Times New Roman"/>
          <w:sz w:val="19"/>
          <w:szCs w:val="19"/>
          <w:b w:val="1"/>
          <w:bCs w:val="1"/>
          <w:color w:val="auto"/>
        </w:rPr>
        <w:t>Preferred Stockholders Election Rights.</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Whenever the holders of any one or more series of Preferred Stock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the Certificate of Incorporation (including any certificate of designation relating to any series of Preferred Stock) applicable thereto. The number of directors that may be elected by the holders of any such series of Preferred Stock shall be in addition to the number fixed pursuant to Section 6.1 hereof, and the total number of directors constituting the whole Board shall be automatically adjusted accordingly. Except as otherwise provided by the Board in the resolution or resolutions establishing, or any certificate of designation relating to,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17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Section 6.6</w:t>
      </w:r>
      <w:r>
        <w:rPr>
          <w:sz w:val="20"/>
          <w:szCs w:val="20"/>
          <w:color w:val="auto"/>
        </w:rPr>
        <w:tab/>
      </w:r>
      <w:r>
        <w:rPr>
          <w:rFonts w:ascii="Times New Roman" w:cs="Times New Roman" w:eastAsia="Times New Roman" w:hAnsi="Times New Roman"/>
          <w:sz w:val="19"/>
          <w:szCs w:val="19"/>
          <w:b w:val="1"/>
          <w:bCs w:val="1"/>
          <w:color w:val="auto"/>
        </w:rPr>
        <w:t>Bylaw Amendments.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9"/>
          <w:szCs w:val="19"/>
          <w:color w:val="auto"/>
        </w:rPr>
        <w:t>The Board is expressly authorized and empowered to adopt, amend or repeal any provisions of the bylaws of the Corporation (as amended from time to time, the “</w:t>
      </w:r>
      <w:r>
        <w:rPr>
          <w:rFonts w:ascii="Times New Roman" w:cs="Times New Roman" w:eastAsia="Times New Roman" w:hAnsi="Times New Roman"/>
          <w:sz w:val="19"/>
          <w:szCs w:val="19"/>
          <w:b w:val="1"/>
          <w:bCs w:val="1"/>
          <w:i w:val="1"/>
          <w:iCs w:val="1"/>
          <w:color w:val="auto"/>
        </w:rPr>
        <w:t>Bylaws</w:t>
      </w:r>
      <w:r>
        <w:rPr>
          <w:rFonts w:ascii="Times New Roman" w:cs="Times New Roman" w:eastAsia="Times New Roman" w:hAnsi="Times New Roman"/>
          <w:sz w:val="19"/>
          <w:szCs w:val="19"/>
          <w:color w:val="auto"/>
        </w:rPr>
        <w:t xml:space="preserve">”) without the assent or vote of the stockholders in any manner not inconsistent with the laws of the State of Delaware or the Certificate of Incorporation. The stockholders shall also have power to adopt, amend or repeal the Bylaws;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however, that, in addition to any vote of the holders of any class or series of stock of the Corporation required by applicable law or by the Certificate of Incorporation, such action by stockholders shall require the affirmative vote of the holders of at least 66</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9"/>
          <w:szCs w:val="19"/>
          <w:color w:val="auto"/>
        </w:rPr>
        <w:t>/</w:t>
      </w:r>
      <w:r>
        <w:rPr>
          <w:rFonts w:ascii="Times New Roman" w:cs="Times New Roman" w:eastAsia="Times New Roman" w:hAnsi="Times New Roman"/>
          <w:sz w:val="24"/>
          <w:szCs w:val="24"/>
          <w:color w:val="auto"/>
          <w:vertAlign w:val="subscript"/>
        </w:rPr>
        <w:t>3</w:t>
      </w:r>
      <w:r>
        <w:rPr>
          <w:rFonts w:ascii="Times New Roman" w:cs="Times New Roman" w:eastAsia="Times New Roman" w:hAnsi="Times New Roman"/>
          <w:sz w:val="19"/>
          <w:szCs w:val="19"/>
          <w:color w:val="auto"/>
        </w:rPr>
        <w:t>% of the voting power of all of the then-outstanding shares of the capital stock of the Corporation entitled to vote thereon, voting together as a single class.</w:t>
      </w:r>
    </w:p>
    <w:p>
      <w:pPr>
        <w:sectPr>
          <w:pgSz w:w="11900" w:h="16838" w:orient="portrait"/>
          <w:cols w:equalWidth="0" w:num="1">
            <w:col w:w="11240"/>
          </w:cols>
          <w:pgMar w:left="320" w:top="1409" w:right="339" w:bottom="1440" w:gutter="0" w:footer="0" w:header="0"/>
        </w:sectPr>
      </w:pPr>
    </w:p>
    <w:bookmarkStart w:id="16" w:name="page17"/>
    <w:bookmarkEnd w:id="16"/>
    <w:p>
      <w:pPr>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Section 6.7</w:t>
      </w:r>
      <w:r>
        <w:rPr>
          <w:sz w:val="20"/>
          <w:szCs w:val="20"/>
          <w:color w:val="auto"/>
        </w:rPr>
        <w:tab/>
      </w:r>
      <w:r>
        <w:rPr>
          <w:rFonts w:ascii="Times New Roman" w:cs="Times New Roman" w:eastAsia="Times New Roman" w:hAnsi="Times New Roman"/>
          <w:sz w:val="19"/>
          <w:szCs w:val="19"/>
          <w:b w:val="1"/>
          <w:bCs w:val="1"/>
          <w:color w:val="auto"/>
        </w:rPr>
        <w:t>Stockholder Actions.</w:t>
      </w:r>
    </w:p>
    <w:p>
      <w:pPr>
        <w:spacing w:after="0" w:line="233" w:lineRule="exact"/>
        <w:rPr>
          <w:sz w:val="20"/>
          <w:szCs w:val="20"/>
          <w:color w:val="auto"/>
        </w:rPr>
      </w:pPr>
    </w:p>
    <w:p>
      <w:pPr>
        <w:ind w:left="1000" w:hanging="344"/>
        <w:spacing w:after="0"/>
        <w:tabs>
          <w:tab w:leader="none" w:pos="1000"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directors of the Corporation need not be elected by written ballot unless the Bylaws so provide.</w:t>
      </w:r>
    </w:p>
    <w:p>
      <w:pPr>
        <w:spacing w:after="0" w:line="215" w:lineRule="exact"/>
        <w:rPr>
          <w:rFonts w:ascii="Times New Roman" w:cs="Times New Roman" w:eastAsia="Times New Roman" w:hAnsi="Times New Roman"/>
          <w:sz w:val="20"/>
          <w:szCs w:val="20"/>
          <w:b w:val="1"/>
          <w:bCs w:val="1"/>
          <w:color w:val="auto"/>
        </w:rPr>
      </w:pPr>
    </w:p>
    <w:p>
      <w:pPr>
        <w:jc w:val="both"/>
        <w:ind w:firstLine="656"/>
        <w:spacing w:after="0" w:line="281" w:lineRule="auto"/>
        <w:tabs>
          <w:tab w:leader="none" w:pos="1019" w:val="left"/>
        </w:tabs>
        <w:numPr>
          <w:ilvl w:val="0"/>
          <w:numId w:val="2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Subject to any rights of the holders of shares of any one or more series of Preferred Stock then outstanding and the rights of the holders of Class B Common Stock under Section 5.5b(i) or Section 5.10, any action required or permitted to be taken by the stockholders of the Corporation must be effected at an annual or special meeting of the stockholders and may not be effected by consent in lieu of a meeting.</w:t>
      </w:r>
    </w:p>
    <w:p>
      <w:pPr>
        <w:spacing w:after="0" w:line="164" w:lineRule="exact"/>
        <w:rPr>
          <w:rFonts w:ascii="Times New Roman" w:cs="Times New Roman" w:eastAsia="Times New Roman" w:hAnsi="Times New Roman"/>
          <w:sz w:val="19"/>
          <w:szCs w:val="19"/>
          <w:b w:val="1"/>
          <w:bCs w:val="1"/>
          <w:color w:val="auto"/>
        </w:rPr>
      </w:pPr>
    </w:p>
    <w:p>
      <w:pPr>
        <w:jc w:val="both"/>
        <w:ind w:firstLine="656"/>
        <w:spacing w:after="0" w:line="253" w:lineRule="auto"/>
        <w:tabs>
          <w:tab w:leader="none" w:pos="1023"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to any rights of the holders of shares of any series of Preferred Stock then outstanding and the rights of the holders of Class B Common Stock under Section 5.10, special meetings of stockholders of the Corporation may be called only by the Board and shall be called by the Secretary of the corporation upon the request of a majority of the directors then in office, but a special meeting may not be called by any other person or persons and any power of stockholders to call a special meeting of stockholders is specifically denied. Only such business shall be considered at a special meeting of stockholders as shall have been stated in the notice for such meeting.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7.</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No director or officer of the Corporation shall be liable to the Corporation or its stockholders for monetary damages for breach of fiduciary duty as a director or officer, except to the extent such exemption from liability or limitation thereof is not permitted under the DGCL, as the same exists or may hereafter be amended. Any amendment, modification or repeal of the foregoing sentence shall not adversely affect any right or protection of a director or officer of the Corporation hereunder in respect of any act or omission occurring prior to the time of such amendment, modification or repeal. Solely for purposes of this Section 6, “officer” shall have the meaning provided in Section 102(b)(7) of the DGCL.</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8.</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Section 8.1 </w:t>
      </w:r>
      <w:r>
        <w:rPr>
          <w:rFonts w:ascii="Times New Roman" w:cs="Times New Roman" w:eastAsia="Times New Roman" w:hAnsi="Times New Roman"/>
          <w:sz w:val="20"/>
          <w:szCs w:val="20"/>
          <w:color w:val="auto"/>
        </w:rPr>
        <w:t>Unless the Corporation consents in writing to the selection of an alternative forum, the Court of Chancery of the State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Delaware and any appellate court therefrom shall be the sole and exclusive forum for: (i) any derivative claim or cause of action brought on behalf of the Corporation; (ii) any claim or cause of action that is based upon a violation of a duty owed by any current or former director, officer, other employee or stockholder of the Corporation, to the Corporation or the Corporation’s stockholders; (iii) any claim or cause of action against the Corporation or any current or former director, officer or other employee of the Corporation, arising out of or pursuant to any provision of the DGCL, the Certificate of Incorporation or the Bylaws; (iv) any claim or cause of action seeking to interpret, apply, enforce or determine the validity of the Certificate of Incorporation or the Bylaws (including any right, obligation, or remedy thereunder); (v) any claim or cause of action as to which the DGCL confers jurisdiction on the Court of Chancery of the State of Delaware; and (vi) any claim or cause of action against the Corporation or any current or former director, officer or other employee of the Corporation, governed by the internal-affairs doctrine or otherwise related to the Corporation’s internal affairs, in all cases to the fullest extent permitted by applicable law</w:t>
      </w:r>
      <w:r>
        <w:rPr>
          <w:rFonts w:ascii="Times New Roman" w:cs="Times New Roman" w:eastAsia="Times New Roman" w:hAnsi="Times New Roman"/>
          <w:sz w:val="20"/>
          <w:szCs w:val="20"/>
          <w:color w:val="21212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212121"/>
        </w:rPr>
        <w:t>provided</w:t>
      </w:r>
      <w:r>
        <w:rPr>
          <w:rFonts w:ascii="Times New Roman" w:cs="Times New Roman" w:eastAsia="Times New Roman" w:hAnsi="Times New Roman"/>
          <w:sz w:val="20"/>
          <w:szCs w:val="20"/>
          <w:color w:val="212121"/>
        </w:rPr>
        <w:t>, that if such court does not have, or declines to accept, jurisdiction over such a claim or cause of action, then the United States</w:t>
      </w:r>
      <w:r>
        <w:rPr>
          <w:rFonts w:ascii="Times New Roman" w:cs="Times New Roman" w:eastAsia="Times New Roman" w:hAnsi="Times New Roman"/>
          <w:sz w:val="20"/>
          <w:szCs w:val="20"/>
          <w:i w:val="1"/>
          <w:iCs w:val="1"/>
          <w:color w:val="212121"/>
        </w:rPr>
        <w:t xml:space="preserve"> </w:t>
      </w:r>
      <w:r>
        <w:rPr>
          <w:rFonts w:ascii="Times New Roman" w:cs="Times New Roman" w:eastAsia="Times New Roman" w:hAnsi="Times New Roman"/>
          <w:sz w:val="20"/>
          <w:szCs w:val="20"/>
          <w:color w:val="212121"/>
        </w:rPr>
        <w:t>District Court for the District of Delaware shall be the sole and exclusive forum for such claim or cause of action</w:t>
      </w:r>
      <w:r>
        <w:rPr>
          <w:rFonts w:ascii="Times New Roman" w:cs="Times New Roman" w:eastAsia="Times New Roman" w:hAnsi="Times New Roman"/>
          <w:sz w:val="20"/>
          <w:szCs w:val="20"/>
          <w:color w:val="000000"/>
        </w:rPr>
        <w:t>.</w:t>
      </w:r>
    </w:p>
    <w:p>
      <w:pPr>
        <w:sectPr>
          <w:pgSz w:w="11900" w:h="16838" w:orient="portrait"/>
          <w:cols w:equalWidth="0" w:num="1">
            <w:col w:w="11240"/>
          </w:cols>
          <w:pgMar w:left="320" w:top="1409" w:right="339" w:bottom="1440" w:gutter="0" w:footer="0" w:header="0"/>
        </w:sectPr>
      </w:pPr>
    </w:p>
    <w:bookmarkStart w:id="17" w:name="page18"/>
    <w:bookmarkEnd w:id="17"/>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Section 8.2 </w:t>
      </w:r>
      <w:r>
        <w:rPr>
          <w:rFonts w:ascii="Times New Roman" w:cs="Times New Roman" w:eastAsia="Times New Roman" w:hAnsi="Times New Roman"/>
          <w:sz w:val="20"/>
          <w:szCs w:val="20"/>
          <w:color w:val="auto"/>
        </w:rPr>
        <w:t>Unless the Corporation consents in writing to the selection of an alternative forum, to the fullest extent permitted by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law, the federal district courts of the United States of America shall be the exclusive forum for the resolution of any complaint asserting a cause of action arising under the Securities Act of 1933, as amended, including all causes of action asserted against any defendant named in such complaint. For the avoidance of doubt, this provision is intended to benefit and may be enforced by the Corporation, its officers and directors, the underwriters for any offering giving rise to such complaint, and any other professional entity whose profession gives authority to a statement made by that person or entity and who has prepared or certified any part of the documents underlying the offering.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w:t>
      </w:r>
    </w:p>
    <w:p>
      <w:pPr>
        <w:spacing w:after="0" w:line="21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Section 9.1 </w:t>
      </w:r>
      <w:r>
        <w:rPr>
          <w:rFonts w:ascii="Times New Roman" w:cs="Times New Roman" w:eastAsia="Times New Roman" w:hAnsi="Times New Roman"/>
          <w:sz w:val="20"/>
          <w:szCs w:val="20"/>
          <w:color w:val="auto"/>
        </w:rPr>
        <w:t>Any person or entity holding, owning, or otherwise acquiring any interest in any security of the Corporation shall be deemed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notice of and consented to the provisions of the Certificate of Incorporation.</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Section 9.2 </w:t>
      </w:r>
      <w:r>
        <w:rPr>
          <w:rFonts w:ascii="Times New Roman" w:cs="Times New Roman" w:eastAsia="Times New Roman" w:hAnsi="Times New Roman"/>
          <w:sz w:val="20"/>
          <w:szCs w:val="20"/>
          <w:color w:val="auto"/>
        </w:rPr>
        <w:t>The Corporation reserves the right to amend, alter, change or repeal, at any time and from time to time, any provision contained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the Certificate of Incorporation and all rights, preferences and privileges of whatsoever nature conferred upon the stockholders, directors or any other persons whomsoever by and pursuant to the Certificate of Incorporation are granted subject to this reservation. For the avoidance of doubt, but subject to the rights of the holders of any outstanding series of Preferred Stock, Section 242(d) of the DGCL shall apply to amendments to the Certificate of Incorporation.</w:t>
      </w:r>
    </w:p>
    <w:p>
      <w:pPr>
        <w:spacing w:after="0" w:line="1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Section 9.3 </w:t>
      </w:r>
      <w:r>
        <w:rPr>
          <w:rFonts w:ascii="Times New Roman" w:cs="Times New Roman" w:eastAsia="Times New Roman" w:hAnsi="Times New Roman"/>
          <w:sz w:val="20"/>
          <w:szCs w:val="20"/>
          <w:color w:val="auto"/>
        </w:rPr>
        <w:t>Notwithstanding any other provisions of the Certificate of Incorporation or any provision of applicable law that might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permit a lesser vote or no vote, but in addition to any affirmative vote of the holders of any particular class or series of capital stock of the Corporation required by applicable law or by the Certificate of Incorporation or any certificate of designation filed with respect to a series of Preferred Stock, the affirmative vote of the holders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w:t>
      </w:r>
      <w:r>
        <w:rPr>
          <w:rFonts w:ascii="Times New Roman" w:cs="Times New Roman" w:eastAsia="Times New Roman" w:hAnsi="Times New Roman"/>
          <w:sz w:val="25"/>
          <w:szCs w:val="25"/>
          <w:color w:val="auto"/>
          <w:vertAlign w:val="subscript"/>
        </w:rPr>
        <w:t>3</w:t>
      </w:r>
      <w:r>
        <w:rPr>
          <w:rFonts w:ascii="Times New Roman" w:cs="Times New Roman" w:eastAsia="Times New Roman" w:hAnsi="Times New Roman"/>
          <w:sz w:val="20"/>
          <w:szCs w:val="20"/>
          <w:color w:val="auto"/>
        </w:rPr>
        <w:t>% of the voting power of all of the then-outstanding shares of capital stock of the Corporation entitled to vote thereon, voting together as a single class, shall be required to alter, amend or repeal, or adopt any provision inconsistent with, Sections 6, 7, 8 and this Section 9.</w:t>
      </w: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Section 9.4 </w:t>
      </w:r>
      <w:r>
        <w:rPr>
          <w:rFonts w:ascii="Times New Roman" w:cs="Times New Roman" w:eastAsia="Times New Roman" w:hAnsi="Times New Roman"/>
          <w:sz w:val="20"/>
          <w:szCs w:val="20"/>
          <w:color w:val="auto"/>
        </w:rPr>
        <w:t>The Corporation renounces, to the fullest extent permitted by law, any interest or expectancy of the Corporation in, or in being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offered an opportunity to participate in, an Excluded Opportunity. An “</w:t>
      </w:r>
      <w:r>
        <w:rPr>
          <w:rFonts w:ascii="Times New Roman" w:cs="Times New Roman" w:eastAsia="Times New Roman" w:hAnsi="Times New Roman"/>
          <w:sz w:val="20"/>
          <w:szCs w:val="20"/>
          <w:b w:val="1"/>
          <w:bCs w:val="1"/>
          <w:i w:val="1"/>
          <w:iCs w:val="1"/>
          <w:color w:val="auto"/>
        </w:rPr>
        <w:t>Excluded Opportunity</w:t>
      </w:r>
      <w:r>
        <w:rPr>
          <w:rFonts w:ascii="Times New Roman" w:cs="Times New Roman" w:eastAsia="Times New Roman" w:hAnsi="Times New Roman"/>
          <w:sz w:val="20"/>
          <w:szCs w:val="20"/>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affiliate, partner, member, director, stockholder, employee, agent or other related person of any such holder, other than someone who is an employee of the Corporation or any of its subsidiaries (collectively, “</w:t>
      </w:r>
      <w:r>
        <w:rPr>
          <w:rFonts w:ascii="Times New Roman" w:cs="Times New Roman" w:eastAsia="Times New Roman" w:hAnsi="Times New Roman"/>
          <w:sz w:val="20"/>
          <w:szCs w:val="20"/>
          <w:b w:val="1"/>
          <w:bCs w:val="1"/>
          <w:i w:val="1"/>
          <w:iCs w:val="1"/>
          <w:color w:val="auto"/>
        </w:rPr>
        <w:t>Covered Persons</w:t>
      </w:r>
      <w:r>
        <w:rPr>
          <w:rFonts w:ascii="Times New Roman" w:cs="Times New Roman" w:eastAsia="Times New Roman" w:hAnsi="Times New Roman"/>
          <w:sz w:val="20"/>
          <w:szCs w:val="20"/>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10.</w:t>
      </w:r>
    </w:p>
    <w:p>
      <w:pPr>
        <w:spacing w:after="0" w:line="2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Section 10.1 </w:t>
      </w:r>
      <w:r>
        <w:rPr>
          <w:rFonts w:ascii="Times New Roman" w:cs="Times New Roman" w:eastAsia="Times New Roman" w:hAnsi="Times New Roman"/>
          <w:sz w:val="20"/>
          <w:szCs w:val="20"/>
          <w:color w:val="auto"/>
        </w:rPr>
        <w:t>If any provision or provisions of the Certificate of Incorporation shall be held to be invalid, illegal or unenforceable as applied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any circumstance for any reason whatsoever, the validity, legality and enforceability of such provisions in any other circumstance and of the remaining provisions of the Certificate of Incorporation (including, without limitation, each portion of any paragraph of the Certificate of Incorporation containing any such provision held to be invalid, illegal or unenforceable that</w:t>
      </w:r>
    </w:p>
    <w:p>
      <w:pPr>
        <w:sectPr>
          <w:pgSz w:w="11900" w:h="16838" w:orient="portrait"/>
          <w:cols w:equalWidth="0" w:num="1">
            <w:col w:w="11240"/>
          </w:cols>
          <w:pgMar w:left="320" w:top="1409" w:right="339" w:bottom="1440" w:gutter="0" w:footer="0" w:header="0"/>
        </w:sectPr>
      </w:pPr>
    </w:p>
    <w:bookmarkStart w:id="18" w:name="page19"/>
    <w:bookmarkEnd w:id="18"/>
    <w:p>
      <w:pPr>
        <w:spacing w:after="0" w:line="283" w:lineRule="auto"/>
        <w:rPr>
          <w:sz w:val="20"/>
          <w:szCs w:val="20"/>
          <w:color w:val="auto"/>
        </w:rPr>
      </w:pPr>
      <w:r>
        <w:rPr>
          <w:rFonts w:ascii="Times New Roman" w:cs="Times New Roman" w:eastAsia="Times New Roman" w:hAnsi="Times New Roman"/>
          <w:sz w:val="20"/>
          <w:szCs w:val="20"/>
          <w:color w:val="auto"/>
        </w:rPr>
        <w:t>is not itself held to be invalid, illegal or unenforceable) shall not, to the fullest extent permitted by applicable law, in any way be affected or impaired thereby.</w:t>
      </w:r>
    </w:p>
    <w:p>
      <w:pPr>
        <w:spacing w:after="0" w:line="14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The Corporation has caused this Certificate of Incorporation to be signed by a duly authorized officer of the Corporation on October 31, 2025.</w:t>
      </w:r>
    </w:p>
    <w:p>
      <w:pPr>
        <w:spacing w:after="0" w:line="17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0"/>
          <w:szCs w:val="20"/>
          <w:color w:val="auto"/>
        </w:rPr>
        <w:t>Navan, Inc.</w:t>
      </w:r>
    </w:p>
    <w:p>
      <w:pPr>
        <w:spacing w:after="0" w:line="200" w:lineRule="exact"/>
        <w:rPr>
          <w:sz w:val="20"/>
          <w:szCs w:val="20"/>
          <w:color w:val="auto"/>
        </w:rPr>
      </w:pPr>
    </w:p>
    <w:p>
      <w:pPr>
        <w:spacing w:after="0" w:line="245" w:lineRule="exact"/>
        <w:rPr>
          <w:sz w:val="20"/>
          <w:szCs w:val="20"/>
          <w:color w:val="auto"/>
        </w:rPr>
      </w:pPr>
    </w:p>
    <w:p>
      <w:pPr>
        <w:ind w:left="6000"/>
        <w:spacing w:after="0"/>
        <w:tabs>
          <w:tab w:leader="none" w:pos="6500" w:val="left"/>
        </w:tabs>
        <w:rPr>
          <w:sz w:val="20"/>
          <w:szCs w:val="20"/>
          <w:color w:val="auto"/>
        </w:rPr>
      </w:pPr>
      <w:r>
        <w:rPr>
          <w:rFonts w:ascii="Times New Roman" w:cs="Times New Roman" w:eastAsia="Times New Roman" w:hAnsi="Times New Roman"/>
          <w:sz w:val="20"/>
          <w:szCs w:val="20"/>
          <w:color w:val="auto"/>
        </w:rPr>
        <w:t>By:</w:t>
        <w:tab/>
        <w:t>/s/ Ariel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40005</wp:posOffset>
            </wp:positionV>
            <wp:extent cx="30086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4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0"/>
          <w:szCs w:val="20"/>
          <w:color w:val="auto"/>
        </w:rPr>
        <w:t>Ariel Cohen</w:t>
      </w:r>
    </w:p>
    <w:p>
      <w:pPr>
        <w:spacing w:after="0" w:line="2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0"/>
          <w:szCs w:val="20"/>
          <w:color w:val="auto"/>
        </w:rPr>
        <w:t>Chief Executive Officer</w:t>
      </w:r>
    </w:p>
    <w:p>
      <w:pPr>
        <w:sectPr>
          <w:pgSz w:w="11900" w:h="16838" w:orient="portrait"/>
          <w:cols w:equalWidth="0" w:num="1">
            <w:col w:w="11240"/>
          </w:cols>
          <w:pgMar w:left="320" w:top="1413"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EXCHANGE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THIS EXCHANGE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made and entered into as of October 29, 2025, by and between Navan, Inc., a 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xml:space="preserve">”), and stockholders of the Company listed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(collectively, “</w:t>
      </w:r>
      <w:r>
        <w:rPr>
          <w:rFonts w:ascii="Times New Roman" w:cs="Times New Roman" w:eastAsia="Times New Roman" w:hAnsi="Times New Roman"/>
          <w:sz w:val="20"/>
          <w:szCs w:val="20"/>
          <w:b w:val="1"/>
          <w:bCs w:val="1"/>
          <w:color w:val="auto"/>
        </w:rPr>
        <w:t>Exchange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Stockholders</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WHEREAS, the Company’s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has determined that it is in the best interests of the Company and its stockholders to implement a multi class common stock structure in connection with the Company’s initial public offering of its capital stock (the “</w:t>
      </w:r>
      <w:r>
        <w:rPr>
          <w:rFonts w:ascii="Times New Roman" w:cs="Times New Roman" w:eastAsia="Times New Roman" w:hAnsi="Times New Roman"/>
          <w:sz w:val="20"/>
          <w:szCs w:val="20"/>
          <w:b w:val="1"/>
          <w:bCs w:val="1"/>
          <w:color w:val="auto"/>
        </w:rPr>
        <w:t>IPO</w:t>
      </w:r>
      <w:r>
        <w:rPr>
          <w:rFonts w:ascii="Times New Roman" w:cs="Times New Roman" w:eastAsia="Times New Roman" w:hAnsi="Times New Roman"/>
          <w:sz w:val="20"/>
          <w:szCs w:val="20"/>
          <w:color w:val="auto"/>
        </w:rPr>
        <w:t>”) to, among other things, enable the Company to execute its long-term vision;</w:t>
      </w:r>
    </w:p>
    <w:p>
      <w:pPr>
        <w:spacing w:after="0" w:line="15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WHEREAS, in connection with the IPO, the Board and Stockholders approved an Amended and Restated Certificate of Incorporation of the Company (the “</w:t>
      </w:r>
      <w:r>
        <w:rPr>
          <w:rFonts w:ascii="Times New Roman" w:cs="Times New Roman" w:eastAsia="Times New Roman" w:hAnsi="Times New Roman"/>
          <w:sz w:val="20"/>
          <w:szCs w:val="20"/>
          <w:b w:val="1"/>
          <w:bCs w:val="1"/>
          <w:color w:val="auto"/>
        </w:rPr>
        <w:t>Interim Charter</w:t>
      </w:r>
      <w:r>
        <w:rPr>
          <w:rFonts w:ascii="Times New Roman" w:cs="Times New Roman" w:eastAsia="Times New Roman" w:hAnsi="Times New Roman"/>
          <w:sz w:val="20"/>
          <w:szCs w:val="20"/>
          <w:color w:val="auto"/>
        </w:rPr>
        <w:t>”), which, among other things, created two series of common stock of the Company, Class A Common Stock, par value $0.00000625 per share (“</w:t>
      </w:r>
      <w:r>
        <w:rPr>
          <w:rFonts w:ascii="Times New Roman" w:cs="Times New Roman" w:eastAsia="Times New Roman" w:hAnsi="Times New Roman"/>
          <w:sz w:val="20"/>
          <w:szCs w:val="20"/>
          <w:b w:val="1"/>
          <w:bCs w:val="1"/>
          <w:color w:val="auto"/>
        </w:rPr>
        <w:t>Class A Common Stock</w:t>
      </w:r>
      <w:r>
        <w:rPr>
          <w:rFonts w:ascii="Times New Roman" w:cs="Times New Roman" w:eastAsia="Times New Roman" w:hAnsi="Times New Roman"/>
          <w:sz w:val="20"/>
          <w:szCs w:val="20"/>
          <w:color w:val="auto"/>
        </w:rPr>
        <w:t>”), entitling holders to one (1) vote for each share thereof held, and Class B Common Stock, par value $0.00000625 per share (“</w:t>
      </w:r>
      <w:r>
        <w:rPr>
          <w:rFonts w:ascii="Times New Roman" w:cs="Times New Roman" w:eastAsia="Times New Roman" w:hAnsi="Times New Roman"/>
          <w:sz w:val="20"/>
          <w:szCs w:val="20"/>
          <w:b w:val="1"/>
          <w:bCs w:val="1"/>
          <w:color w:val="auto"/>
        </w:rPr>
        <w:t>Class B Common Stock</w:t>
      </w:r>
      <w:r>
        <w:rPr>
          <w:rFonts w:ascii="Times New Roman" w:cs="Times New Roman" w:eastAsia="Times New Roman" w:hAnsi="Times New Roman"/>
          <w:sz w:val="20"/>
          <w:szCs w:val="20"/>
          <w:color w:val="auto"/>
        </w:rPr>
        <w:t>”), entitling holders to thirty (30) votes for each share thereof held;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pursuant to the Interim Charter, the Exchange Stockholders hold shares of Class A Common Stock;</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WHEREAS, the Board has approved an Amended and Restated Certificate of Incorporation of the Company (the “</w:t>
      </w:r>
      <w:r>
        <w:rPr>
          <w:rFonts w:ascii="Times New Roman" w:cs="Times New Roman" w:eastAsia="Times New Roman" w:hAnsi="Times New Roman"/>
          <w:sz w:val="20"/>
          <w:szCs w:val="20"/>
          <w:b w:val="1"/>
          <w:bCs w:val="1"/>
          <w:color w:val="auto"/>
        </w:rPr>
        <w:t>Amended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Restated Certificate of Incorporation</w:t>
      </w:r>
      <w:r>
        <w:rPr>
          <w:rFonts w:ascii="Times New Roman" w:cs="Times New Roman" w:eastAsia="Times New Roman" w:hAnsi="Times New Roman"/>
          <w:sz w:val="20"/>
          <w:szCs w:val="20"/>
          <w:color w:val="auto"/>
        </w:rPr>
        <w:t>”) which, in connection with the closing of the IPO, will amend and restate the Interim Charter,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effectiveness of the filing of the Amended and Restated Certificate of Incorporation (the “</w:t>
      </w:r>
      <w:r>
        <w:rPr>
          <w:rFonts w:ascii="Times New Roman" w:cs="Times New Roman" w:eastAsia="Times New Roman" w:hAnsi="Times New Roman"/>
          <w:sz w:val="20"/>
          <w:szCs w:val="20"/>
          <w:b w:val="1"/>
          <w:bCs w:val="1"/>
          <w:color w:val="auto"/>
        </w:rPr>
        <w:t>Effective Time</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 xml:space="preserve">WHEREAS, the Board has determined that exchanging shares of Class A Common Stock that will be held by the Exchange Stockholders at the Effective Time as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for shares of Class B Common Stock is advisable and in the best interest of the Company and all of its stockholders, including its stockholders other than the Exchange Stockholders; and</w:t>
      </w:r>
    </w:p>
    <w:p>
      <w:pPr>
        <w:spacing w:after="0" w:line="16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WHEREAS, the Parties intend that no gain or loss shall be recognized in the Exchange pursuant to Sections 368(a)(1)(E) and/or 1036 of the Internal Revenue Code of 1986, as amended (the “</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NOW, THEREFORE, in consideration of the foregoing recitals and the mutual promises, representations and covenants set forth herein, and for other good and valuable consideration, the receipt and sufficiency of which are hereby acknowledged and accepted, the parties hereto agree as follows: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2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0"/>
          <w:szCs w:val="20"/>
          <w:b w:val="1"/>
          <w:bCs w:val="1"/>
          <w:u w:val="single" w:color="auto"/>
          <w:color w:val="auto"/>
        </w:rPr>
        <w:t>EXCHANGE AND ISSUANCE OF CLASS B COMMON STOCK</w:t>
      </w:r>
    </w:p>
    <w:p>
      <w:pPr>
        <w:spacing w:after="0" w:line="22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u w:val="single" w:color="auto"/>
          <w:color w:val="auto"/>
        </w:rPr>
        <w:t>Exchange of Class A Common Stock</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304"/>
        <w:spacing w:after="0" w:line="253" w:lineRule="auto"/>
        <w:tabs>
          <w:tab w:leader="none" w:pos="183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terms and conditions of this Agreement, immediately following the Effective Time each Exchange Stockholder shall be deemed to have automatically transferred to the Company the shares of Class A Common Stock held by such Exchange Stockholder as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(the “</w:t>
      </w:r>
      <w:r>
        <w:rPr>
          <w:rFonts w:ascii="Times New Roman" w:cs="Times New Roman" w:eastAsia="Times New Roman" w:hAnsi="Times New Roman"/>
          <w:sz w:val="20"/>
          <w:szCs w:val="20"/>
          <w:b w:val="1"/>
          <w:bCs w:val="1"/>
          <w:color w:val="auto"/>
        </w:rPr>
        <w:t>Class A Shares</w:t>
      </w:r>
      <w:r>
        <w:rPr>
          <w:rFonts w:ascii="Times New Roman" w:cs="Times New Roman" w:eastAsia="Times New Roman" w:hAnsi="Times New Roman"/>
          <w:sz w:val="20"/>
          <w:szCs w:val="20"/>
          <w:color w:val="auto"/>
        </w:rPr>
        <w:t>”) and the Company shall issue to each Exchange Stockholder shares of Class B Common Stock (the “</w:t>
      </w:r>
      <w:r>
        <w:rPr>
          <w:rFonts w:ascii="Times New Roman" w:cs="Times New Roman" w:eastAsia="Times New Roman" w:hAnsi="Times New Roman"/>
          <w:sz w:val="20"/>
          <w:szCs w:val="20"/>
          <w:b w:val="1"/>
          <w:bCs w:val="1"/>
          <w:color w:val="auto"/>
        </w:rPr>
        <w:t>Class B Shares</w:t>
      </w:r>
      <w:r>
        <w:rPr>
          <w:rFonts w:ascii="Times New Roman" w:cs="Times New Roman" w:eastAsia="Times New Roman" w:hAnsi="Times New Roman"/>
          <w:sz w:val="20"/>
          <w:szCs w:val="20"/>
          <w:color w:val="auto"/>
        </w:rPr>
        <w:t>”), at an exchange ratio of one (1) Class A Share for one (1) Class B Share (the “</w:t>
      </w:r>
      <w:r>
        <w:rPr>
          <w:rFonts w:ascii="Times New Roman" w:cs="Times New Roman" w:eastAsia="Times New Roman" w:hAnsi="Times New Roman"/>
          <w:sz w:val="20"/>
          <w:szCs w:val="20"/>
          <w:b w:val="1"/>
          <w:bCs w:val="1"/>
          <w:color w:val="auto"/>
        </w:rPr>
        <w:t>Exchange</w:t>
      </w:r>
      <w:r>
        <w:rPr>
          <w:rFonts w:ascii="Times New Roman" w:cs="Times New Roman" w:eastAsia="Times New Roman" w:hAnsi="Times New Roman"/>
          <w:sz w:val="20"/>
          <w:szCs w:val="20"/>
          <w:color w:val="auto"/>
        </w:rPr>
        <w:t>”). The number of Class A Shares to be transferred and the</w:t>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0"/>
          <w:szCs w:val="20"/>
          <w:color w:val="auto"/>
        </w:rPr>
        <w:t xml:space="preserve">number of </w:t>
      </w:r>
      <w:r>
        <w:rPr>
          <w:rFonts w:ascii="Times New Roman" w:cs="Times New Roman" w:eastAsia="Times New Roman" w:hAnsi="Times New Roman"/>
          <w:sz w:val="20"/>
          <w:szCs w:val="20"/>
          <w:u w:val="single" w:color="auto"/>
          <w:color w:val="auto"/>
        </w:rPr>
        <w:t>Class B</w:t>
      </w:r>
      <w:r>
        <w:rPr>
          <w:rFonts w:ascii="Times New Roman" w:cs="Times New Roman" w:eastAsia="Times New Roman" w:hAnsi="Times New Roman"/>
          <w:sz w:val="20"/>
          <w:szCs w:val="20"/>
          <w:color w:val="auto"/>
        </w:rPr>
        <w:t xml:space="preserve"> Shares to be received in the Exchange by each Exchange Stockholder are as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w:t>
      </w:r>
    </w:p>
    <w:p>
      <w:pPr>
        <w:spacing w:after="0" w:line="229" w:lineRule="exact"/>
        <w:rPr>
          <w:sz w:val="20"/>
          <w:szCs w:val="20"/>
          <w:color w:val="auto"/>
        </w:rPr>
      </w:pPr>
    </w:p>
    <w:p>
      <w:pPr>
        <w:jc w:val="both"/>
        <w:ind w:firstLine="1304"/>
        <w:spacing w:after="0" w:line="254" w:lineRule="auto"/>
        <w:tabs>
          <w:tab w:leader="none" w:pos="1756"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Concurrently herewith, each Exchange Stockholder is delivering to the Company such instruments of transfer or other documentation as may be reasonably required to evidence that the shares of Common Stock (which will automatically be renamed as Class A Common Stock upon the Effective Time) have been duly transferred to the Company to be held in escrow until the Effective Time and such documents are automatically released without further action by the Company or the Exchange Stockholder at the Effective Time.</w:t>
      </w:r>
    </w:p>
    <w:p>
      <w:pPr>
        <w:spacing w:after="0" w:line="18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u w:val="single" w:color="auto"/>
          <w:color w:val="auto"/>
        </w:rPr>
        <w:t>Effective Time of the Exchange:</w:t>
      </w:r>
    </w:p>
    <w:p>
      <w:pPr>
        <w:spacing w:after="0" w:line="229" w:lineRule="exact"/>
        <w:rPr>
          <w:sz w:val="20"/>
          <w:szCs w:val="20"/>
          <w:color w:val="auto"/>
        </w:rPr>
      </w:pPr>
    </w:p>
    <w:p>
      <w:pPr>
        <w:jc w:val="both"/>
        <w:ind w:firstLine="1304"/>
        <w:spacing w:after="0" w:line="261" w:lineRule="auto"/>
        <w:tabs>
          <w:tab w:leader="none" w:pos="1841"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Exchange shall occur and be deemed effective without any further action by the Company or the Exchange Stockholders immediately following the Effective Time and prior to the consummation of the sale of the shares of the Company’s capital stock in the IPO as part of the closing thereof.</w:t>
      </w:r>
    </w:p>
    <w:p>
      <w:pPr>
        <w:spacing w:after="0" w:line="167" w:lineRule="exact"/>
        <w:rPr>
          <w:rFonts w:ascii="Times New Roman" w:cs="Times New Roman" w:eastAsia="Times New Roman" w:hAnsi="Times New Roman"/>
          <w:sz w:val="20"/>
          <w:szCs w:val="20"/>
          <w:color w:val="auto"/>
        </w:rPr>
      </w:pPr>
    </w:p>
    <w:p>
      <w:pPr>
        <w:jc w:val="both"/>
        <w:ind w:firstLine="1304"/>
        <w:spacing w:after="0" w:line="268" w:lineRule="auto"/>
        <w:tabs>
          <w:tab w:leader="none" w:pos="1742"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effectiveness of the Exchange, the Company shall deliver to each Exchange Stockholder such documentation as may be reasonably required to evidence that the Class B Shares have been duly issued and transferred to the applicable Exchange Stockholder.</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REPRESENTATIONS AND WARRANTIES OF THE EXCHANGE HOLDER</w:t>
      </w:r>
    </w:p>
    <w:p>
      <w:pPr>
        <w:spacing w:after="0" w:line="22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Each Exchange Stockholder hereby represents and warrants to the Company, with respect to the transactions contemplated hereby, as follows:</w:t>
      </w:r>
    </w:p>
    <w:p>
      <w:pPr>
        <w:spacing w:after="0" w:line="16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Ownership; Authority</w:t>
      </w:r>
      <w:r>
        <w:rPr>
          <w:rFonts w:ascii="Times New Roman" w:cs="Times New Roman" w:eastAsia="Times New Roman" w:hAnsi="Times New Roman"/>
          <w:sz w:val="20"/>
          <w:szCs w:val="20"/>
          <w:color w:val="auto"/>
        </w:rPr>
        <w:t>. Each Exchange Stockholder will be, effective as of the Effective Time, the beneficial and legal owner of the Class A Shares exchanged hereunder, free and clear of all liens, encumbrances and restrictions (except for restrictions on transfer arising under applicable securities laws or as set forth or contemplated by this Agreement, the Amended and Restated Certificate of Incorporation or any other agreements to which such Exchange Stockholder and the Company are a party). Each Exchange Stockholder has the full right, power and authority to enter into this Agreement and, assuming the waiver or inapplicability of any and all rights of first refusal or co-sale by the Company and the Company’s stockholders that are applicable to the transactions contemplated hereby, to transfer, convey and exchange the Class A Shares in accordance with this Agreement. Assuming the due authorization, execution and delivery by the Company, this Agreement constitutes a valid and binding agreement of such Exchange Stockholder, enforceable against such Exchange Stockholder in accordance with its terms (subject to applicable bankruptcy, insolvency, fraudulent transfer, reorganization, moratorium and other laws affecting creditors’ rights generally and general principles of equity). Upon consummation of the Exchange contemplated hereby, the Company will acquire from Exchange Stockholder good and marketable title to the Class A Shares, free and clear of any and all liens, encumbrances and restrictions (except for restrictions on transfer arising under applicable securities laws or as set forth or contemplated by this Agreement, the Amended and Restated Certificate of Incorporation or any other agreements to which such Exchange Stockholder and the Company are a party, and subject to applicable bankruptcy, insolvency, fraudulent transfer, reorganization, moratorium and other laws affecting creditors’ rights generally and general principles of equity).</w:t>
      </w:r>
    </w:p>
    <w:p>
      <w:pPr>
        <w:sectPr>
          <w:pgSz w:w="11900" w:h="16838" w:orient="portrait"/>
          <w:cols w:equalWidth="0" w:num="1">
            <w:col w:w="11240"/>
          </w:cols>
          <w:pgMar w:left="320" w:top="1413" w:right="339" w:bottom="1440" w:gutter="0" w:footer="0" w:header="0"/>
        </w:sectPr>
      </w:pPr>
    </w:p>
    <w:bookmarkStart w:id="21" w:name="page22"/>
    <w:bookmarkEnd w:id="21"/>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Governmental Authorization</w:t>
      </w:r>
      <w:r>
        <w:rPr>
          <w:rFonts w:ascii="Times New Roman" w:cs="Times New Roman" w:eastAsia="Times New Roman" w:hAnsi="Times New Roman"/>
          <w:sz w:val="20"/>
          <w:szCs w:val="20"/>
          <w:color w:val="auto"/>
        </w:rPr>
        <w:t>. The execution, delivery and performance by such Exchange Stockholder of this Agreement and the consummation of the transactions contemplated hereby require no action by or in respect of, or filing with, any governmental authority on the part of such Exchange Stockholder (excluding, for the avoidance of doubt (a) the filing by the Company of the Amended and Restated Certificate of Incorporation with the Secretary of State of the State of Delaware and (b) compliance by the Company with any applicable requirements of any applicable state or federal securities laws). For purposes of this Agreement, “</w:t>
      </w:r>
      <w:r>
        <w:rPr>
          <w:rFonts w:ascii="Times New Roman" w:cs="Times New Roman" w:eastAsia="Times New Roman" w:hAnsi="Times New Roman"/>
          <w:sz w:val="20"/>
          <w:szCs w:val="20"/>
          <w:b w:val="1"/>
          <w:bCs w:val="1"/>
          <w:color w:val="auto"/>
        </w:rPr>
        <w:t>governmental authority</w:t>
      </w:r>
      <w:r>
        <w:rPr>
          <w:rFonts w:ascii="Times New Roman" w:cs="Times New Roman" w:eastAsia="Times New Roman" w:hAnsi="Times New Roman"/>
          <w:sz w:val="20"/>
          <w:szCs w:val="20"/>
          <w:color w:val="auto"/>
        </w:rPr>
        <w:t>” means any transnational, domestic or foreign federal, state or local governmental, regulatory or administrative authority, department, court, agency or official, including any political subdivision thereof.</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Noncontravention</w:t>
      </w:r>
      <w:r>
        <w:rPr>
          <w:rFonts w:ascii="Times New Roman" w:cs="Times New Roman" w:eastAsia="Times New Roman" w:hAnsi="Times New Roman"/>
          <w:sz w:val="20"/>
          <w:szCs w:val="20"/>
          <w:color w:val="auto"/>
        </w:rPr>
        <w:t>. The execution, delivery and performance by such Exchange Stockholder of this Agreement and the consummation of the transactions contemplated hereby do not and will not (a) violate any governing document, including any trust agreement, applicable to such Exchange Stockholder, (b) subject to compliance with Section 2.2, violate any applicable law, (c) assuming the waiver or inapplicability of any and all rights of first refusal or co-sale held by the Company or the Company’s stockholders that are applicable to the transactions contemplated hereby, require any consent or other action under, constitute a default under, or give rise to any right of termination, cancellation or acceleration of any obligation of such Exchange Stockholder or to the loss of any benefit to which such Exchange Stockholder is entitled under any provision of any agreement or other instrument binding upon such Exchange Stockholder or (d) result in the creation or imposition of any lien on such Exchange Stockholder’s Class B Shares, other than restrictions on transfer arising under applicable securities laws or as set forth or contemplated by this Agreement, the Amended and Restated Certificate of Incorporation or any other agreements to which such Exchange Stockholder and the Company are a party.</w:t>
      </w:r>
    </w:p>
    <w:p>
      <w:pPr>
        <w:spacing w:after="0" w:line="17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u w:val="single" w:color="auto"/>
          <w:color w:val="auto"/>
        </w:rPr>
        <w:t>Restricted Securities; Rule 144</w:t>
      </w:r>
      <w:r>
        <w:rPr>
          <w:rFonts w:ascii="Times New Roman" w:cs="Times New Roman" w:eastAsia="Times New Roman" w:hAnsi="Times New Roman"/>
          <w:sz w:val="20"/>
          <w:szCs w:val="20"/>
          <w:color w:val="auto"/>
        </w:rPr>
        <w:t>. Such Exchange Stockholder understands that the Class B Shares are characterized as “restricted securities” under the Securities Act of 1933, as amended (“</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because such shares are being acquired from the Company in a transaction not involving a public offering and in exchange for shares acquired from the Company in a transaction not involving a public offering, and that under the Securities Act and the rules and regulations promulgated thereunder the Class B Shares may be resold without registration under the Securities Act only in certain limited circumstances, and subject to the restrictions under the Company’s certificate of incorporation. Such Exchange Stockholder understands and hereby acknowledges that the Class B Shares must be held indefinitely unless subsequently registered under the Securities Act or an exemption from such registration is otherwise available. Such Exchange Stockholder is aware of the provisions of Rule 144 promulgated under the Securities Act, which permit limited resales of shares purchased in a transaction not involving a public offering, subject to the satisfaction of certain conditions.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2.5 </w:t>
      </w:r>
      <w:r>
        <w:rPr>
          <w:rFonts w:ascii="Times New Roman" w:cs="Times New Roman" w:eastAsia="Times New Roman" w:hAnsi="Times New Roman"/>
          <w:sz w:val="20"/>
          <w:szCs w:val="20"/>
          <w:u w:val="single" w:color="auto"/>
          <w:color w:val="auto"/>
        </w:rPr>
        <w:t>Legends</w:t>
      </w:r>
      <w:r>
        <w:rPr>
          <w:rFonts w:ascii="Times New Roman" w:cs="Times New Roman" w:eastAsia="Times New Roman" w:hAnsi="Times New Roman"/>
          <w:sz w:val="20"/>
          <w:szCs w:val="20"/>
          <w:color w:val="auto"/>
        </w:rPr>
        <w:t>. It is understood that any certificate or book entry position representing the Class B Shares and any securities issued in respect thereof or exchange therefor, shall bear legends in substantially the following form (in addition to any legend required under applicable state securities laws or agreements to which the Exchange Stockholder is a party):</w:t>
      </w:r>
    </w:p>
    <w:p>
      <w:pPr>
        <w:spacing w:after="0" w:line="161" w:lineRule="exact"/>
        <w:rPr>
          <w:sz w:val="20"/>
          <w:szCs w:val="20"/>
          <w:color w:val="auto"/>
        </w:rPr>
      </w:pPr>
    </w:p>
    <w:p>
      <w:pPr>
        <w:jc w:val="both"/>
        <w:ind w:left="660" w:right="640"/>
        <w:spacing w:after="0" w:line="257" w:lineRule="auto"/>
        <w:rPr>
          <w:sz w:val="20"/>
          <w:szCs w:val="20"/>
          <w:color w:val="auto"/>
        </w:rPr>
      </w:pPr>
      <w:r>
        <w:rPr>
          <w:rFonts w:ascii="Times New Roman" w:cs="Times New Roman" w:eastAsia="Times New Roman" w:hAnsi="Times New Roman"/>
          <w:sz w:val="20"/>
          <w:szCs w:val="20"/>
          <w:color w:val="auto"/>
        </w:rPr>
        <w:t>“THE SECURITIES REPRESENTED HEREBY HAVE NOT BEEN REGISTERED UNDER THE SECURITIES ACT OF 1933, AS AMENDED (THE “</w:t>
      </w:r>
      <w:r>
        <w:rPr>
          <w:rFonts w:ascii="Times New Roman" w:cs="Times New Roman" w:eastAsia="Times New Roman" w:hAnsi="Times New Roman"/>
          <w:sz w:val="20"/>
          <w:szCs w:val="20"/>
          <w:b w:val="1"/>
          <w:bCs w:val="1"/>
          <w:color w:val="auto"/>
        </w:rPr>
        <w:t>ACT</w:t>
      </w:r>
      <w:r>
        <w:rPr>
          <w:rFonts w:ascii="Times New Roman" w:cs="Times New Roman" w:eastAsia="Times New Roman" w:hAnsi="Times New Roman"/>
          <w:sz w:val="20"/>
          <w:szCs w:val="20"/>
          <w:color w:val="auto"/>
        </w:rPr>
        <w:t>”), OR UNDER THE SECURITIES LAWS OF CERTAIN STATES. THESE SECURITIES MAY NOT BE OFFERED, SOLD OR OTHERWISE TRANSFERRED, PLEDGED OR HYPOTHECATED EXCEPT AS PERMITTED UNDER THE ACT AND APPLICABLE STATE SECURITIES LAWS PURSUANT TO REGISTRATION OR AN EXEMPTION THEREFROM. THE ISSUER OF THESE SECURITIES MAY</w:t>
      </w:r>
    </w:p>
    <w:p>
      <w:pPr>
        <w:sectPr>
          <w:pgSz w:w="11900" w:h="16838" w:orient="portrait"/>
          <w:cols w:equalWidth="0" w:num="1">
            <w:col w:w="11240"/>
          </w:cols>
          <w:pgMar w:left="320" w:top="1413" w:right="339" w:bottom="1440" w:gutter="0" w:footer="0" w:header="0"/>
        </w:sectPr>
      </w:pPr>
    </w:p>
    <w:bookmarkStart w:id="22" w:name="page23"/>
    <w:bookmarkEnd w:id="22"/>
    <w:p>
      <w:pPr>
        <w:jc w:val="both"/>
        <w:ind w:left="660" w:right="660"/>
        <w:spacing w:after="0" w:line="261" w:lineRule="auto"/>
        <w:rPr>
          <w:sz w:val="20"/>
          <w:szCs w:val="20"/>
          <w:color w:val="auto"/>
        </w:rPr>
      </w:pPr>
      <w:r>
        <w:rPr>
          <w:rFonts w:ascii="Times New Roman" w:cs="Times New Roman" w:eastAsia="Times New Roman" w:hAnsi="Times New Roman"/>
          <w:sz w:val="20"/>
          <w:szCs w:val="20"/>
          <w:color w:val="auto"/>
        </w:rPr>
        <w:t>REQUIRE AN OPINION OF COUNSEL SATISFACTORY TO THE ISSUER THAT SUCH OFFER, SALE OR TRANSFER, PLEDGE OR HYPOTHECATION OTHERWISE COMPLIES WITH THE ACT AND ANY APPLICABLE STATE SECURITIES LAWS.”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REPRESENTATIONS AND WARRANTIES OF THE COMPANY</w:t>
      </w:r>
    </w:p>
    <w:p>
      <w:pPr>
        <w:spacing w:after="0" w:line="23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Company hereby represents and warrants to each Exchange Stockholder, with respect to the transactions contemplated hereby, as follows:</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Corporate Existence and Power</w:t>
      </w:r>
      <w:r>
        <w:rPr>
          <w:rFonts w:ascii="Times New Roman" w:cs="Times New Roman" w:eastAsia="Times New Roman" w:hAnsi="Times New Roman"/>
          <w:sz w:val="20"/>
          <w:szCs w:val="20"/>
          <w:color w:val="auto"/>
        </w:rPr>
        <w:t>. The Company is a corporation duly incorporated, validly existing and in good standing under the laws of the State of Delaware.</w:t>
      </w:r>
    </w:p>
    <w:p>
      <w:pPr>
        <w:spacing w:after="0" w:line="14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 xml:space="preserve">3.2 </w:t>
      </w:r>
      <w:r>
        <w:rPr>
          <w:rFonts w:ascii="Times New Roman" w:cs="Times New Roman" w:eastAsia="Times New Roman" w:hAnsi="Times New Roman"/>
          <w:sz w:val="19"/>
          <w:szCs w:val="19"/>
          <w:u w:val="single" w:color="auto"/>
          <w:color w:val="auto"/>
        </w:rPr>
        <w:t>Corporate Authorization</w:t>
      </w:r>
      <w:r>
        <w:rPr>
          <w:rFonts w:ascii="Times New Roman" w:cs="Times New Roman" w:eastAsia="Times New Roman" w:hAnsi="Times New Roman"/>
          <w:sz w:val="19"/>
          <w:szCs w:val="19"/>
          <w:color w:val="auto"/>
        </w:rPr>
        <w:t>. (a) The execution, delivery and performance by the Company of this Agreement and the consummation of the transactions contemplated hereby, including the issuance and delivery of the Class B Shares (including the conversion thereof into Class A Common Stock upon the terms specified in the Amended and Restated Certificate of Incorporation and the renaming of Common Stock as Class A Common Stock at the Effective Time) in accordance with the Amended and Restated Certificate of Incorporation, are within the corporate powers of the Company and have been duly authorized by all necessary corporate action on the part of the Company and the Company’s stockholders, subject to compliance with Section 3.3 and the approval of and adoption by the Company’s stockholders of the Amended and Restated Certificate of Incorporation. Any and all rights of first refusal or co-sale held by the Company or the Company’s stockholders that are applicable to the transactions contemplated hereby have been waived or are otherwise inapplicable. Assuming the due authorization, execution and delivery by each Exchange Stockholder, this Agreement constitutes a valid and binding agreement of the Company, enforceable against the Company in accordance with its terms (subject to applicable bankruptcy, insolvency, fraudulent transfer, reorganization, moratorium and other laws affecting creditors’ rights generally and general principles of equity).</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Governmental Authorization</w:t>
      </w:r>
      <w:r>
        <w:rPr>
          <w:rFonts w:ascii="Times New Roman" w:cs="Times New Roman" w:eastAsia="Times New Roman" w:hAnsi="Times New Roman"/>
          <w:sz w:val="20"/>
          <w:szCs w:val="20"/>
          <w:color w:val="auto"/>
        </w:rPr>
        <w:t>. The execution, delivery and performance by the Company of this Agreement and the consummation of the transactions contemplated hereby require no action by or in respect of, or filing with, any governmental authority other than (a) the filing by the Company of the Amended and Restated Certificate of Incorporation with the Secretary of State of the State of Delaware and (b) compliance by the Company with any applicable requirements of any applicable state or federal securities laws.</w:t>
      </w:r>
    </w:p>
    <w:p>
      <w:pPr>
        <w:spacing w:after="0" w:line="17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Noncontravention</w:t>
      </w:r>
      <w:r>
        <w:rPr>
          <w:rFonts w:ascii="Times New Roman" w:cs="Times New Roman" w:eastAsia="Times New Roman" w:hAnsi="Times New Roman"/>
          <w:sz w:val="20"/>
          <w:szCs w:val="20"/>
          <w:color w:val="auto"/>
        </w:rPr>
        <w:t>. The execution, delivery and performance by the Company of this Agreement and the consummation of the transactions contemplated hereby do not and will not, assuming compliance with the matters referred to in Section 3.3 and approval of and adoption by the Company’s stockholders of the Amended and Restated Certificate of Incorporation, (a) violate the certificate of incorporation or bylaws of the Company, (b) violate any applicable law, (c) require any consent or other action by any person under, constitute a default under, or give rise to any right of termination, cancellation or acceleration of any right obligation of the Company or to the loss of any benefit to which the Company is entitled under any provision of any agreement or other instrument binding upon the Company or (d) result in the creation or imposition of any lien on the Class B Shares other than as set forth or contemplated by this Agreement or the Amended and Restated Certificate of Incorporation.</w:t>
      </w:r>
    </w:p>
    <w:p>
      <w:pPr>
        <w:sectPr>
          <w:pgSz w:w="11900" w:h="16838" w:orient="portrait"/>
          <w:cols w:equalWidth="0" w:num="1">
            <w:col w:w="11240"/>
          </w:cols>
          <w:pgMar w:left="320" w:top="1413"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COVENANTS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Market Stand-Off Agreement</w:t>
      </w:r>
      <w:r>
        <w:rPr>
          <w:rFonts w:ascii="Times New Roman" w:cs="Times New Roman" w:eastAsia="Times New Roman" w:hAnsi="Times New Roman"/>
          <w:sz w:val="20"/>
          <w:szCs w:val="20"/>
          <w:color w:val="auto"/>
        </w:rPr>
        <w:t>. Each of the Exchange Stockholders has entered into a lock-up agreement with the underwriters of the IPO with respect to the sale, disposition or transfer of such Exchange Stockholder’s securities of the Company and each of the Exchange Stockholders agrees not to revoke such lock-up agreement. Each of the Exchange Stockholders also agrees that any other lock-up or market stand-off agreements applicable to the shares of Common Stock of the Company held by such Exchange Stockholders continue to apply to the Class B Shares in accordance with the terms of such agreements.</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Voting Agreement and Irrevocable Proxy</w:t>
      </w:r>
      <w:r>
        <w:rPr>
          <w:rFonts w:ascii="Times New Roman" w:cs="Times New Roman" w:eastAsia="Times New Roman" w:hAnsi="Times New Roman"/>
          <w:sz w:val="20"/>
          <w:szCs w:val="20"/>
          <w:color w:val="auto"/>
        </w:rPr>
        <w:t>. The Exchange Stockholder has entered into the Founder Voting Proxy (as defined in the Amended and Restated Certificate of Incorporation) to be effective upon the Exchange.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GENERAL PROVISIONS</w:t>
      </w:r>
    </w:p>
    <w:p>
      <w:pPr>
        <w:spacing w:after="0" w:line="233"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9"/>
          <w:szCs w:val="19"/>
          <w:color w:val="auto"/>
        </w:rPr>
        <w:t xml:space="preserve">5.1 </w:t>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Agreement shall be governed in all respects by the internal laws of the State of Delaware as applied to agreements entered into among Delaware residents to be performed entirely within Delaware, without regard to principles of conflicts of law.</w:t>
      </w:r>
    </w:p>
    <w:p>
      <w:pPr>
        <w:spacing w:after="0" w:line="15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Except as otherwise provided herein, the provisions hereof shall inure to the benefit of, and be binding upon, the successors, assigns, heirs, executors and administrators of the parties hereto.</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Entire Agreement; Amendment</w:t>
      </w:r>
      <w:r>
        <w:rPr>
          <w:rFonts w:ascii="Times New Roman" w:cs="Times New Roman" w:eastAsia="Times New Roman" w:hAnsi="Times New Roman"/>
          <w:sz w:val="20"/>
          <w:szCs w:val="20"/>
          <w:color w:val="auto"/>
        </w:rPr>
        <w:t>. Other than the rights, restrictions and preferences provided for the Class B Common Stock pursuant to the Amended and Restated Certificate of Incorporation and bylaws, this Agreement, including the exhibits attached hereto, constitutes the full and entire understanding and agreement between the parties with respect to the subject matter hereof. Neither this Agreement nor any term hereof may be amended or, waived other than by a written instrument signed by the Exchange Stockholders and the Company.</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counterparts, each of which shall be deemed an original, and all of which together shall constitute one and the same instrument.</w:t>
      </w:r>
    </w:p>
    <w:p>
      <w:pPr>
        <w:spacing w:after="0" w:line="173"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20"/>
          <w:szCs w:val="20"/>
          <w:u w:val="single" w:color="auto"/>
          <w:color w:val="auto"/>
        </w:rPr>
        <w:t>Tax Consequences</w:t>
      </w:r>
      <w:r>
        <w:rPr>
          <w:rFonts w:ascii="Times New Roman" w:cs="Times New Roman" w:eastAsia="Times New Roman" w:hAnsi="Times New Roman"/>
          <w:sz w:val="20"/>
          <w:szCs w:val="20"/>
          <w:color w:val="auto"/>
        </w:rPr>
        <w:t>. The Parties intend that no gain or loss shall be recognized in the Exchange pursuant to Sections 368(a)(1)</w:t>
      </w:r>
    </w:p>
    <w:p>
      <w:pPr>
        <w:spacing w:after="0" w:line="28" w:lineRule="exact"/>
        <w:rPr>
          <w:sz w:val="20"/>
          <w:szCs w:val="20"/>
          <w:color w:val="auto"/>
        </w:rPr>
      </w:pPr>
    </w:p>
    <w:p>
      <w:pPr>
        <w:jc w:val="both"/>
        <w:ind w:firstLine="8"/>
        <w:spacing w:after="0" w:line="250" w:lineRule="auto"/>
        <w:tabs>
          <w:tab w:leader="none" w:pos="33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and/or 1036 of the Code. The Parties adopt this Agreement as a plan of reorganization within the meaning of Treasury Regulations Sections 1.368-2(g) and 1.368-3(a). Notwithstanding the foregoing, each Exchange Stockholder has reviewed with his own tax advisors the federal, state, local and foreign tax consequences of the Exchange, investment in the Class B Shares and the transactions contemplated by this Agreement. Each Exchange Stockholder is relying solely on such advisors and not on any statements or representations of the Company or any of its agents in connection with the transactions contemplated hereby, except for the representations and warranties of the Company expressly set forth in Article III.</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ectPr>
          <w:pgSz w:w="11900" w:h="16838" w:orient="portrait"/>
          <w:cols w:equalWidth="0" w:num="1">
            <w:col w:w="11240"/>
          </w:cols>
          <w:pgMar w:left="320" w:top="1409" w:right="339" w:bottom="1440" w:gutter="0" w:footer="0" w:header="0"/>
        </w:sectPr>
      </w:pPr>
    </w:p>
    <w:bookmarkStart w:id="24" w:name="page25"/>
    <w:bookmarkEnd w:id="24"/>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have executed this Agreement to be effective as of the date first above written.</w:t>
      </w:r>
    </w:p>
    <w:p>
      <w:pPr>
        <w:spacing w:after="0" w:line="26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b w:val="1"/>
          <w:bCs w:val="1"/>
          <w:color w:val="auto"/>
        </w:rPr>
        <w:t>NAVAN, INC.</w:t>
      </w:r>
    </w:p>
    <w:p>
      <w:pPr>
        <w:spacing w:after="0" w:line="200" w:lineRule="exact"/>
        <w:rPr>
          <w:sz w:val="20"/>
          <w:szCs w:val="20"/>
          <w:color w:val="auto"/>
        </w:rPr>
      </w:pPr>
    </w:p>
    <w:p>
      <w:pPr>
        <w:spacing w:after="0" w:line="263" w:lineRule="exact"/>
        <w:rPr>
          <w:sz w:val="20"/>
          <w:szCs w:val="20"/>
          <w:color w:val="auto"/>
        </w:rPr>
      </w:pPr>
    </w:p>
    <w:tbl>
      <w:tblPr>
        <w:tblLayout w:type="fixed"/>
        <w:tblInd w:w="5460" w:type="dxa"/>
        <w:tblCellMar>
          <w:top w:w="0" w:type="dxa"/>
          <w:left w:w="0" w:type="dxa"/>
          <w:bottom w:w="0" w:type="dxa"/>
          <w:right w:w="0" w:type="dxa"/>
        </w:tblCellMar>
      </w:tblPr>
      <w:tr>
        <w:trPr>
          <w:trHeight w:val="259"/>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40" w:type="dxa"/>
            <w:vAlign w:val="bottom"/>
          </w:tcPr>
          <w:p>
            <w:pPr>
              <w:spacing w:after="0"/>
              <w:rPr>
                <w:sz w:val="22"/>
                <w:szCs w:val="22"/>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Howard Baik</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20"/>
                <w:szCs w:val="20"/>
                <w:color w:val="auto"/>
              </w:rPr>
              <w:t>Howard Baik</w:t>
            </w:r>
          </w:p>
        </w:tc>
      </w:tr>
      <w:tr>
        <w:trPr>
          <w:trHeight w:val="258"/>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4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General Counsel</w:t>
            </w:r>
          </w:p>
        </w:tc>
      </w:tr>
    </w:tbl>
    <w:p>
      <w:pPr>
        <w:spacing w:after="0" w:line="200" w:lineRule="exact"/>
        <w:rPr>
          <w:sz w:val="20"/>
          <w:szCs w:val="20"/>
          <w:color w:val="auto"/>
        </w:rPr>
      </w:pPr>
    </w:p>
    <w:p>
      <w:pPr>
        <w:spacing w:after="0" w:line="28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b w:val="1"/>
          <w:bCs w:val="1"/>
          <w:color w:val="auto"/>
        </w:rPr>
        <w:t>ARIEL COHEN</w:t>
      </w:r>
    </w:p>
    <w:p>
      <w:pPr>
        <w:spacing w:after="0" w:line="200" w:lineRule="exact"/>
        <w:rPr>
          <w:sz w:val="20"/>
          <w:szCs w:val="20"/>
          <w:color w:val="auto"/>
        </w:rPr>
      </w:pPr>
    </w:p>
    <w:p>
      <w:pPr>
        <w:spacing w:after="0" w:line="263" w:lineRule="exact"/>
        <w:rPr>
          <w:sz w:val="20"/>
          <w:szCs w:val="20"/>
          <w:color w:val="auto"/>
        </w:rPr>
      </w:pPr>
    </w:p>
    <w:p>
      <w:pPr>
        <w:ind w:left="5460"/>
        <w:spacing w:after="0"/>
        <w:tabs>
          <w:tab w:leader="none" w:pos="64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Ariel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22860</wp:posOffset>
            </wp:positionV>
            <wp:extent cx="26574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b w:val="1"/>
          <w:bCs w:val="1"/>
          <w:color w:val="auto"/>
        </w:rPr>
        <w:t>ARIEL MORDECHAI COHEN, AS TRUSTEE OF THE</w:t>
      </w:r>
    </w:p>
    <w:p>
      <w:pPr>
        <w:spacing w:after="0" w:line="2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b w:val="1"/>
          <w:bCs w:val="1"/>
          <w:color w:val="auto"/>
        </w:rPr>
        <w:t>ARIEL MORDECHAI COHEN LIVING TRUST, DATED</w:t>
      </w:r>
    </w:p>
    <w:p>
      <w:pPr>
        <w:spacing w:after="0" w:line="6" w:lineRule="exact"/>
        <w:rPr>
          <w:sz w:val="20"/>
          <w:szCs w:val="20"/>
          <w:color w:val="auto"/>
        </w:rPr>
      </w:pPr>
    </w:p>
    <w:tbl>
      <w:tblPr>
        <w:tblLayout w:type="fixed"/>
        <w:tblInd w:w="5460" w:type="dxa"/>
        <w:tblCellMar>
          <w:top w:w="0" w:type="dxa"/>
          <w:left w:w="0" w:type="dxa"/>
          <w:bottom w:w="0" w:type="dxa"/>
          <w:right w:w="0" w:type="dxa"/>
        </w:tblCellMar>
      </w:tblPr>
      <w:tr>
        <w:trPr>
          <w:trHeight w:val="262"/>
        </w:trPr>
        <w:tc>
          <w:tcPr>
            <w:tcW w:w="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7"/>
              </w:rPr>
              <w:t>8.22.2024</w:t>
            </w:r>
          </w:p>
        </w:tc>
        <w:tc>
          <w:tcPr>
            <w:tcW w:w="140" w:type="dxa"/>
            <w:vAlign w:val="bottom"/>
          </w:tcPr>
          <w:p>
            <w:pPr>
              <w:spacing w:after="0"/>
              <w:rPr>
                <w:sz w:val="22"/>
                <w:szCs w:val="22"/>
                <w:color w:val="auto"/>
              </w:rPr>
            </w:pPr>
          </w:p>
        </w:tc>
        <w:tc>
          <w:tcPr>
            <w:tcW w:w="4180" w:type="dxa"/>
            <w:vAlign w:val="bottom"/>
          </w:tcPr>
          <w:p>
            <w:pPr>
              <w:spacing w:after="0"/>
              <w:rPr>
                <w:sz w:val="22"/>
                <w:szCs w:val="22"/>
                <w:color w:val="auto"/>
              </w:rPr>
            </w:pPr>
          </w:p>
        </w:tc>
      </w:tr>
      <w:tr>
        <w:trPr>
          <w:trHeight w:val="697"/>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40" w:type="dxa"/>
            <w:vAlign w:val="bottom"/>
          </w:tcPr>
          <w:p>
            <w:pPr>
              <w:spacing w:after="0"/>
              <w:rPr>
                <w:sz w:val="24"/>
                <w:szCs w:val="24"/>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Ariel Cohen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1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20"/>
                <w:szCs w:val="20"/>
                <w:color w:val="auto"/>
              </w:rPr>
              <w:t>Ariel Cohen</w:t>
            </w: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[SIGNATURE PAGE TO EXCHANGE AGREEMENT]</w:t>
      </w:r>
    </w:p>
    <w:p>
      <w:pPr>
        <w:sectPr>
          <w:pgSz w:w="11900" w:h="16838" w:orient="portrait"/>
          <w:cols w:equalWidth="0" w:num="1">
            <w:col w:w="10580"/>
          </w:cols>
          <w:pgMar w:left="980" w:top="144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0"/>
          <w:szCs w:val="20"/>
          <w:color w:val="auto"/>
        </w:rPr>
        <w:t>IN WITNESS WHEREOF, the undersigned have executed this Agreement to be effective as of the date first above written.</w:t>
      </w:r>
    </w:p>
    <w:p>
      <w:pPr>
        <w:spacing w:after="0" w:line="26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b w:val="1"/>
          <w:bCs w:val="1"/>
          <w:color w:val="auto"/>
        </w:rPr>
        <w:t>ILAN TWIG</w:t>
      </w:r>
    </w:p>
    <w:p>
      <w:pPr>
        <w:spacing w:after="0" w:line="200" w:lineRule="exact"/>
        <w:rPr>
          <w:sz w:val="20"/>
          <w:szCs w:val="20"/>
          <w:color w:val="auto"/>
        </w:rPr>
      </w:pPr>
    </w:p>
    <w:p>
      <w:pPr>
        <w:spacing w:after="0" w:line="263" w:lineRule="exact"/>
        <w:rPr>
          <w:sz w:val="20"/>
          <w:szCs w:val="20"/>
          <w:color w:val="auto"/>
        </w:rPr>
      </w:pPr>
    </w:p>
    <w:p>
      <w:pPr>
        <w:ind w:left="5460"/>
        <w:spacing w:after="0"/>
        <w:tabs>
          <w:tab w:leader="none" w:pos="63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Ilan Twig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4051935</wp:posOffset>
            </wp:positionH>
            <wp:positionV relativeFrom="paragraph">
              <wp:posOffset>22860</wp:posOffset>
            </wp:positionV>
            <wp:extent cx="26657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b w:val="1"/>
          <w:bCs w:val="1"/>
          <w:color w:val="auto"/>
        </w:rPr>
        <w:t>THE ILAN TWIG LIVING TRUST</w:t>
      </w:r>
    </w:p>
    <w:p>
      <w:pPr>
        <w:spacing w:after="0" w:line="200" w:lineRule="exact"/>
        <w:rPr>
          <w:sz w:val="20"/>
          <w:szCs w:val="20"/>
          <w:color w:val="auto"/>
        </w:rPr>
      </w:pPr>
    </w:p>
    <w:p>
      <w:pPr>
        <w:spacing w:after="0" w:line="263" w:lineRule="exact"/>
        <w:rPr>
          <w:sz w:val="20"/>
          <w:szCs w:val="20"/>
          <w:color w:val="auto"/>
        </w:rPr>
      </w:pPr>
    </w:p>
    <w:tbl>
      <w:tblPr>
        <w:tblLayout w:type="fixed"/>
        <w:tblInd w:w="5460" w:type="dxa"/>
        <w:tblCellMar>
          <w:top w:w="0" w:type="dxa"/>
          <w:left w:w="0" w:type="dxa"/>
          <w:bottom w:w="0" w:type="dxa"/>
          <w:right w:w="0" w:type="dxa"/>
        </w:tblCellMar>
      </w:tblPr>
      <w:tr>
        <w:trPr>
          <w:trHeight w:val="259"/>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40" w:type="dxa"/>
            <w:vAlign w:val="bottom"/>
          </w:tcPr>
          <w:p>
            <w:pPr>
              <w:spacing w:after="0"/>
              <w:rPr>
                <w:sz w:val="22"/>
                <w:szCs w:val="22"/>
                <w:color w:val="auto"/>
              </w:rPr>
            </w:pPr>
          </w:p>
        </w:tc>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Ilan Twig</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4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Ilan Twig</w:t>
            </w:r>
          </w:p>
        </w:tc>
      </w:tr>
      <w:tr>
        <w:trPr>
          <w:trHeight w:val="258"/>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4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Trustee</w:t>
            </w:r>
          </w:p>
        </w:tc>
      </w:tr>
    </w:tbl>
    <w:p>
      <w:pPr>
        <w:spacing w:after="0" w:line="200" w:lineRule="exact"/>
        <w:rPr>
          <w:sz w:val="20"/>
          <w:szCs w:val="20"/>
          <w:color w:val="auto"/>
        </w:rPr>
      </w:pPr>
    </w:p>
    <w:p>
      <w:pPr>
        <w:spacing w:after="0" w:line="2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b w:val="1"/>
          <w:bCs w:val="1"/>
          <w:color w:val="auto"/>
        </w:rPr>
        <w:t>THE TWIG IRREVOCABLE GIFT TRUST</w:t>
      </w:r>
    </w:p>
    <w:p>
      <w:pPr>
        <w:spacing w:after="0" w:line="200" w:lineRule="exact"/>
        <w:rPr>
          <w:sz w:val="20"/>
          <w:szCs w:val="20"/>
          <w:color w:val="auto"/>
        </w:rPr>
      </w:pPr>
    </w:p>
    <w:p>
      <w:pPr>
        <w:spacing w:after="0" w:line="290" w:lineRule="exact"/>
        <w:rPr>
          <w:sz w:val="20"/>
          <w:szCs w:val="20"/>
          <w:color w:val="auto"/>
        </w:rPr>
      </w:pPr>
    </w:p>
    <w:tbl>
      <w:tblPr>
        <w:tblLayout w:type="fixed"/>
        <w:tblInd w:w="5460" w:type="dxa"/>
        <w:tblCellMar>
          <w:top w:w="0" w:type="dxa"/>
          <w:left w:w="0" w:type="dxa"/>
          <w:bottom w:w="0" w:type="dxa"/>
          <w:right w:w="0" w:type="dxa"/>
        </w:tblCellMar>
      </w:tblPr>
      <w:tr>
        <w:trPr>
          <w:trHeight w:val="259"/>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40" w:type="dxa"/>
            <w:vAlign w:val="bottom"/>
          </w:tcPr>
          <w:p>
            <w:pPr>
              <w:spacing w:after="0"/>
              <w:rPr>
                <w:sz w:val="22"/>
                <w:szCs w:val="22"/>
                <w:color w:val="auto"/>
              </w:rPr>
            </w:pPr>
          </w:p>
        </w:tc>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Ofer Ben-David</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4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Ofer Ben-David</w:t>
            </w:r>
          </w:p>
        </w:tc>
      </w:tr>
      <w:tr>
        <w:trPr>
          <w:trHeight w:val="258"/>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4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Trustee</w:t>
            </w:r>
          </w:p>
        </w:tc>
      </w:tr>
    </w:tbl>
    <w:p>
      <w:pPr>
        <w:spacing w:after="0" w:line="200" w:lineRule="exact"/>
        <w:rPr>
          <w:sz w:val="20"/>
          <w:szCs w:val="20"/>
          <w:color w:val="auto"/>
        </w:rPr>
      </w:pPr>
    </w:p>
    <w:p>
      <w:pPr>
        <w:spacing w:after="0" w:line="28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b w:val="1"/>
          <w:bCs w:val="1"/>
          <w:color w:val="auto"/>
        </w:rPr>
        <w:t>LEEOR ELI TWIG GST TRUST</w:t>
      </w:r>
    </w:p>
    <w:p>
      <w:pPr>
        <w:spacing w:after="0" w:line="200" w:lineRule="exact"/>
        <w:rPr>
          <w:sz w:val="20"/>
          <w:szCs w:val="20"/>
          <w:color w:val="auto"/>
        </w:rPr>
      </w:pPr>
    </w:p>
    <w:p>
      <w:pPr>
        <w:spacing w:after="0" w:line="263" w:lineRule="exact"/>
        <w:rPr>
          <w:sz w:val="20"/>
          <w:szCs w:val="20"/>
          <w:color w:val="auto"/>
        </w:rPr>
      </w:pPr>
    </w:p>
    <w:tbl>
      <w:tblPr>
        <w:tblLayout w:type="fixed"/>
        <w:tblInd w:w="5460" w:type="dxa"/>
        <w:tblCellMar>
          <w:top w:w="0" w:type="dxa"/>
          <w:left w:w="0" w:type="dxa"/>
          <w:bottom w:w="0" w:type="dxa"/>
          <w:right w:w="0" w:type="dxa"/>
        </w:tblCellMar>
      </w:tblPr>
      <w:tr>
        <w:trPr>
          <w:trHeight w:val="259"/>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40" w:type="dxa"/>
            <w:vAlign w:val="bottom"/>
          </w:tcPr>
          <w:p>
            <w:pPr>
              <w:spacing w:after="0"/>
              <w:rPr>
                <w:sz w:val="22"/>
                <w:szCs w:val="22"/>
                <w:color w:val="auto"/>
              </w:rPr>
            </w:pPr>
          </w:p>
        </w:tc>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Ofer Ben-David</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4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Ofer Ben-David</w:t>
            </w:r>
          </w:p>
        </w:tc>
      </w:tr>
      <w:tr>
        <w:trPr>
          <w:trHeight w:val="258"/>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4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Trustee</w:t>
            </w:r>
          </w:p>
        </w:tc>
      </w:tr>
    </w:tbl>
    <w:p>
      <w:pPr>
        <w:sectPr>
          <w:pgSz w:w="11900" w:h="16838" w:orient="portrait"/>
          <w:cols w:equalWidth="0" w:num="1">
            <w:col w:w="10580"/>
          </w:cols>
          <w:pgMar w:left="980" w:top="141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color w:val="auto"/>
        </w:rPr>
        <w:t>IN WITNESS WHEREOF, the undersigned have executed this Agreement to be effective as of the date first above written.</w:t>
      </w:r>
    </w:p>
    <w:p>
      <w:pPr>
        <w:spacing w:after="0" w:line="27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b w:val="1"/>
          <w:bCs w:val="1"/>
          <w:color w:val="auto"/>
        </w:rPr>
        <w:t>LIHI COHEN GST TRUST DATED FEBRUARY 15, 2020</w:t>
      </w:r>
    </w:p>
    <w:p>
      <w:pPr>
        <w:spacing w:after="0" w:line="200" w:lineRule="exact"/>
        <w:rPr>
          <w:sz w:val="20"/>
          <w:szCs w:val="20"/>
          <w:color w:val="auto"/>
        </w:rPr>
      </w:pPr>
    </w:p>
    <w:p>
      <w:pPr>
        <w:spacing w:after="0" w:line="290" w:lineRule="exact"/>
        <w:rPr>
          <w:sz w:val="20"/>
          <w:szCs w:val="20"/>
          <w:color w:val="auto"/>
        </w:rPr>
      </w:pPr>
    </w:p>
    <w:tbl>
      <w:tblPr>
        <w:tblLayout w:type="fixed"/>
        <w:tblInd w:w="5460" w:type="dxa"/>
        <w:tblCellMar>
          <w:top w:w="0" w:type="dxa"/>
          <w:left w:w="0" w:type="dxa"/>
          <w:bottom w:w="0" w:type="dxa"/>
          <w:right w:w="0" w:type="dxa"/>
        </w:tblCellMar>
      </w:tblPr>
      <w:tr>
        <w:trPr>
          <w:trHeight w:val="259"/>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40" w:type="dxa"/>
            <w:vAlign w:val="bottom"/>
          </w:tcPr>
          <w:p>
            <w:pPr>
              <w:spacing w:after="0"/>
              <w:rPr>
                <w:sz w:val="22"/>
                <w:szCs w:val="22"/>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Meital Cohen Karlsberg</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20"/>
                <w:szCs w:val="20"/>
                <w:color w:val="auto"/>
              </w:rPr>
              <w:t>Meital Cohen Karlsberg</w:t>
            </w:r>
          </w:p>
        </w:tc>
      </w:tr>
      <w:tr>
        <w:trPr>
          <w:trHeight w:val="258"/>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4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Trustee</w:t>
            </w:r>
          </w:p>
        </w:tc>
      </w:tr>
    </w:tbl>
    <w:p>
      <w:pPr>
        <w:spacing w:after="0" w:line="22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SHAI COHEN GST TRUST DATED FEBRUARY 15, 2020</w:t>
      </w:r>
    </w:p>
    <w:p>
      <w:pPr>
        <w:spacing w:after="0" w:line="200" w:lineRule="exact"/>
        <w:rPr>
          <w:sz w:val="20"/>
          <w:szCs w:val="20"/>
          <w:color w:val="auto"/>
        </w:rPr>
      </w:pPr>
    </w:p>
    <w:p>
      <w:pPr>
        <w:spacing w:after="0" w:line="290" w:lineRule="exact"/>
        <w:rPr>
          <w:sz w:val="20"/>
          <w:szCs w:val="20"/>
          <w:color w:val="auto"/>
        </w:rPr>
      </w:pPr>
    </w:p>
    <w:tbl>
      <w:tblPr>
        <w:tblLayout w:type="fixed"/>
        <w:tblInd w:w="5460" w:type="dxa"/>
        <w:tblCellMar>
          <w:top w:w="0" w:type="dxa"/>
          <w:left w:w="0" w:type="dxa"/>
          <w:bottom w:w="0" w:type="dxa"/>
          <w:right w:w="0" w:type="dxa"/>
        </w:tblCellMar>
      </w:tblPr>
      <w:tr>
        <w:trPr>
          <w:trHeight w:val="259"/>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40" w:type="dxa"/>
            <w:vAlign w:val="bottom"/>
          </w:tcPr>
          <w:p>
            <w:pPr>
              <w:spacing w:after="0"/>
              <w:rPr>
                <w:sz w:val="22"/>
                <w:szCs w:val="22"/>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Meital Cohen Karsberg</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20"/>
                <w:szCs w:val="20"/>
                <w:color w:val="auto"/>
              </w:rPr>
              <w:t>Meital Cohen Karlsberg</w:t>
            </w:r>
          </w:p>
        </w:tc>
      </w:tr>
      <w:tr>
        <w:trPr>
          <w:trHeight w:val="258"/>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4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Trustee</w:t>
            </w:r>
          </w:p>
        </w:tc>
      </w:tr>
    </w:tbl>
    <w:p>
      <w:pPr>
        <w:spacing w:after="0" w:line="19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b w:val="1"/>
          <w:bCs w:val="1"/>
          <w:color w:val="auto"/>
        </w:rPr>
        <w:t>SIVAN COHEN GST TRUST DATED FEBRUARY 15,</w:t>
      </w:r>
    </w:p>
    <w:p>
      <w:pPr>
        <w:ind w:left="5460"/>
        <w:spacing w:after="0"/>
        <w:rPr>
          <w:sz w:val="20"/>
          <w:szCs w:val="20"/>
          <w:color w:val="auto"/>
        </w:rPr>
      </w:pPr>
      <w:r>
        <w:rPr>
          <w:rFonts w:ascii="Times New Roman" w:cs="Times New Roman" w:eastAsia="Times New Roman" w:hAnsi="Times New Roman"/>
          <w:sz w:val="20"/>
          <w:szCs w:val="20"/>
          <w:b w:val="1"/>
          <w:bCs w:val="1"/>
          <w:color w:val="auto"/>
        </w:rPr>
        <w:t>2020</w:t>
      </w:r>
    </w:p>
    <w:p>
      <w:pPr>
        <w:spacing w:after="0" w:line="200" w:lineRule="exact"/>
        <w:rPr>
          <w:sz w:val="20"/>
          <w:szCs w:val="20"/>
          <w:color w:val="auto"/>
        </w:rPr>
      </w:pPr>
    </w:p>
    <w:p>
      <w:pPr>
        <w:spacing w:after="0" w:line="237" w:lineRule="exact"/>
        <w:rPr>
          <w:sz w:val="20"/>
          <w:szCs w:val="20"/>
          <w:color w:val="auto"/>
        </w:rPr>
      </w:pPr>
    </w:p>
    <w:tbl>
      <w:tblPr>
        <w:tblLayout w:type="fixed"/>
        <w:tblInd w:w="5460" w:type="dxa"/>
        <w:tblCellMar>
          <w:top w:w="0" w:type="dxa"/>
          <w:left w:w="0" w:type="dxa"/>
          <w:bottom w:w="0" w:type="dxa"/>
          <w:right w:w="0" w:type="dxa"/>
        </w:tblCellMar>
      </w:tblPr>
      <w:tr>
        <w:trPr>
          <w:trHeight w:val="259"/>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40" w:type="dxa"/>
            <w:vAlign w:val="bottom"/>
          </w:tcPr>
          <w:p>
            <w:pPr>
              <w:spacing w:after="0"/>
              <w:rPr>
                <w:sz w:val="22"/>
                <w:szCs w:val="22"/>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Meital Cohen Karlsberg</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20"/>
                <w:szCs w:val="20"/>
                <w:color w:val="auto"/>
              </w:rPr>
              <w:t>Meital Cohen Karlsberg</w:t>
            </w:r>
          </w:p>
        </w:tc>
      </w:tr>
      <w:tr>
        <w:trPr>
          <w:trHeight w:val="258"/>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4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Trustee</w:t>
            </w:r>
          </w:p>
        </w:tc>
      </w:tr>
    </w:tbl>
    <w:p>
      <w:pPr>
        <w:spacing w:after="0" w:line="22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b w:val="1"/>
          <w:bCs w:val="1"/>
          <w:color w:val="auto"/>
        </w:rPr>
        <w:t>LIHI COHEN NON-EXEMPT TRUST DATED MAY 14,</w:t>
      </w:r>
    </w:p>
    <w:p>
      <w:pPr>
        <w:spacing w:after="0" w:line="2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b w:val="1"/>
          <w:bCs w:val="1"/>
          <w:color w:val="auto"/>
        </w:rPr>
        <w:t>2022</w:t>
      </w:r>
    </w:p>
    <w:p>
      <w:pPr>
        <w:spacing w:after="0" w:line="200" w:lineRule="exact"/>
        <w:rPr>
          <w:sz w:val="20"/>
          <w:szCs w:val="20"/>
          <w:color w:val="auto"/>
        </w:rPr>
      </w:pPr>
    </w:p>
    <w:p>
      <w:pPr>
        <w:spacing w:after="0" w:line="264" w:lineRule="exact"/>
        <w:rPr>
          <w:sz w:val="20"/>
          <w:szCs w:val="20"/>
          <w:color w:val="auto"/>
        </w:rPr>
      </w:pPr>
    </w:p>
    <w:tbl>
      <w:tblPr>
        <w:tblLayout w:type="fixed"/>
        <w:tblInd w:w="5460" w:type="dxa"/>
        <w:tblCellMar>
          <w:top w:w="0" w:type="dxa"/>
          <w:left w:w="0" w:type="dxa"/>
          <w:bottom w:w="0" w:type="dxa"/>
          <w:right w:w="0" w:type="dxa"/>
        </w:tblCellMar>
      </w:tblPr>
      <w:tr>
        <w:trPr>
          <w:trHeight w:val="259"/>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40" w:type="dxa"/>
            <w:vAlign w:val="bottom"/>
          </w:tcPr>
          <w:p>
            <w:pPr>
              <w:spacing w:after="0"/>
              <w:rPr>
                <w:sz w:val="22"/>
                <w:szCs w:val="22"/>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Meital Cohen Karlsberg</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20"/>
                <w:szCs w:val="20"/>
                <w:color w:val="auto"/>
              </w:rPr>
              <w:t>Meital Cohen Karlsberg</w:t>
            </w:r>
          </w:p>
        </w:tc>
      </w:tr>
      <w:tr>
        <w:trPr>
          <w:trHeight w:val="258"/>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4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Trustee</w:t>
            </w:r>
          </w:p>
        </w:tc>
      </w:tr>
    </w:tbl>
    <w:p>
      <w:pPr>
        <w:spacing w:after="0" w:line="22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b w:val="1"/>
          <w:bCs w:val="1"/>
          <w:color w:val="auto"/>
        </w:rPr>
        <w:t>SHAI COHEN NON-EXEMPT TRUST DATED MAY 14,</w:t>
      </w:r>
    </w:p>
    <w:p>
      <w:pPr>
        <w:spacing w:after="0" w:line="2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b w:val="1"/>
          <w:bCs w:val="1"/>
          <w:color w:val="auto"/>
        </w:rPr>
        <w:t>2022</w:t>
      </w:r>
    </w:p>
    <w:p>
      <w:pPr>
        <w:spacing w:after="0" w:line="200" w:lineRule="exact"/>
        <w:rPr>
          <w:sz w:val="20"/>
          <w:szCs w:val="20"/>
          <w:color w:val="auto"/>
        </w:rPr>
      </w:pPr>
    </w:p>
    <w:p>
      <w:pPr>
        <w:spacing w:after="0" w:line="264" w:lineRule="exact"/>
        <w:rPr>
          <w:sz w:val="20"/>
          <w:szCs w:val="20"/>
          <w:color w:val="auto"/>
        </w:rPr>
      </w:pPr>
    </w:p>
    <w:tbl>
      <w:tblPr>
        <w:tblLayout w:type="fixed"/>
        <w:tblInd w:w="5460" w:type="dxa"/>
        <w:tblCellMar>
          <w:top w:w="0" w:type="dxa"/>
          <w:left w:w="0" w:type="dxa"/>
          <w:bottom w:w="0" w:type="dxa"/>
          <w:right w:w="0" w:type="dxa"/>
        </w:tblCellMar>
      </w:tblPr>
      <w:tr>
        <w:trPr>
          <w:trHeight w:val="259"/>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40" w:type="dxa"/>
            <w:vAlign w:val="bottom"/>
          </w:tcPr>
          <w:p>
            <w:pPr>
              <w:spacing w:after="0"/>
              <w:rPr>
                <w:sz w:val="22"/>
                <w:szCs w:val="22"/>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Meital Cohen Karlsberg</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20"/>
                <w:szCs w:val="20"/>
                <w:color w:val="auto"/>
              </w:rPr>
              <w:t>Meital Cohen Karlsberg</w:t>
            </w:r>
          </w:p>
        </w:tc>
      </w:tr>
      <w:tr>
        <w:trPr>
          <w:trHeight w:val="258"/>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4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Trustee</w:t>
            </w:r>
          </w:p>
        </w:tc>
      </w:tr>
    </w:tbl>
    <w:p>
      <w:pPr>
        <w:spacing w:after="0" w:line="33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b w:val="1"/>
          <w:bCs w:val="1"/>
          <w:color w:val="auto"/>
        </w:rPr>
        <w:t>SIVAN COHEN NON-EXEMPT TRUST DATED MAY 14,</w:t>
      </w:r>
    </w:p>
    <w:p>
      <w:pPr>
        <w:spacing w:after="0" w:line="2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b w:val="1"/>
          <w:bCs w:val="1"/>
          <w:color w:val="auto"/>
        </w:rPr>
        <w:t>2022</w:t>
      </w:r>
    </w:p>
    <w:p>
      <w:pPr>
        <w:spacing w:after="0" w:line="200" w:lineRule="exact"/>
        <w:rPr>
          <w:sz w:val="20"/>
          <w:szCs w:val="20"/>
          <w:color w:val="auto"/>
        </w:rPr>
      </w:pPr>
    </w:p>
    <w:p>
      <w:pPr>
        <w:spacing w:after="0" w:line="264" w:lineRule="exact"/>
        <w:rPr>
          <w:sz w:val="20"/>
          <w:szCs w:val="20"/>
          <w:color w:val="auto"/>
        </w:rPr>
      </w:pPr>
    </w:p>
    <w:tbl>
      <w:tblPr>
        <w:tblLayout w:type="fixed"/>
        <w:tblInd w:w="5460" w:type="dxa"/>
        <w:tblCellMar>
          <w:top w:w="0" w:type="dxa"/>
          <w:left w:w="0" w:type="dxa"/>
          <w:bottom w:w="0" w:type="dxa"/>
          <w:right w:w="0" w:type="dxa"/>
        </w:tblCellMar>
      </w:tblPr>
      <w:tr>
        <w:trPr>
          <w:trHeight w:val="259"/>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40" w:type="dxa"/>
            <w:vAlign w:val="bottom"/>
          </w:tcPr>
          <w:p>
            <w:pPr>
              <w:spacing w:after="0"/>
              <w:rPr>
                <w:sz w:val="22"/>
                <w:szCs w:val="22"/>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Meital Cohen Karlsberg</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20"/>
                <w:szCs w:val="20"/>
                <w:color w:val="auto"/>
              </w:rPr>
              <w:t>Meital Cohen Karlsberg</w:t>
            </w:r>
          </w:p>
        </w:tc>
      </w:tr>
      <w:tr>
        <w:trPr>
          <w:trHeight w:val="258"/>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4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Trustee</w:t>
            </w:r>
          </w:p>
        </w:tc>
      </w:tr>
    </w:tbl>
    <w:p>
      <w:pPr>
        <w:sectPr>
          <w:pgSz w:w="11900" w:h="16838" w:orient="portrait"/>
          <w:cols w:equalWidth="0" w:num="1">
            <w:col w:w="10580"/>
          </w:cols>
          <w:pgMar w:left="980" w:top="1413" w:right="339" w:bottom="1440" w:gutter="0" w:footer="0" w:header="0"/>
        </w:sectPr>
      </w:pPr>
    </w:p>
    <w:bookmarkStart w:id="27" w:name="page28"/>
    <w:bookmarkEnd w:id="27"/>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Exchange Stockholders</w:t>
      </w:r>
    </w:p>
    <w:p>
      <w:pPr>
        <w:sectPr>
          <w:pgSz w:w="11900" w:h="16838" w:orient="portrait"/>
          <w:cols w:equalWidth="0" w:num="1">
            <w:col w:w="9019"/>
          </w:cols>
          <w:pgMar w:left="1440" w:top="1440" w:right="1440"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EQUITY EXCHANGE RIGHT AGREEMENT</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THIS EQUITY EXCHANGE RIGHT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made and entered into as of October 29, 2025, by and between Navan, Inc., a 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Ariel Cohen (the “</w:t>
      </w:r>
      <w:r>
        <w:rPr>
          <w:rFonts w:ascii="Times New Roman" w:cs="Times New Roman" w:eastAsia="Times New Roman" w:hAnsi="Times New Roman"/>
          <w:sz w:val="20"/>
          <w:szCs w:val="20"/>
          <w:b w:val="1"/>
          <w:bCs w:val="1"/>
          <w:color w:val="auto"/>
        </w:rPr>
        <w:t>Founder</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WHEREAS, the Company’s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has determined that it is in the best interests of the Company and its stockholders to implement a multi class common stock structure in connection with the Company’s initial public offering of its capital stock (the “</w:t>
      </w:r>
      <w:r>
        <w:rPr>
          <w:rFonts w:ascii="Times New Roman" w:cs="Times New Roman" w:eastAsia="Times New Roman" w:hAnsi="Times New Roman"/>
          <w:sz w:val="20"/>
          <w:szCs w:val="20"/>
          <w:b w:val="1"/>
          <w:bCs w:val="1"/>
          <w:color w:val="auto"/>
        </w:rPr>
        <w:t>IPO</w:t>
      </w:r>
      <w:r>
        <w:rPr>
          <w:rFonts w:ascii="Times New Roman" w:cs="Times New Roman" w:eastAsia="Times New Roman" w:hAnsi="Times New Roman"/>
          <w:sz w:val="20"/>
          <w:szCs w:val="20"/>
          <w:color w:val="auto"/>
        </w:rPr>
        <w:t>”) to, among other things, enable the Company to execute its long-term vision;</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WHEREAS, in connection with the IPO, the Board and Stockholders approved an Amended and Restated Certificate of Incorporation of the Company (the “</w:t>
      </w:r>
      <w:r>
        <w:rPr>
          <w:rFonts w:ascii="Times New Roman" w:cs="Times New Roman" w:eastAsia="Times New Roman" w:hAnsi="Times New Roman"/>
          <w:sz w:val="20"/>
          <w:szCs w:val="20"/>
          <w:b w:val="1"/>
          <w:bCs w:val="1"/>
          <w:color w:val="auto"/>
        </w:rPr>
        <w:t>Interim Charter</w:t>
      </w:r>
      <w:r>
        <w:rPr>
          <w:rFonts w:ascii="Times New Roman" w:cs="Times New Roman" w:eastAsia="Times New Roman" w:hAnsi="Times New Roman"/>
          <w:sz w:val="20"/>
          <w:szCs w:val="20"/>
          <w:color w:val="auto"/>
        </w:rPr>
        <w:t>”), which, among other things, created two series of common stock of the Company, Class A Common Stock, par value $0.00000625 per share (“</w:t>
      </w:r>
      <w:r>
        <w:rPr>
          <w:rFonts w:ascii="Times New Roman" w:cs="Times New Roman" w:eastAsia="Times New Roman" w:hAnsi="Times New Roman"/>
          <w:sz w:val="20"/>
          <w:szCs w:val="20"/>
          <w:b w:val="1"/>
          <w:bCs w:val="1"/>
          <w:color w:val="auto"/>
        </w:rPr>
        <w:t>Class A Common Stock</w:t>
      </w:r>
      <w:r>
        <w:rPr>
          <w:rFonts w:ascii="Times New Roman" w:cs="Times New Roman" w:eastAsia="Times New Roman" w:hAnsi="Times New Roman"/>
          <w:sz w:val="20"/>
          <w:szCs w:val="20"/>
          <w:color w:val="auto"/>
        </w:rPr>
        <w:t>”), entitling holders to one (1) vote for each share thereof held, and Class B Common Stock, par value $0.00000625 per share (“</w:t>
      </w:r>
      <w:r>
        <w:rPr>
          <w:rFonts w:ascii="Times New Roman" w:cs="Times New Roman" w:eastAsia="Times New Roman" w:hAnsi="Times New Roman"/>
          <w:sz w:val="20"/>
          <w:szCs w:val="20"/>
          <w:b w:val="1"/>
          <w:bCs w:val="1"/>
          <w:color w:val="auto"/>
        </w:rPr>
        <w:t>Class B Common Stock</w:t>
      </w:r>
      <w:r>
        <w:rPr>
          <w:rFonts w:ascii="Times New Roman" w:cs="Times New Roman" w:eastAsia="Times New Roman" w:hAnsi="Times New Roman"/>
          <w:sz w:val="20"/>
          <w:szCs w:val="20"/>
          <w:color w:val="auto"/>
        </w:rPr>
        <w:t>”), entitling holders to thirty (30) votes for each share thereof held;</w:t>
      </w:r>
    </w:p>
    <w:p>
      <w:pPr>
        <w:spacing w:after="0" w:line="18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WHEREAS, the Board has approved an Amended and Restated Certificate of Incorporation of the Company (the “</w:t>
      </w:r>
      <w:r>
        <w:rPr>
          <w:rFonts w:ascii="Times New Roman" w:cs="Times New Roman" w:eastAsia="Times New Roman" w:hAnsi="Times New Roman"/>
          <w:sz w:val="20"/>
          <w:szCs w:val="20"/>
          <w:b w:val="1"/>
          <w:bCs w:val="1"/>
          <w:color w:val="auto"/>
        </w:rPr>
        <w:t>Amended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Restated Certificate of Incorporation</w:t>
      </w:r>
      <w:r>
        <w:rPr>
          <w:rFonts w:ascii="Times New Roman" w:cs="Times New Roman" w:eastAsia="Times New Roman" w:hAnsi="Times New Roman"/>
          <w:sz w:val="20"/>
          <w:szCs w:val="20"/>
          <w:color w:val="auto"/>
        </w:rPr>
        <w:t>”) which, in connection with the closing of the IPO, will amend and restate the Interim Charter,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effectiveness of the filing of the Amended and Restated Certificate of Incorporation (the “</w:t>
      </w:r>
      <w:r>
        <w:rPr>
          <w:rFonts w:ascii="Times New Roman" w:cs="Times New Roman" w:eastAsia="Times New Roman" w:hAnsi="Times New Roman"/>
          <w:sz w:val="20"/>
          <w:szCs w:val="20"/>
          <w:b w:val="1"/>
          <w:bCs w:val="1"/>
          <w:color w:val="auto"/>
        </w:rPr>
        <w:t>Effective Time</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WHEREAS, Founder holds awards of options to purchase Class A Common Stock and/or restricted stock units covering shares of Class A Common Stock that will be outstanding as of immediately prior to the Effective Time as set forth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(each, a “</w:t>
      </w:r>
      <w:r>
        <w:rPr>
          <w:rFonts w:ascii="Times New Roman" w:cs="Times New Roman" w:eastAsia="Times New Roman" w:hAnsi="Times New Roman"/>
          <w:sz w:val="20"/>
          <w:szCs w:val="20"/>
          <w:b w:val="1"/>
          <w:bCs w:val="1"/>
          <w:color w:val="auto"/>
        </w:rPr>
        <w:t>Founder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Equity Award</w:t>
      </w:r>
      <w:r>
        <w:rPr>
          <w:rFonts w:ascii="Times New Roman" w:cs="Times New Roman" w:eastAsia="Times New Roman" w:hAnsi="Times New Roman"/>
          <w:sz w:val="20"/>
          <w:szCs w:val="20"/>
          <w:color w:val="auto"/>
        </w:rPr>
        <w:t>”), and each Founder Equity Award has been granted under the Company’s 2015 Equity Incentive Plan, as amended and/or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restated, and the award agreement memorializing Founder Equity Award (collectively, the “</w:t>
      </w:r>
      <w:r>
        <w:rPr>
          <w:rFonts w:ascii="Times New Roman" w:cs="Times New Roman" w:eastAsia="Times New Roman" w:hAnsi="Times New Roman"/>
          <w:sz w:val="20"/>
          <w:szCs w:val="20"/>
          <w:b w:val="1"/>
          <w:bCs w:val="1"/>
          <w:color w:val="auto"/>
        </w:rPr>
        <w:t>Equity Documents</w:t>
      </w:r>
      <w:r>
        <w:rPr>
          <w:rFonts w:ascii="Times New Roman" w:cs="Times New Roman" w:eastAsia="Times New Roman" w:hAnsi="Times New Roman"/>
          <w:sz w:val="20"/>
          <w:szCs w:val="20"/>
          <w:color w:val="auto"/>
        </w:rPr>
        <w:t>”); and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WHEREAS, the Board has determined that it is advisable and in the best interest of the Company and all of its stockholders, including its stockholders other than Founder, to provide Founder with the right to require the Company to exchange shares of Class A Common Stock that Founder acquires upon the exercise, vesting, and/or settlement of his Founder Equity Awards for a number of shares of Class B Common Stock of equivalent value as determined on the date of the exchange (which is expected to be on a one share-for-one share basis), subject to the terms and conditions set forth in this Agreement; and.</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the parties intend that no gain or loss will be recognized in any Exchange (as defined below) pursuant to Sections 368(a)(1)(E) and/or 1036 of the Internal Revenue Code of 1986, as amended (the “</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NOW, THEREFORE, in consideration of the foregoing recitals and the mutual promises, representations and covenants set forth herein, and for other good and valuable consideration, the receipt and sufficiency of which are hereby acknowledged and accepted, the parties hereto agree as follows:</w:t>
      </w:r>
    </w:p>
    <w:p>
      <w:pPr>
        <w:sectPr>
          <w:pgSz w:w="11900" w:h="16838" w:orient="portrait"/>
          <w:cols w:equalWidth="0" w:num="1">
            <w:col w:w="11240"/>
          </w:cols>
          <w:pgMar w:left="320" w:top="11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PUT RIGHT AND EXCHANGE AND ISSUANCE OF CLASS B COMMON STOCK</w:t>
      </w:r>
    </w:p>
    <w:p>
      <w:pPr>
        <w:spacing w:after="0" w:line="20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Grant of Put Right</w:t>
      </w:r>
      <w:r>
        <w:rPr>
          <w:rFonts w:ascii="Times New Roman" w:cs="Times New Roman" w:eastAsia="Times New Roman" w:hAnsi="Times New Roman"/>
          <w:sz w:val="20"/>
          <w:szCs w:val="20"/>
          <w:color w:val="auto"/>
        </w:rPr>
        <w:t>. Effective immediately following the Effective Time, and subject to the terms and provisions of this Agreement (including Section 1.2(a) below), the Company hereby irrevocably grants to Founder the right (the “</w:t>
      </w:r>
      <w:r>
        <w:rPr>
          <w:rFonts w:ascii="Times New Roman" w:cs="Times New Roman" w:eastAsia="Times New Roman" w:hAnsi="Times New Roman"/>
          <w:sz w:val="20"/>
          <w:szCs w:val="20"/>
          <w:b w:val="1"/>
          <w:bCs w:val="1"/>
          <w:color w:val="auto"/>
        </w:rPr>
        <w:t>Put Right</w:t>
      </w:r>
      <w:r>
        <w:rPr>
          <w:rFonts w:ascii="Times New Roman" w:cs="Times New Roman" w:eastAsia="Times New Roman" w:hAnsi="Times New Roman"/>
          <w:sz w:val="20"/>
          <w:szCs w:val="20"/>
          <w:color w:val="auto"/>
        </w:rPr>
        <w:t>”) to require the Company to exchange any shares of Class A Common Stock that Founder acquires following the Effective Time as a result of the exercise, vesting, and/or settlement of his Founder Equity Awards (each, a “</w:t>
      </w:r>
      <w:r>
        <w:rPr>
          <w:rFonts w:ascii="Times New Roman" w:cs="Times New Roman" w:eastAsia="Times New Roman" w:hAnsi="Times New Roman"/>
          <w:sz w:val="20"/>
          <w:szCs w:val="20"/>
          <w:b w:val="1"/>
          <w:bCs w:val="1"/>
          <w:color w:val="auto"/>
        </w:rPr>
        <w:t>Put Eligible Share</w:t>
      </w:r>
      <w:r>
        <w:rPr>
          <w:rFonts w:ascii="Times New Roman" w:cs="Times New Roman" w:eastAsia="Times New Roman" w:hAnsi="Times New Roman"/>
          <w:sz w:val="20"/>
          <w:szCs w:val="20"/>
          <w:color w:val="auto"/>
        </w:rPr>
        <w:t>”) for a number of shares of Class B Common Stock of equivalent value as determined on the date of the exchange (which is expected to be on a one share-for-one share basis), subject to the terms and conditions set forth in this Agreement (the “</w:t>
      </w:r>
      <w:r>
        <w:rPr>
          <w:rFonts w:ascii="Times New Roman" w:cs="Times New Roman" w:eastAsia="Times New Roman" w:hAnsi="Times New Roman"/>
          <w:sz w:val="20"/>
          <w:szCs w:val="20"/>
          <w:b w:val="1"/>
          <w:bCs w:val="1"/>
          <w:color w:val="auto"/>
        </w:rPr>
        <w:t>Exchange</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u w:val="single" w:color="auto"/>
          <w:color w:val="auto"/>
        </w:rPr>
        <w:t>Exercise of Put Right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68" w:lineRule="auto"/>
        <w:tabs>
          <w:tab w:leader="none" w:pos="173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condition precedent to the exercise of the Put Right on any given date, the Company and Founder must mutually agree that no gain or loss will be required to be recognized for U.S. federal tax purposes on account of such exercise and related Exchange (the “</w:t>
      </w:r>
      <w:r>
        <w:rPr>
          <w:rFonts w:ascii="Times New Roman" w:cs="Times New Roman" w:eastAsia="Times New Roman" w:hAnsi="Times New Roman"/>
          <w:sz w:val="20"/>
          <w:szCs w:val="20"/>
          <w:b w:val="1"/>
          <w:bCs w:val="1"/>
          <w:color w:val="auto"/>
        </w:rPr>
        <w:t>Put Right Condition</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firstLine="1304"/>
        <w:spacing w:after="0" w:line="258" w:lineRule="auto"/>
        <w:tabs>
          <w:tab w:leader="none" w:pos="1797"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Put Right Condition is satisfied, the Put Right will be exercisable by Founder by submitting a completed and fully-executed notice in the form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Put Right Notice</w:t>
      </w:r>
      <w:r>
        <w:rPr>
          <w:rFonts w:ascii="Times New Roman" w:cs="Times New Roman" w:eastAsia="Times New Roman" w:hAnsi="Times New Roman"/>
          <w:sz w:val="20"/>
          <w:szCs w:val="20"/>
          <w:color w:val="auto"/>
        </w:rPr>
        <w:t>”) to the Company on or prior to the Put Right’s Expiration Date (as defined in Section 1.5 below). If the Put Right Condition is satisfied, the Put Right will be deemed to have been exercised immediately prior to 5:00 p.m. Pacific Time on the date of timely delivery of a Put Right Notice with respect to the Put Right.</w:t>
      </w:r>
    </w:p>
    <w:p>
      <w:pPr>
        <w:spacing w:after="0" w:line="185"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92"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satisfy the Put Right Condition or to deliver a Put Right Notice prior to 5:00 p.m. Pacific Time on a Put Right’s Expiration Date will constitute an irrevocable waiver of the Put Right with respect to any shares of Class A Common Stock that remain subject to Founder Equity Awards and any remaining Put Eligible Shares.</w:t>
      </w:r>
    </w:p>
    <w:p>
      <w:pPr>
        <w:spacing w:after="0" w:line="167" w:lineRule="exact"/>
        <w:rPr>
          <w:rFonts w:ascii="Times New Roman" w:cs="Times New Roman" w:eastAsia="Times New Roman" w:hAnsi="Times New Roman"/>
          <w:sz w:val="20"/>
          <w:szCs w:val="20"/>
          <w:color w:val="auto"/>
        </w:rPr>
      </w:pPr>
    </w:p>
    <w:p>
      <w:pPr>
        <w:jc w:val="both"/>
        <w:ind w:firstLine="1304"/>
        <w:spacing w:after="0" w:line="258" w:lineRule="auto"/>
        <w:tabs>
          <w:tab w:leader="none" w:pos="175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Put Right cannot be exercised by Founder with respect to any Put Eligible Share more than once. Further, Founder will have no Put Right pursuant to this Agreement with respect to any share of Class A Common Stock that is acquired by Founder following the Effective Time other than as a result of the exercise, vesting, and/or settlement of a Founder Equity Award, or with respect to any portion of a Founder Equity Award that is subject to a constructive trust.</w:t>
      </w:r>
    </w:p>
    <w:p>
      <w:pPr>
        <w:spacing w:after="0" w:line="18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Exchange of Shares</w:t>
      </w:r>
      <w:r>
        <w:rPr>
          <w:rFonts w:ascii="Times New Roman" w:cs="Times New Roman" w:eastAsia="Times New Roman" w:hAnsi="Times New Roman"/>
          <w:sz w:val="20"/>
          <w:szCs w:val="20"/>
          <w:color w:val="auto"/>
        </w:rPr>
        <w:t>. Within ten (10) calendar days after the Company’s receipt of a properly executed Put Right Notice, and provided the Put Right Condition remains satisfied, the Company will complete the Exchange for the specified number of Put Eligible Shares indicated in the Put Right Notice (“</w:t>
      </w:r>
      <w:r>
        <w:rPr>
          <w:rFonts w:ascii="Times New Roman" w:cs="Times New Roman" w:eastAsia="Times New Roman" w:hAnsi="Times New Roman"/>
          <w:sz w:val="20"/>
          <w:szCs w:val="20"/>
          <w:b w:val="1"/>
          <w:bCs w:val="1"/>
          <w:color w:val="auto"/>
        </w:rPr>
        <w:t>Exercised Shares</w:t>
      </w:r>
      <w:r>
        <w:rPr>
          <w:rFonts w:ascii="Times New Roman" w:cs="Times New Roman" w:eastAsia="Times New Roman" w:hAnsi="Times New Roman"/>
          <w:sz w:val="20"/>
          <w:szCs w:val="20"/>
          <w:color w:val="auto"/>
        </w:rPr>
        <w:t>”) by issuing, out of shares legally available therefor, a number of shares of Class B Common Stock to Founder of equivalent value determined on the date of the Exchange (which is expected to be on a one share-for-one share basis). Upon the effectiveness of such Exchange, the Company will deliver to Founder such documentation as may be reasonably required to evidence that the shares of Class B Common Stock have been duly issued and transferred to the applicable Founder in exchange for the Exercised Shares.</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1.4 </w:t>
      </w:r>
      <w:r>
        <w:rPr>
          <w:rFonts w:ascii="Times New Roman" w:cs="Times New Roman" w:eastAsia="Times New Roman" w:hAnsi="Times New Roman"/>
          <w:sz w:val="20"/>
          <w:szCs w:val="20"/>
          <w:u w:val="single" w:color="auto"/>
          <w:color w:val="auto"/>
        </w:rPr>
        <w:t>Rights to Shares of Class A Common Stock Following Exchange</w:t>
      </w:r>
      <w:r>
        <w:rPr>
          <w:rFonts w:ascii="Times New Roman" w:cs="Times New Roman" w:eastAsia="Times New Roman" w:hAnsi="Times New Roman"/>
          <w:sz w:val="20"/>
          <w:szCs w:val="20"/>
          <w:color w:val="auto"/>
        </w:rPr>
        <w:t>. Upon the Exchange, Founder will no longer have any rights as a holder of the Exercised Shares that are the subject of the Exchange (other than the right to receive the shares of Class B Common Stock in accordance with this Agreement). Such Exercised Shares will be deemed to have been redeemed by the Company in</w:t>
      </w:r>
    </w:p>
    <w:p>
      <w:pPr>
        <w:sectPr>
          <w:pgSz w:w="11900" w:h="16838" w:orient="portrait"/>
          <w:cols w:equalWidth="0" w:num="1">
            <w:col w:w="11240"/>
          </w:cols>
          <w:pgMar w:left="320" w:top="140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0"/>
          <w:szCs w:val="20"/>
          <w:color w:val="auto"/>
        </w:rPr>
        <w:t>accordance with the applicable provisions hereof, whether or not the certificate(s) therefor have been delivered to Founder.</w:t>
      </w:r>
    </w:p>
    <w:p>
      <w:pPr>
        <w:spacing w:after="0" w:line="22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19"/>
          <w:szCs w:val="19"/>
          <w:u w:val="single" w:color="auto"/>
          <w:color w:val="auto"/>
        </w:rPr>
        <w:t>Termination of Put Right</w:t>
      </w:r>
      <w:r>
        <w:rPr>
          <w:rFonts w:ascii="Times New Roman" w:cs="Times New Roman" w:eastAsia="Times New Roman" w:hAnsi="Times New Roman"/>
          <w:sz w:val="19"/>
          <w:szCs w:val="19"/>
          <w:color w:val="auto"/>
        </w:rPr>
        <w:t>. The Put Right will terminate on the following date(s) (the “</w:t>
      </w:r>
      <w:r>
        <w:rPr>
          <w:rFonts w:ascii="Times New Roman" w:cs="Times New Roman" w:eastAsia="Times New Roman" w:hAnsi="Times New Roman"/>
          <w:sz w:val="19"/>
          <w:szCs w:val="19"/>
          <w:b w:val="1"/>
          <w:bCs w:val="1"/>
          <w:color w:val="auto"/>
        </w:rPr>
        <w:t>Expiration Date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firstLine="1304"/>
        <w:spacing w:after="0" w:line="283" w:lineRule="auto"/>
        <w:tabs>
          <w:tab w:leader="none" w:pos="17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shares of Class A Common Stock subject to a Founder Equity Award that have not become Put Eligible Shares, the Expiration Date will be the date such shares are forfeited pursuant to the applicable Equity Documents; and</w:t>
      </w:r>
    </w:p>
    <w:p>
      <w:pPr>
        <w:spacing w:after="0" w:line="146"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Put Eligible Shares, the Expiration Date will be the earliest to occur of the following:</w:t>
      </w:r>
    </w:p>
    <w:p>
      <w:pPr>
        <w:spacing w:after="0" w:line="229" w:lineRule="exact"/>
        <w:rPr>
          <w:rFonts w:ascii="Times New Roman" w:cs="Times New Roman" w:eastAsia="Times New Roman" w:hAnsi="Times New Roman"/>
          <w:sz w:val="20"/>
          <w:szCs w:val="20"/>
          <w:color w:val="auto"/>
        </w:rPr>
      </w:pPr>
    </w:p>
    <w:p>
      <w:pPr>
        <w:ind w:left="2340" w:hanging="388"/>
        <w:spacing w:after="0"/>
        <w:tabs>
          <w:tab w:leader="none" w:pos="234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Founder sells, transfers, or otherwise disposes of such Put Eligible Shares;</w:t>
      </w:r>
    </w:p>
    <w:p>
      <w:pPr>
        <w:spacing w:after="0" w:line="229" w:lineRule="exact"/>
        <w:rPr>
          <w:rFonts w:ascii="Times New Roman" w:cs="Times New Roman" w:eastAsia="Times New Roman" w:hAnsi="Times New Roman"/>
          <w:sz w:val="20"/>
          <w:szCs w:val="20"/>
          <w:color w:val="auto"/>
        </w:rPr>
      </w:pPr>
    </w:p>
    <w:p>
      <w:pPr>
        <w:ind w:left="2400" w:hanging="448"/>
        <w:spacing w:after="0"/>
        <w:tabs>
          <w:tab w:leader="none" w:pos="240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Final Conversion Date (as defined in the Amended and Restated Certificate of Incorporation); and</w:t>
      </w:r>
    </w:p>
    <w:p>
      <w:pPr>
        <w:spacing w:after="0" w:line="215" w:lineRule="exact"/>
        <w:rPr>
          <w:rFonts w:ascii="Times New Roman" w:cs="Times New Roman" w:eastAsia="Times New Roman" w:hAnsi="Times New Roman"/>
          <w:sz w:val="20"/>
          <w:szCs w:val="20"/>
          <w:color w:val="auto"/>
        </w:rPr>
      </w:pPr>
    </w:p>
    <w:p>
      <w:pPr>
        <w:jc w:val="both"/>
        <w:ind w:firstLine="1952"/>
        <w:spacing w:after="0" w:line="257" w:lineRule="auto"/>
        <w:tabs>
          <w:tab w:leader="none" w:pos="2452"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Put Eligible Shares held by Ilan Twig, the date the Founder Voting Proxy (as defined in the Amended and Restated Certificate of Incorporation) to which Ilan Twig and his Permitted Entities and Permitted Transferees (each as defined in the Amended and Restated Certificate of Incorporation) is a party ceases to remain in effect and Ariel Cohen does not otherwise have exclusive voting control of the shares of Class B Common Stock held by Ilan Twig and his Permitted Entities and Permitted Transferees or such Put Eligible Shares.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REPRESENTATIONS AND WARRANTIES OF THE FOUNDER</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Founder hereby represents and warrants to the Company, with respect to the transactions contemplated hereby, as follows: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Ownership; Authority</w:t>
      </w:r>
      <w:r>
        <w:rPr>
          <w:rFonts w:ascii="Times New Roman" w:cs="Times New Roman" w:eastAsia="Times New Roman" w:hAnsi="Times New Roman"/>
          <w:sz w:val="20"/>
          <w:szCs w:val="20"/>
          <w:color w:val="auto"/>
        </w:rPr>
        <w:t>. Founder has the full right, power and authority to enter into this Agreement. Assuming the due authorization, execution and delivery by the Company, this Agreement constitutes a valid and binding agreement of such Founder, enforceable against such Founder in accordance with its terms (subject to applicable bankruptcy, insolvency, fraudulent transfer, reorganization, moratorium and other laws affecting creditors’ rights generally and general principles of equity). Upon consummation of an Exchange contemplated hereby, the Company will acquire from Founder good and marketable title to the Exercised Shares subject to such Exchange, free and clear of any and all liens, encumbrances and restrictions (except for restrictions on transfer arising under applicable securities laws or as set forth or contemplated by this Agreement, the Amended and Restated Certificate of Incorporation or any other agreements to which such Founder and the Company are a party, and subject to applicable bankruptcy, insolvency, fraudulent transfer, reorganization, moratorium and other laws affecting creditors’ rights generally and general principles of equity).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Governmental Authorization</w:t>
      </w:r>
      <w:r>
        <w:rPr>
          <w:rFonts w:ascii="Times New Roman" w:cs="Times New Roman" w:eastAsia="Times New Roman" w:hAnsi="Times New Roman"/>
          <w:sz w:val="20"/>
          <w:szCs w:val="20"/>
          <w:color w:val="auto"/>
        </w:rPr>
        <w:t>. The execution, delivery and performance by such Founder of this Agreement and the consummation of the transactions contemplated hereby require no action by or in respect of, or filing with, any governmental authority on the part of such Founder (excluding, for the avoidance of doubt (a) the filing by the Company of the Amended and Restated Certificate of Incorporation with the Secretary of State of the State of Delaware and (b) compliance by the Company</w:t>
      </w:r>
    </w:p>
    <w:p>
      <w:pPr>
        <w:sectPr>
          <w:pgSz w:w="11900" w:h="16838" w:orient="portrait"/>
          <w:cols w:equalWidth="0" w:num="1">
            <w:col w:w="11240"/>
          </w:cols>
          <w:pgMar w:left="320" w:top="1413" w:right="339" w:bottom="1440" w:gutter="0" w:footer="0" w:header="0"/>
        </w:sectPr>
      </w:pPr>
    </w:p>
    <w:bookmarkStart w:id="31" w:name="page32"/>
    <w:bookmarkEnd w:id="31"/>
    <w:p>
      <w:pPr>
        <w:jc w:val="both"/>
        <w:spacing w:after="0" w:line="263" w:lineRule="auto"/>
        <w:rPr>
          <w:sz w:val="20"/>
          <w:szCs w:val="20"/>
          <w:color w:val="auto"/>
        </w:rPr>
      </w:pPr>
      <w:r>
        <w:rPr>
          <w:rFonts w:ascii="Times New Roman" w:cs="Times New Roman" w:eastAsia="Times New Roman" w:hAnsi="Times New Roman"/>
          <w:sz w:val="20"/>
          <w:szCs w:val="20"/>
          <w:color w:val="auto"/>
        </w:rPr>
        <w:t>with any applicable requirements of any applicable state or federal securities laws). For purposes of this Agreement, “</w:t>
      </w:r>
      <w:r>
        <w:rPr>
          <w:rFonts w:ascii="Times New Roman" w:cs="Times New Roman" w:eastAsia="Times New Roman" w:hAnsi="Times New Roman"/>
          <w:sz w:val="20"/>
          <w:szCs w:val="20"/>
          <w:b w:val="1"/>
          <w:bCs w:val="1"/>
          <w:color w:val="auto"/>
        </w:rPr>
        <w:t>governmental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authority</w:t>
      </w:r>
      <w:r>
        <w:rPr>
          <w:rFonts w:ascii="Times New Roman" w:cs="Times New Roman" w:eastAsia="Times New Roman" w:hAnsi="Times New Roman"/>
          <w:sz w:val="20"/>
          <w:szCs w:val="20"/>
          <w:color w:val="auto"/>
        </w:rPr>
        <w:t>” means any transnational, domestic or foreign federal, state or local governmental, regulatory or administrative authority,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department, court, agency or official, including any political subdivision thereof.</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Noncontravention</w:t>
      </w:r>
      <w:r>
        <w:rPr>
          <w:rFonts w:ascii="Times New Roman" w:cs="Times New Roman" w:eastAsia="Times New Roman" w:hAnsi="Times New Roman"/>
          <w:sz w:val="20"/>
          <w:szCs w:val="20"/>
          <w:color w:val="auto"/>
        </w:rPr>
        <w:t>. The execution, delivery and performance by Founder of this Agreement and the consummation of the transactions contemplated hereby do not and will not (a) violate any governing document, including any trust agreement, applicable to such Founder, (b) subject to compliance with Section 2.2, violate any applicable law, (c) assuming the waiver or inapplicability of any and all rights of first refusal or co-sale held by the Company or the Company’s stockholders that are applicable to the transactions contemplated hereby, require any consent or other action under, constitute a default under, or give rise to any right of termination, cancellation or acceleration of any obligation of such Founder or to the loss of any benefit to which such Founder is entitled under any provision of any agreement or other instrument binding upon such Founder or (d) result in the creation or imposition of any lien on any of Founder’s Founder Equity Awards or the shares of Class A Common Stock underlying such awards, other than restrictions on transfer arising under applicable securities laws or as set forth or contemplated by this Agreement, the Amended and Restated Certificate of Incorporation or any other agreements to which such Founder and the Company are a party.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REPRESENTATIONS AND WARRANTIES OF THE COMPANY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hereby represents and warrants to Founder, with respect to the transactions contemplated hereby, as follows:</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Corporate Existence and Power</w:t>
      </w:r>
      <w:r>
        <w:rPr>
          <w:rFonts w:ascii="Times New Roman" w:cs="Times New Roman" w:eastAsia="Times New Roman" w:hAnsi="Times New Roman"/>
          <w:sz w:val="20"/>
          <w:szCs w:val="20"/>
          <w:color w:val="auto"/>
        </w:rPr>
        <w:t>. The Company is a corporation duly incorporated, validly existing and in good standing under the laws of the State of Delaware.</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Corporate Authorization</w:t>
      </w:r>
      <w:r>
        <w:rPr>
          <w:rFonts w:ascii="Times New Roman" w:cs="Times New Roman" w:eastAsia="Times New Roman" w:hAnsi="Times New Roman"/>
          <w:sz w:val="20"/>
          <w:szCs w:val="20"/>
          <w:color w:val="auto"/>
        </w:rPr>
        <w:t>. The execution, delivery and performance by the Company of this Agreement and the consummation of the transactions contemplated hereby, including the issuance and delivery of the shares of Class B Common Stock in connection with each Exchange hereunder (including the conversion thereof into Class A Common Stock upon the terms specified in the Amended and Restated Certificate of Incorporation and the renaming of Common Stock as Class A Common Stock) in accordance with the Amended and Restated Certificate of Incorporation, are within the corporate powers of the Company and have been duly authorized by all necessary corporate action on the part of the Company and the Company’s stockholders, subject to compliance with Section 3.3 and the approval of and adoption by the Company’s stockholders of the Amended and Restated Certificate of Incorporation. Any and all rights of first refusal or co-sale held by the Company or the Company’s stockholders that are applicable to the transactions contemplated hereby have been waived or are otherwise inapplicable to the transactions contemplated in this Agreement. Assuming the due authorization, execution and delivery by Founder, this Agreement constitutes a valid and binding agreement of the Company, enforceable against the Company in accordance with its terms (subject to applicable bankruptcy, insolvency, fraudulent transfer, reorganization, moratorium and other laws affecting creditors’ rights generally and general principles of equity).</w:t>
      </w:r>
    </w:p>
    <w:p>
      <w:pPr>
        <w:spacing w:after="0" w:line="20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Governmental Authorization</w:t>
      </w:r>
      <w:r>
        <w:rPr>
          <w:rFonts w:ascii="Times New Roman" w:cs="Times New Roman" w:eastAsia="Times New Roman" w:hAnsi="Times New Roman"/>
          <w:sz w:val="20"/>
          <w:szCs w:val="20"/>
          <w:color w:val="auto"/>
        </w:rPr>
        <w:t>. The execution, delivery and performance by the Company of this Agreement and the consummation of the transactions contemplated hereby require no action by or in respect of, or filing with, any governmental authority other than (a) the filing by the Company of the Amended and Restated Certificate of Incorporation with the Secretary of State of the State of Delaware</w:t>
      </w:r>
    </w:p>
    <w:p>
      <w:pPr>
        <w:sectPr>
          <w:pgSz w:w="11900" w:h="16838" w:orient="portrait"/>
          <w:cols w:equalWidth="0" w:num="1">
            <w:col w:w="11240"/>
          </w:cols>
          <w:pgMar w:left="320" w:top="140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color w:val="auto"/>
        </w:rPr>
        <w:t>and (b) compliance by the Company with any applicable requirements of any applicable state or federal securities laws.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Noncontravention</w:t>
      </w:r>
      <w:r>
        <w:rPr>
          <w:rFonts w:ascii="Times New Roman" w:cs="Times New Roman" w:eastAsia="Times New Roman" w:hAnsi="Times New Roman"/>
          <w:sz w:val="20"/>
          <w:szCs w:val="20"/>
          <w:color w:val="auto"/>
        </w:rPr>
        <w:t>. The execution, delivery and performance by the Company of this Agreement and the consummation of the transactions contemplated hereby do not and will not, assuming compliance with the matters referred to in Section 3.3 and approval of and adoption by the Company’s stockholders of the Amended and Restated Certificate of Incorporation, (a) violate the certificate of incorporation or bylaws of the Company, (b) violate any applicable law, (c) require any consent or other action by any person under, constitute a default under, or give rise to any right of termination, cancellation or acceleration of any right obligation of the Company or to the loss of any benefit to which the Company is entitled under any provision of any agreement or other instrument binding upon the Company or (d) result in the creation or imposition of any lien on the shares of Class B Common Stock other than as set forth or contemplated by this Agreement or the Amended and Restated Certificate of Incorporation.</w:t>
      </w:r>
    </w:p>
    <w:p>
      <w:pPr>
        <w:spacing w:after="0" w:line="17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3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u w:val="single" w:color="auto"/>
          <w:color w:val="auto"/>
        </w:rPr>
        <w:t>COVENANTS</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Market Stand-Off Agreement</w:t>
      </w:r>
      <w:r>
        <w:rPr>
          <w:rFonts w:ascii="Times New Roman" w:cs="Times New Roman" w:eastAsia="Times New Roman" w:hAnsi="Times New Roman"/>
          <w:sz w:val="20"/>
          <w:szCs w:val="20"/>
          <w:color w:val="auto"/>
        </w:rPr>
        <w:t>. Founder has entered into a lock-up agreement with the underwriters of the IPO with respect to the sale, disposition or transfer of such Founder’s securities of the Company and Founder agrees not to revoke such lock-up agreement. Founder also agrees that any other lock-up or market stand-off agreements applicable to the shares of Common Stock of the Company held by Founder will continue to apply to the shares of the Class B Common Stock in accordance with the terms of such agreements.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Voting Agreement and Irrevocable Proxy</w:t>
      </w:r>
      <w:r>
        <w:rPr>
          <w:rFonts w:ascii="Times New Roman" w:cs="Times New Roman" w:eastAsia="Times New Roman" w:hAnsi="Times New Roman"/>
          <w:sz w:val="20"/>
          <w:szCs w:val="20"/>
          <w:color w:val="auto"/>
        </w:rPr>
        <w:t>. To the extent that Ariel Cohen, Chief Executive Officer of the Company as of the date of this Agreement, would otherwise not have exclusive voting control over any shares of Class B Common Stock to be held by Founder following the Exchange, Founder has entered into a Founder Voting Proxy (as defined in the Amended and Restated Certificate of Incorporation), and continues to be subject to such Founder Voting Proxy at the time of the Exchange.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GENERAL PROVISIONS</w:t>
      </w:r>
    </w:p>
    <w:p>
      <w:pPr>
        <w:spacing w:after="0" w:line="200"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19"/>
          <w:szCs w:val="19"/>
          <w:color w:val="auto"/>
        </w:rPr>
        <w:t xml:space="preserve">5.1 </w:t>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Agreement will be governed in all respects by the internal laws of the State of Delaware as applied to agreements entered into among Delaware residents to be performed entirely within Delaware, without regard to principles of conflicts of law.</w:t>
      </w:r>
    </w:p>
    <w:p>
      <w:pPr>
        <w:spacing w:after="0" w:line="13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Except as otherwise provided herein, the provisions hereof will inure to the benefit of, and be binding upon, the successors, assigns, heirs, executors and administrators of the parties hereto.</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Entire Agreement; Amendment</w:t>
      </w:r>
      <w:r>
        <w:rPr>
          <w:rFonts w:ascii="Times New Roman" w:cs="Times New Roman" w:eastAsia="Times New Roman" w:hAnsi="Times New Roman"/>
          <w:sz w:val="20"/>
          <w:szCs w:val="20"/>
          <w:color w:val="auto"/>
        </w:rPr>
        <w:t>. Other than the rights, restrictions and preferences provided for under the Equity Documents with respect to Founder Equity Awards and the Amended and Restated Certificate of Incorporation and bylaws with respect to the shares of Class B Common Stock, this Agreement, including the exhibits attached hereto, constitute the full and entire understanding and agreement between the parties with respect to the subject matter hereof. Neither this Agreement nor any term hereof may be amended or waived other than by a written instrument signed by Founder and the Company.</w:t>
      </w:r>
    </w:p>
    <w:p>
      <w:pPr>
        <w:sectPr>
          <w:pgSz w:w="11900" w:h="16838" w:orient="portrait"/>
          <w:cols w:equalWidth="0" w:num="1">
            <w:col w:w="11240"/>
          </w:cols>
          <w:pgMar w:left="320" w:top="1413" w:right="339" w:bottom="1440" w:gutter="0" w:footer="0" w:header="0"/>
        </w:sectPr>
      </w:pPr>
    </w:p>
    <w:bookmarkStart w:id="33" w:name="page34"/>
    <w:bookmarkEnd w:id="33"/>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counterparts, each of which will be deemed an original, and all of which together will constitute one and the same instrument.</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auto"/>
        </w:rPr>
        <w:t>No Guarantee of Continued Service</w:t>
      </w:r>
      <w:r>
        <w:rPr>
          <w:rFonts w:ascii="Times New Roman" w:cs="Times New Roman" w:eastAsia="Times New Roman" w:hAnsi="Times New Roman"/>
          <w:sz w:val="20"/>
          <w:szCs w:val="20"/>
          <w:color w:val="auto"/>
        </w:rPr>
        <w:t>. Founder acknowledges and agrees that neither the execution of this Agreement nor the existence of the Put Right granted hereunder constitutes an express or implied promise of continuous employment or service with the Company for any period, or at all, and that neither the execution of this Agreement nor the existence of the Put Right granted hereunder will interfere in any way with Founder’s right or the right of the Company to terminate Founder’s employment or service at any time, with or without cause.</w:t>
      </w:r>
    </w:p>
    <w:p>
      <w:pPr>
        <w:spacing w:after="0" w:line="17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0"/>
          <w:szCs w:val="20"/>
          <w:color w:val="auto"/>
        </w:rPr>
        <w:t>5.6</w:t>
      </w:r>
      <w:r>
        <w:rPr>
          <w:sz w:val="20"/>
          <w:szCs w:val="20"/>
          <w:color w:val="auto"/>
        </w:rPr>
        <w:tab/>
      </w:r>
      <w:r>
        <w:rPr>
          <w:rFonts w:ascii="Times New Roman" w:cs="Times New Roman" w:eastAsia="Times New Roman" w:hAnsi="Times New Roman"/>
          <w:sz w:val="20"/>
          <w:szCs w:val="20"/>
          <w:u w:val="single" w:color="auto"/>
          <w:color w:val="auto"/>
        </w:rPr>
        <w:t>Tax Consequences</w:t>
      </w:r>
      <w:r>
        <w:rPr>
          <w:rFonts w:ascii="Times New Roman" w:cs="Times New Roman" w:eastAsia="Times New Roman" w:hAnsi="Times New Roman"/>
          <w:sz w:val="20"/>
          <w:szCs w:val="20"/>
          <w:color w:val="auto"/>
        </w:rPr>
        <w:t>. The parties intend that no gain or loss will be recognized in any Exchange pursuant to Sections 368(a)(1)</w:t>
      </w:r>
    </w:p>
    <w:p>
      <w:pPr>
        <w:spacing w:after="0" w:line="28" w:lineRule="exact"/>
        <w:rPr>
          <w:sz w:val="20"/>
          <w:szCs w:val="20"/>
          <w:color w:val="auto"/>
        </w:rPr>
      </w:pPr>
    </w:p>
    <w:p>
      <w:pPr>
        <w:jc w:val="both"/>
        <w:ind w:firstLine="8"/>
        <w:spacing w:after="0" w:line="248" w:lineRule="auto"/>
        <w:tabs>
          <w:tab w:leader="none" w:pos="33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and/or 1036 of the Code. The parties adopt this Agreement as a plan of reorganization within the meaning of Treasury Regulations Sections 1.368-2(g) and 1.368-3(a). Notwithstanding the foregoing, the Company and Founder each have reviewed with its/his own tax advisors the federal, state, local and foreign tax consequences of the Put Right and the Exchange, Founder Equity Awards and the potential acquisition of shares of Class A Common Stock thereunder, the potential exchange of such shares for shares of Class B Common Stock, and the transactions contemplated by this Agreement. Each party hereto is relying solely on such advisors and not on any statements or representations of the Company or any of its agents, or Founder or any of his agents, as applicable, in connection with the transactions contemplated hereby, except for the representations and warranties of the Company and Founder expressly set forth in Articles II and III.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ectPr>
          <w:pgSz w:w="11900" w:h="16838" w:orient="portrait"/>
          <w:cols w:equalWidth="0" w:num="1">
            <w:col w:w="11240"/>
          </w:cols>
          <w:pgMar w:left="320" w:top="141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9"/>
          <w:szCs w:val="19"/>
          <w:color w:val="auto"/>
        </w:rPr>
        <w:t>IN WITNESS WHEREOF, the undersigned have executed this Agreement to be effective as of the date first above written.</w:t>
      </w:r>
    </w:p>
    <w:p>
      <w:pPr>
        <w:spacing w:after="0" w:line="200" w:lineRule="exact"/>
        <w:rPr>
          <w:sz w:val="20"/>
          <w:szCs w:val="20"/>
          <w:color w:val="auto"/>
        </w:rPr>
      </w:pPr>
    </w:p>
    <w:p>
      <w:pPr>
        <w:spacing w:after="0" w:line="30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NAVAN, INC.</w:t>
      </w:r>
    </w:p>
    <w:p>
      <w:pPr>
        <w:spacing w:after="0" w:line="200" w:lineRule="exact"/>
        <w:rPr>
          <w:sz w:val="20"/>
          <w:szCs w:val="20"/>
          <w:color w:val="auto"/>
        </w:rPr>
      </w:pPr>
    </w:p>
    <w:p>
      <w:pPr>
        <w:spacing w:after="0" w:line="303" w:lineRule="exact"/>
        <w:rPr>
          <w:sz w:val="20"/>
          <w:szCs w:val="20"/>
          <w:color w:val="auto"/>
        </w:rPr>
      </w:pPr>
    </w:p>
    <w:p>
      <w:pPr>
        <w:ind w:left="4560"/>
        <w:spacing w:after="0"/>
        <w:tabs>
          <w:tab w:leader="none" w:pos="51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Howard Baik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3272155</wp:posOffset>
            </wp:positionH>
            <wp:positionV relativeFrom="paragraph">
              <wp:posOffset>40005</wp:posOffset>
            </wp:positionV>
            <wp:extent cx="34461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4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Name: Howard Baik</w:t>
      </w:r>
    </w:p>
    <w:p>
      <w:pPr>
        <w:spacing w:after="0" w:line="2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Title: General Counsel</w:t>
      </w:r>
    </w:p>
    <w:p>
      <w:pPr>
        <w:spacing w:after="0" w:line="200" w:lineRule="exact"/>
        <w:rPr>
          <w:sz w:val="20"/>
          <w:szCs w:val="20"/>
          <w:color w:val="auto"/>
        </w:rPr>
      </w:pPr>
    </w:p>
    <w:p>
      <w:pPr>
        <w:spacing w:after="0" w:line="27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b w:val="1"/>
          <w:bCs w:val="1"/>
          <w:color w:val="auto"/>
        </w:rPr>
        <w:t>FOUNDER</w:t>
      </w:r>
    </w:p>
    <w:p>
      <w:pPr>
        <w:spacing w:after="0" w:line="200" w:lineRule="exact"/>
        <w:rPr>
          <w:sz w:val="20"/>
          <w:szCs w:val="20"/>
          <w:color w:val="auto"/>
        </w:rPr>
      </w:pPr>
    </w:p>
    <w:p>
      <w:pPr>
        <w:spacing w:after="0" w:line="29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/s/ Ariel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22860</wp:posOffset>
            </wp:positionV>
            <wp:extent cx="38404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840480" cy="8890"/>
                    </a:xfrm>
                    <a:prstGeom prst="rect">
                      <a:avLst/>
                    </a:prstGeom>
                    <a:noFill/>
                  </pic:spPr>
                </pic:pic>
              </a:graphicData>
            </a:graphic>
          </wp:anchor>
        </w:drawing>
      </w:r>
    </w:p>
    <w:p>
      <w:pPr>
        <w:spacing w:after="0" w:line="2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Name: Ariel Cohen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 PAGE TO EQUITY EXCHANGE RIGHT AGREEMENT]</w:t>
      </w:r>
    </w:p>
    <w:p>
      <w:pPr>
        <w:sectPr>
          <w:pgSz w:w="11900" w:h="16838" w:orient="portrait"/>
          <w:cols w:equalWidth="0" w:num="1">
            <w:col w:w="9720"/>
          </w:cols>
          <w:pgMar w:left="980" w:top="1413" w:right="119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Founder Equity Awards</w:t>
      </w:r>
    </w:p>
    <w:p>
      <w:pPr>
        <w:sectPr>
          <w:pgSz w:w="11900" w:h="16838" w:orient="portrait"/>
          <w:cols w:equalWidth="0" w:num="1">
            <w:col w:w="9019"/>
          </w:cols>
          <w:pgMar w:left="1440" w:top="1409" w:right="1440"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Put Right Notice (the “Notice”)</w:t>
      </w:r>
    </w:p>
    <w:p>
      <w:pPr>
        <w:sectPr>
          <w:pgSz w:w="11900" w:h="16838" w:orient="portrait"/>
          <w:cols w:equalWidth="0" w:num="1">
            <w:col w:w="9019"/>
          </w:cols>
          <w:pgMar w:left="1440" w:top="1409" w:right="1440"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EQUITY EXCHANGE RIGHT AGREEMENT</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THIS EQUITY EXCHANGE RIGHT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made and entered into as of October 29, 2025, by and between Navan, Inc., a 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Ilan Twig (the “</w:t>
      </w:r>
      <w:r>
        <w:rPr>
          <w:rFonts w:ascii="Times New Roman" w:cs="Times New Roman" w:eastAsia="Times New Roman" w:hAnsi="Times New Roman"/>
          <w:sz w:val="20"/>
          <w:szCs w:val="20"/>
          <w:b w:val="1"/>
          <w:bCs w:val="1"/>
          <w:color w:val="auto"/>
        </w:rPr>
        <w:t>Founder</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WHEREAS, the Company’s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has determined that it is in the best interests of the Company and its stockholders to implement a multi class common stock structure in connection with the Company’s initial public offering of its capital stock (the “</w:t>
      </w:r>
      <w:r>
        <w:rPr>
          <w:rFonts w:ascii="Times New Roman" w:cs="Times New Roman" w:eastAsia="Times New Roman" w:hAnsi="Times New Roman"/>
          <w:sz w:val="20"/>
          <w:szCs w:val="20"/>
          <w:b w:val="1"/>
          <w:bCs w:val="1"/>
          <w:color w:val="auto"/>
        </w:rPr>
        <w:t>IPO</w:t>
      </w:r>
      <w:r>
        <w:rPr>
          <w:rFonts w:ascii="Times New Roman" w:cs="Times New Roman" w:eastAsia="Times New Roman" w:hAnsi="Times New Roman"/>
          <w:sz w:val="20"/>
          <w:szCs w:val="20"/>
          <w:color w:val="auto"/>
        </w:rPr>
        <w:t>”) to, among other things, enable the Company to execute its long-term vision;</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WHEREAS, in connection with the IPO, the Board and Stockholders approved an Amended and Restated Certificate of Incorporation of the Company (the “</w:t>
      </w:r>
      <w:r>
        <w:rPr>
          <w:rFonts w:ascii="Times New Roman" w:cs="Times New Roman" w:eastAsia="Times New Roman" w:hAnsi="Times New Roman"/>
          <w:sz w:val="20"/>
          <w:szCs w:val="20"/>
          <w:b w:val="1"/>
          <w:bCs w:val="1"/>
          <w:color w:val="auto"/>
        </w:rPr>
        <w:t>Interim Charter</w:t>
      </w:r>
      <w:r>
        <w:rPr>
          <w:rFonts w:ascii="Times New Roman" w:cs="Times New Roman" w:eastAsia="Times New Roman" w:hAnsi="Times New Roman"/>
          <w:sz w:val="20"/>
          <w:szCs w:val="20"/>
          <w:color w:val="auto"/>
        </w:rPr>
        <w:t>”), which, among other things, created two series of common stock of the Company, Class A Common Stock, par value $0.00000625 per share (“</w:t>
      </w:r>
      <w:r>
        <w:rPr>
          <w:rFonts w:ascii="Times New Roman" w:cs="Times New Roman" w:eastAsia="Times New Roman" w:hAnsi="Times New Roman"/>
          <w:sz w:val="20"/>
          <w:szCs w:val="20"/>
          <w:b w:val="1"/>
          <w:bCs w:val="1"/>
          <w:color w:val="auto"/>
        </w:rPr>
        <w:t>Class A Common Stock</w:t>
      </w:r>
      <w:r>
        <w:rPr>
          <w:rFonts w:ascii="Times New Roman" w:cs="Times New Roman" w:eastAsia="Times New Roman" w:hAnsi="Times New Roman"/>
          <w:sz w:val="20"/>
          <w:szCs w:val="20"/>
          <w:color w:val="auto"/>
        </w:rPr>
        <w:t>”), entitling holders to one (1) vote for each share thereof held, and Class B Common Stock, par value $0.00000625 per share (“</w:t>
      </w:r>
      <w:r>
        <w:rPr>
          <w:rFonts w:ascii="Times New Roman" w:cs="Times New Roman" w:eastAsia="Times New Roman" w:hAnsi="Times New Roman"/>
          <w:sz w:val="20"/>
          <w:szCs w:val="20"/>
          <w:b w:val="1"/>
          <w:bCs w:val="1"/>
          <w:color w:val="auto"/>
        </w:rPr>
        <w:t>Class B Common Stock</w:t>
      </w:r>
      <w:r>
        <w:rPr>
          <w:rFonts w:ascii="Times New Roman" w:cs="Times New Roman" w:eastAsia="Times New Roman" w:hAnsi="Times New Roman"/>
          <w:sz w:val="20"/>
          <w:szCs w:val="20"/>
          <w:color w:val="auto"/>
        </w:rPr>
        <w:t>”), entitling holders to thirty (30) votes for each share thereof held;</w:t>
      </w:r>
    </w:p>
    <w:p>
      <w:pPr>
        <w:spacing w:after="0" w:line="18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WHEREAS, the Board has approved an Amended and Restated Certificate of Incorporation of the Company (the “</w:t>
      </w:r>
      <w:r>
        <w:rPr>
          <w:rFonts w:ascii="Times New Roman" w:cs="Times New Roman" w:eastAsia="Times New Roman" w:hAnsi="Times New Roman"/>
          <w:sz w:val="20"/>
          <w:szCs w:val="20"/>
          <w:b w:val="1"/>
          <w:bCs w:val="1"/>
          <w:color w:val="auto"/>
        </w:rPr>
        <w:t>Amended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Restated Certificate of Incorporation</w:t>
      </w:r>
      <w:r>
        <w:rPr>
          <w:rFonts w:ascii="Times New Roman" w:cs="Times New Roman" w:eastAsia="Times New Roman" w:hAnsi="Times New Roman"/>
          <w:sz w:val="20"/>
          <w:szCs w:val="20"/>
          <w:color w:val="auto"/>
        </w:rPr>
        <w:t>”) which, in connection with the closing of the IPO, will amend and restate the Interim Charter,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effectiveness of the filing of the Amended and Restated Certificate of Incorporation (the “</w:t>
      </w:r>
      <w:r>
        <w:rPr>
          <w:rFonts w:ascii="Times New Roman" w:cs="Times New Roman" w:eastAsia="Times New Roman" w:hAnsi="Times New Roman"/>
          <w:sz w:val="20"/>
          <w:szCs w:val="20"/>
          <w:b w:val="1"/>
          <w:bCs w:val="1"/>
          <w:color w:val="auto"/>
        </w:rPr>
        <w:t>Effective Time</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WHEREAS, Founder holds awards of options to purchase Class A Common Stock and/or restricted stock units covering shares of Class A Common Stock that will be outstanding as of immediately prior to the Effective Time as set forth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(each, a “</w:t>
      </w:r>
      <w:r>
        <w:rPr>
          <w:rFonts w:ascii="Times New Roman" w:cs="Times New Roman" w:eastAsia="Times New Roman" w:hAnsi="Times New Roman"/>
          <w:sz w:val="20"/>
          <w:szCs w:val="20"/>
          <w:b w:val="1"/>
          <w:bCs w:val="1"/>
          <w:color w:val="auto"/>
        </w:rPr>
        <w:t>Founder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Equity Award</w:t>
      </w:r>
      <w:r>
        <w:rPr>
          <w:rFonts w:ascii="Times New Roman" w:cs="Times New Roman" w:eastAsia="Times New Roman" w:hAnsi="Times New Roman"/>
          <w:sz w:val="20"/>
          <w:szCs w:val="20"/>
          <w:color w:val="auto"/>
        </w:rPr>
        <w:t>”), and each Founder Equity Award has been granted under the Company’s 2015 Equity Incentive Plan, as amended and/or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restated, and the award agreement memorializing Founder Equity Award (collectively, the “</w:t>
      </w:r>
      <w:r>
        <w:rPr>
          <w:rFonts w:ascii="Times New Roman" w:cs="Times New Roman" w:eastAsia="Times New Roman" w:hAnsi="Times New Roman"/>
          <w:sz w:val="20"/>
          <w:szCs w:val="20"/>
          <w:b w:val="1"/>
          <w:bCs w:val="1"/>
          <w:color w:val="auto"/>
        </w:rPr>
        <w:t>Equity Documents</w:t>
      </w:r>
      <w:r>
        <w:rPr>
          <w:rFonts w:ascii="Times New Roman" w:cs="Times New Roman" w:eastAsia="Times New Roman" w:hAnsi="Times New Roman"/>
          <w:sz w:val="20"/>
          <w:szCs w:val="20"/>
          <w:color w:val="auto"/>
        </w:rPr>
        <w:t>”); and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WHEREAS, the Board has determined that it is advisable and in the best interest of the Company and all of its stockholders, including its stockholders other than Founder, to provide Founder with the right to require the Company to exchange shares of Class A Common Stock that Founder acquires upon the exercise, vesting, and/or settlement of his Founder Equity Awards for a number of shares of Class B Common Stock of equivalent value as determined on the date of the exchange (which is expected to be on a one share-for-one share basis), subject to the terms and conditions set forth in this Agreement; and.</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the parties intend that no gain or loss will be recognized in any Exchange (as defined below) pursuant to Sections 368(a)(1)(E) and/or 1036 of the Internal Revenue Code of 1986, as amended (the “</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NOW, THEREFORE, in consideration of the foregoing recitals and the mutual promises, representations and covenants set forth herein, and for other good and valuable consideration, the receipt and sufficiency of which are hereby acknowledged and accepted, the parties hereto agree as follows:</w:t>
      </w:r>
    </w:p>
    <w:p>
      <w:pPr>
        <w:sectPr>
          <w:pgSz w:w="11900" w:h="16838" w:orient="portrait"/>
          <w:cols w:equalWidth="0" w:num="1">
            <w:col w:w="11240"/>
          </w:cols>
          <w:pgMar w:left="320" w:top="117"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PUT RIGHT AND EXCHANGE AND ISSUANCE OF CLASS B COMMON STOCK</w:t>
      </w:r>
    </w:p>
    <w:p>
      <w:pPr>
        <w:spacing w:after="0" w:line="20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Grant of Put Right</w:t>
      </w:r>
      <w:r>
        <w:rPr>
          <w:rFonts w:ascii="Times New Roman" w:cs="Times New Roman" w:eastAsia="Times New Roman" w:hAnsi="Times New Roman"/>
          <w:sz w:val="20"/>
          <w:szCs w:val="20"/>
          <w:color w:val="auto"/>
        </w:rPr>
        <w:t>. Effective immediately following the Effective Time, and subject to the terms and provisions of this Agreement (including Section 1.2(a) below), the Company hereby irrevocably grants to Founder the right (the “</w:t>
      </w:r>
      <w:r>
        <w:rPr>
          <w:rFonts w:ascii="Times New Roman" w:cs="Times New Roman" w:eastAsia="Times New Roman" w:hAnsi="Times New Roman"/>
          <w:sz w:val="20"/>
          <w:szCs w:val="20"/>
          <w:b w:val="1"/>
          <w:bCs w:val="1"/>
          <w:color w:val="auto"/>
        </w:rPr>
        <w:t>Put Right</w:t>
      </w:r>
      <w:r>
        <w:rPr>
          <w:rFonts w:ascii="Times New Roman" w:cs="Times New Roman" w:eastAsia="Times New Roman" w:hAnsi="Times New Roman"/>
          <w:sz w:val="20"/>
          <w:szCs w:val="20"/>
          <w:color w:val="auto"/>
        </w:rPr>
        <w:t>”) to require the Company to exchange any shares of Class A Common Stock that Founder acquires following the Effective Time as a result of the exercise, vesting, and/or settlement of his Founder Equity Awards (each, a “</w:t>
      </w:r>
      <w:r>
        <w:rPr>
          <w:rFonts w:ascii="Times New Roman" w:cs="Times New Roman" w:eastAsia="Times New Roman" w:hAnsi="Times New Roman"/>
          <w:sz w:val="20"/>
          <w:szCs w:val="20"/>
          <w:b w:val="1"/>
          <w:bCs w:val="1"/>
          <w:color w:val="auto"/>
        </w:rPr>
        <w:t>Put Eligible Share</w:t>
      </w:r>
      <w:r>
        <w:rPr>
          <w:rFonts w:ascii="Times New Roman" w:cs="Times New Roman" w:eastAsia="Times New Roman" w:hAnsi="Times New Roman"/>
          <w:sz w:val="20"/>
          <w:szCs w:val="20"/>
          <w:color w:val="auto"/>
        </w:rPr>
        <w:t>”) for a number of shares of Class B Common Stock of equivalent value as determined on the date of the exchange (which is expected to be on a one share-for-one share basis), subject to the terms and conditions set forth in this Agreement (the “</w:t>
      </w:r>
      <w:r>
        <w:rPr>
          <w:rFonts w:ascii="Times New Roman" w:cs="Times New Roman" w:eastAsia="Times New Roman" w:hAnsi="Times New Roman"/>
          <w:sz w:val="20"/>
          <w:szCs w:val="20"/>
          <w:b w:val="1"/>
          <w:bCs w:val="1"/>
          <w:color w:val="auto"/>
        </w:rPr>
        <w:t>Exchange</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u w:val="single" w:color="auto"/>
          <w:color w:val="auto"/>
        </w:rPr>
        <w:t>Exercise of Put Right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68" w:lineRule="auto"/>
        <w:tabs>
          <w:tab w:leader="none" w:pos="1736"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condition precedent to the exercise of the Put Right on any given date, the Company and Founder must mutually agree that no gain or loss will be required to be recognized for U.S. federal tax purposes on account of such exercise and related Exchange (the “</w:t>
      </w:r>
      <w:r>
        <w:rPr>
          <w:rFonts w:ascii="Times New Roman" w:cs="Times New Roman" w:eastAsia="Times New Roman" w:hAnsi="Times New Roman"/>
          <w:sz w:val="20"/>
          <w:szCs w:val="20"/>
          <w:b w:val="1"/>
          <w:bCs w:val="1"/>
          <w:color w:val="auto"/>
        </w:rPr>
        <w:t>Put Right Condition</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firstLine="1304"/>
        <w:spacing w:after="0" w:line="258" w:lineRule="auto"/>
        <w:tabs>
          <w:tab w:leader="none" w:pos="1797"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Put Right Condition is satisfied, the Put Right will be exercisable by Founder by submitting a completed and fully-executed notice in the form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Put Right Notice</w:t>
      </w:r>
      <w:r>
        <w:rPr>
          <w:rFonts w:ascii="Times New Roman" w:cs="Times New Roman" w:eastAsia="Times New Roman" w:hAnsi="Times New Roman"/>
          <w:sz w:val="20"/>
          <w:szCs w:val="20"/>
          <w:color w:val="auto"/>
        </w:rPr>
        <w:t>”) to the Company on or prior to the Put Right’s Expiration Date (as defined in Section 1.5 below). If the Put Right Condition is satisfied, the Put Right will be deemed to have been exercised immediately prior to 5:00 p.m. Pacific Time on the date of timely delivery of a Put Right Notice with respect to the Put Right.</w:t>
      </w:r>
    </w:p>
    <w:p>
      <w:pPr>
        <w:spacing w:after="0" w:line="185"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92"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satisfy the Put Right Condition or to deliver a Put Right Notice prior to 5:00 p.m. Pacific Time on a Put Right’s Expiration Date will constitute an irrevocable waiver of the Put Right with respect to any shares of Class A Common Stock that remain subject to Founder Equity Awards and any remaining Put Eligible Shares.</w:t>
      </w:r>
    </w:p>
    <w:p>
      <w:pPr>
        <w:spacing w:after="0" w:line="167" w:lineRule="exact"/>
        <w:rPr>
          <w:rFonts w:ascii="Times New Roman" w:cs="Times New Roman" w:eastAsia="Times New Roman" w:hAnsi="Times New Roman"/>
          <w:sz w:val="20"/>
          <w:szCs w:val="20"/>
          <w:color w:val="auto"/>
        </w:rPr>
      </w:pPr>
    </w:p>
    <w:p>
      <w:pPr>
        <w:jc w:val="both"/>
        <w:ind w:firstLine="1304"/>
        <w:spacing w:after="0" w:line="258" w:lineRule="auto"/>
        <w:tabs>
          <w:tab w:leader="none" w:pos="175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Put Right cannot be exercised by Founder with respect to any Put Eligible Share more than once. Further, Founder will have no Put Right pursuant to this Agreement with respect to any share of Class A Common Stock that is acquired by Founder following the Effective Time other than as a result of the exercise, vesting, and/or settlement of a Founder Equity Award, or with respect to any portion of a Founder Equity Award that is subject to a constructive trust.</w:t>
      </w:r>
    </w:p>
    <w:p>
      <w:pPr>
        <w:spacing w:after="0" w:line="18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Exchange of Shares</w:t>
      </w:r>
      <w:r>
        <w:rPr>
          <w:rFonts w:ascii="Times New Roman" w:cs="Times New Roman" w:eastAsia="Times New Roman" w:hAnsi="Times New Roman"/>
          <w:sz w:val="20"/>
          <w:szCs w:val="20"/>
          <w:color w:val="auto"/>
        </w:rPr>
        <w:t>. Within ten (10) calendar days after the Company’s receipt of a properly executed Put Right Notice, and provided the Put Right Condition remains satisfied, the Company will complete the Exchange for the specified number of Put Eligible Shares indicated in the Put Right Notice (“</w:t>
      </w:r>
      <w:r>
        <w:rPr>
          <w:rFonts w:ascii="Times New Roman" w:cs="Times New Roman" w:eastAsia="Times New Roman" w:hAnsi="Times New Roman"/>
          <w:sz w:val="20"/>
          <w:szCs w:val="20"/>
          <w:b w:val="1"/>
          <w:bCs w:val="1"/>
          <w:color w:val="auto"/>
        </w:rPr>
        <w:t>Exercised Shares</w:t>
      </w:r>
      <w:r>
        <w:rPr>
          <w:rFonts w:ascii="Times New Roman" w:cs="Times New Roman" w:eastAsia="Times New Roman" w:hAnsi="Times New Roman"/>
          <w:sz w:val="20"/>
          <w:szCs w:val="20"/>
          <w:color w:val="auto"/>
        </w:rPr>
        <w:t>”) by issuing, out of shares legally available therefor, a number of shares of Class B Common Stock to Founder of equivalent value determined on the date of the Exchange (which is expected to be on a one share-for-one share basis). Upon the effectiveness of such Exchange, the Company will deliver to Founder such documentation as may be reasonably required to evidence that the shares of Class B Common Stock have been duly issued and transferred to the applicable Founder in exchange for the Exercised Shares.</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1.4 </w:t>
      </w:r>
      <w:r>
        <w:rPr>
          <w:rFonts w:ascii="Times New Roman" w:cs="Times New Roman" w:eastAsia="Times New Roman" w:hAnsi="Times New Roman"/>
          <w:sz w:val="20"/>
          <w:szCs w:val="20"/>
          <w:u w:val="single" w:color="auto"/>
          <w:color w:val="auto"/>
        </w:rPr>
        <w:t>Rights to Shares of Class A Common Stock Following Exchange</w:t>
      </w:r>
      <w:r>
        <w:rPr>
          <w:rFonts w:ascii="Times New Roman" w:cs="Times New Roman" w:eastAsia="Times New Roman" w:hAnsi="Times New Roman"/>
          <w:sz w:val="20"/>
          <w:szCs w:val="20"/>
          <w:color w:val="auto"/>
        </w:rPr>
        <w:t>. Upon the Exchange, Founder will no longer have any rights as a holder of the Exercised Shares that are the subject of the Exchange (other than the right to receive the shares of Class B Common Stock in accordance with this Agreement). Such Exercised Shares will be deemed to have been redeemed by the Company in</w:t>
      </w:r>
    </w:p>
    <w:p>
      <w:pPr>
        <w:sectPr>
          <w:pgSz w:w="11900" w:h="16838" w:orient="portrait"/>
          <w:cols w:equalWidth="0" w:num="1">
            <w:col w:w="11240"/>
          </w:cols>
          <w:pgMar w:left="320" w:top="140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color w:val="auto"/>
        </w:rPr>
        <w:t>accordance with the applicable provisions hereof, whether or not the certificate(s) therefor have been delivered to Founder.</w:t>
      </w:r>
    </w:p>
    <w:p>
      <w:pPr>
        <w:spacing w:after="0" w:line="22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19"/>
          <w:szCs w:val="19"/>
          <w:u w:val="single" w:color="auto"/>
          <w:color w:val="auto"/>
        </w:rPr>
        <w:t>Termination of Put Right</w:t>
      </w:r>
      <w:r>
        <w:rPr>
          <w:rFonts w:ascii="Times New Roman" w:cs="Times New Roman" w:eastAsia="Times New Roman" w:hAnsi="Times New Roman"/>
          <w:sz w:val="19"/>
          <w:szCs w:val="19"/>
          <w:color w:val="auto"/>
        </w:rPr>
        <w:t>. The Put Right will terminate on the following date(s) (the “</w:t>
      </w:r>
      <w:r>
        <w:rPr>
          <w:rFonts w:ascii="Times New Roman" w:cs="Times New Roman" w:eastAsia="Times New Roman" w:hAnsi="Times New Roman"/>
          <w:sz w:val="19"/>
          <w:szCs w:val="19"/>
          <w:b w:val="1"/>
          <w:bCs w:val="1"/>
          <w:color w:val="auto"/>
        </w:rPr>
        <w:t>Expiration Date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firstLine="1304"/>
        <w:spacing w:after="0" w:line="283" w:lineRule="auto"/>
        <w:tabs>
          <w:tab w:leader="none" w:pos="17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shares of Class A Common Stock subject to a Founder Equity Award that have not become Put Eligible Shares, the Expiration Date will be the date such shares are forfeited pursuant to the applicable Equity Documents; and</w:t>
      </w:r>
    </w:p>
    <w:p>
      <w:pPr>
        <w:spacing w:after="0" w:line="146"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Put Eligible Shares, the Expiration Date will be the earliest to occur of the following:</w:t>
      </w:r>
    </w:p>
    <w:p>
      <w:pPr>
        <w:spacing w:after="0" w:line="229" w:lineRule="exact"/>
        <w:rPr>
          <w:rFonts w:ascii="Times New Roman" w:cs="Times New Roman" w:eastAsia="Times New Roman" w:hAnsi="Times New Roman"/>
          <w:sz w:val="20"/>
          <w:szCs w:val="20"/>
          <w:color w:val="auto"/>
        </w:rPr>
      </w:pPr>
    </w:p>
    <w:p>
      <w:pPr>
        <w:ind w:left="2340" w:hanging="388"/>
        <w:spacing w:after="0"/>
        <w:tabs>
          <w:tab w:leader="none" w:pos="234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Founder sells, transfers, or otherwise disposes of such Put Eligible Shares;</w:t>
      </w:r>
    </w:p>
    <w:p>
      <w:pPr>
        <w:spacing w:after="0" w:line="229" w:lineRule="exact"/>
        <w:rPr>
          <w:rFonts w:ascii="Times New Roman" w:cs="Times New Roman" w:eastAsia="Times New Roman" w:hAnsi="Times New Roman"/>
          <w:sz w:val="20"/>
          <w:szCs w:val="20"/>
          <w:color w:val="auto"/>
        </w:rPr>
      </w:pPr>
    </w:p>
    <w:p>
      <w:pPr>
        <w:ind w:left="2400" w:hanging="448"/>
        <w:spacing w:after="0"/>
        <w:tabs>
          <w:tab w:leader="none" w:pos="240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Final Conversion Date (as defined in the Amended and Restated Certificate of Incorporation); and</w:t>
      </w:r>
    </w:p>
    <w:p>
      <w:pPr>
        <w:spacing w:after="0" w:line="215" w:lineRule="exact"/>
        <w:rPr>
          <w:rFonts w:ascii="Times New Roman" w:cs="Times New Roman" w:eastAsia="Times New Roman" w:hAnsi="Times New Roman"/>
          <w:sz w:val="20"/>
          <w:szCs w:val="20"/>
          <w:color w:val="auto"/>
        </w:rPr>
      </w:pPr>
    </w:p>
    <w:p>
      <w:pPr>
        <w:jc w:val="both"/>
        <w:ind w:firstLine="1952"/>
        <w:spacing w:after="0" w:line="257" w:lineRule="auto"/>
        <w:tabs>
          <w:tab w:leader="none" w:pos="2452"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Put Eligible Shares held by Ilan Twig, the date the Founder Voting Proxy (as defined in the Amended and Restated Certificate of Incorporation) to which Ilan Twig and his Permitted Entities and Permitted Transferees (each as defined in the Amended and Restated Certificate of Incorporation) is a party ceases to remain in effect and Ariel Cohen does not otherwise have exclusive voting control of the shares of Class B Common Stock held by Ilan Twig and his Permitted Entities and Permitted Transferees or such Put Eligible Shares.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REPRESENTATIONS AND WARRANTIES OF THE FOUNDER</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Founder hereby represents and warrants to the Company, with respect to the transactions contemplated hereby, as follows: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Ownership; Authority</w:t>
      </w:r>
      <w:r>
        <w:rPr>
          <w:rFonts w:ascii="Times New Roman" w:cs="Times New Roman" w:eastAsia="Times New Roman" w:hAnsi="Times New Roman"/>
          <w:sz w:val="20"/>
          <w:szCs w:val="20"/>
          <w:color w:val="auto"/>
        </w:rPr>
        <w:t>. Founder has the full right, power and authority to enter into this Agreement. Assuming the due authorization, execution and delivery by the Company, this Agreement constitutes a valid and binding agreement of such Founder, enforceable against such Founder in accordance with its terms (subject to applicable bankruptcy, insolvency, fraudulent transfer, reorganization, moratorium and other laws affecting creditors’ rights generally and general principles of equity). Upon consummation of an Exchange contemplated hereby, the Company will acquire from Founder good and marketable title to the Exercised Shares subject to such Exchange, free and clear of any and all liens, encumbrances and restrictions (except for restrictions on transfer arising under applicable securities laws or as set forth or contemplated by this Agreement, the Amended and Restated Certificate of Incorporation or any other agreements to which such Founder and the Company are a party, and subject to applicable bankruptcy, insolvency, fraudulent transfer, reorganization, moratorium and other laws affecting creditors’ rights generally and general principles of equity).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Governmental Authorization</w:t>
      </w:r>
      <w:r>
        <w:rPr>
          <w:rFonts w:ascii="Times New Roman" w:cs="Times New Roman" w:eastAsia="Times New Roman" w:hAnsi="Times New Roman"/>
          <w:sz w:val="20"/>
          <w:szCs w:val="20"/>
          <w:color w:val="auto"/>
        </w:rPr>
        <w:t>. The execution, delivery and performance by such Founder of this Agreement and the consummation of the transactions contemplated hereby require no action by or in respect of, or filing with, any governmental authority on the part of such Founder (excluding, for the avoidance of doubt (a) the filing by the Company of the Amended and Restated Certificate of Incorporation with the Secretary of State of the State of Delaware and (b) compliance by the Company</w:t>
      </w:r>
    </w:p>
    <w:p>
      <w:pPr>
        <w:sectPr>
          <w:pgSz w:w="11900" w:h="16838" w:orient="portrait"/>
          <w:cols w:equalWidth="0" w:num="1">
            <w:col w:w="11240"/>
          </w:cols>
          <w:pgMar w:left="320" w:top="1413" w:right="339" w:bottom="1440" w:gutter="0" w:footer="0" w:header="0"/>
        </w:sectPr>
      </w:pPr>
    </w:p>
    <w:bookmarkStart w:id="40" w:name="page41"/>
    <w:bookmarkEnd w:id="40"/>
    <w:p>
      <w:pPr>
        <w:jc w:val="both"/>
        <w:spacing w:after="0" w:line="263" w:lineRule="auto"/>
        <w:rPr>
          <w:sz w:val="20"/>
          <w:szCs w:val="20"/>
          <w:color w:val="auto"/>
        </w:rPr>
      </w:pPr>
      <w:r>
        <w:rPr>
          <w:rFonts w:ascii="Times New Roman" w:cs="Times New Roman" w:eastAsia="Times New Roman" w:hAnsi="Times New Roman"/>
          <w:sz w:val="20"/>
          <w:szCs w:val="20"/>
          <w:color w:val="auto"/>
        </w:rPr>
        <w:t>with any applicable requirements of any applicable state or federal securities laws). For purposes of this Agreement, “</w:t>
      </w:r>
      <w:r>
        <w:rPr>
          <w:rFonts w:ascii="Times New Roman" w:cs="Times New Roman" w:eastAsia="Times New Roman" w:hAnsi="Times New Roman"/>
          <w:sz w:val="20"/>
          <w:szCs w:val="20"/>
          <w:b w:val="1"/>
          <w:bCs w:val="1"/>
          <w:color w:val="auto"/>
        </w:rPr>
        <w:t>governmental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authority</w:t>
      </w:r>
      <w:r>
        <w:rPr>
          <w:rFonts w:ascii="Times New Roman" w:cs="Times New Roman" w:eastAsia="Times New Roman" w:hAnsi="Times New Roman"/>
          <w:sz w:val="20"/>
          <w:szCs w:val="20"/>
          <w:color w:val="auto"/>
        </w:rPr>
        <w:t>” means any transnational, domestic or foreign federal, state or local governmental, regulatory or administrative authority,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department, court, agency or official, including any political subdivision thereof.</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Noncontravention</w:t>
      </w:r>
      <w:r>
        <w:rPr>
          <w:rFonts w:ascii="Times New Roman" w:cs="Times New Roman" w:eastAsia="Times New Roman" w:hAnsi="Times New Roman"/>
          <w:sz w:val="20"/>
          <w:szCs w:val="20"/>
          <w:color w:val="auto"/>
        </w:rPr>
        <w:t>. The execution, delivery and performance by Founder of this Agreement and the consummation of the transactions contemplated hereby do not and will not (a) violate any governing document, including any trust agreement, applicable to such Founder, (b) subject to compliance with Section 2.2, violate any applicable law, (c) assuming the waiver or inapplicability of any and all rights of first refusal or co-sale held by the Company or the Company’s stockholders that are applicable to the transactions contemplated hereby, require any consent or other action under, constitute a default under, or give rise to any right of termination, cancellation or acceleration of any obligation of such Founder or to the loss of any benefit to which such Founder is entitled under any provision of any agreement or other instrument binding upon such Founder or (d) result in the creation or imposition of any lien on any of Founder’s Founder Equity Awards or the shares of Class A Common Stock underlying such awards, other than restrictions on transfer arising under applicable securities laws or as set forth or contemplated by this Agreement, the Amended and Restated Certificate of Incorporation or any other agreements to which such Founder and the Company are a party.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REPRESENTATIONS AND WARRANTIES OF THE COMPANY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hereby represents and warrants to Founder, with respect to the transactions contemplated hereby, as follows:</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Corporate Existence and Power</w:t>
      </w:r>
      <w:r>
        <w:rPr>
          <w:rFonts w:ascii="Times New Roman" w:cs="Times New Roman" w:eastAsia="Times New Roman" w:hAnsi="Times New Roman"/>
          <w:sz w:val="20"/>
          <w:szCs w:val="20"/>
          <w:color w:val="auto"/>
        </w:rPr>
        <w:t>. The Company is a corporation duly incorporated, validly existing and in good standing under the laws of the State of Delaware.</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Corporate Authorization</w:t>
      </w:r>
      <w:r>
        <w:rPr>
          <w:rFonts w:ascii="Times New Roman" w:cs="Times New Roman" w:eastAsia="Times New Roman" w:hAnsi="Times New Roman"/>
          <w:sz w:val="20"/>
          <w:szCs w:val="20"/>
          <w:color w:val="auto"/>
        </w:rPr>
        <w:t>. The execution, delivery and performance by the Company of this Agreement and the consummation of the transactions contemplated hereby, including the issuance and delivery of the shares of Class B Common Stock in connection with each Exchange hereunder (including the conversion thereof into Class A Common Stock upon the terms specified in the Amended and Restated Certificate of Incorporation and the renaming of Common Stock as Class A Common Stock) in accordance with the Amended and Restated Certificate of Incorporation, are within the corporate powers of the Company and have been duly authorized by all necessary corporate action on the part of the Company and the Company’s stockholders, subject to compliance with Section 3.3 and the approval of and adoption by the Company’s stockholders of the Amended and Restated Certificate of Incorporation. Any and all rights of first refusal or co-sale held by the Company or the Company’s stockholders that are applicable to the transactions contemplated hereby have been waived or are otherwise inapplicable to the transactions contemplated in this Agreement. Assuming the due authorization, execution and delivery by Founder, this Agreement constitutes a valid and binding agreement of the Company, enforceable against the Company in accordance with its terms (subject to applicable bankruptcy, insolvency, fraudulent transfer, reorganization, moratorium and other laws affecting creditors’ rights generally and general principles of equity).</w:t>
      </w:r>
    </w:p>
    <w:p>
      <w:pPr>
        <w:spacing w:after="0" w:line="20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Governmental Authorization</w:t>
      </w:r>
      <w:r>
        <w:rPr>
          <w:rFonts w:ascii="Times New Roman" w:cs="Times New Roman" w:eastAsia="Times New Roman" w:hAnsi="Times New Roman"/>
          <w:sz w:val="20"/>
          <w:szCs w:val="20"/>
          <w:color w:val="auto"/>
        </w:rPr>
        <w:t>. The execution, delivery and performance by the Company of this Agreement and the consummation of the transactions contemplated hereby require no action by or in respect of, or filing with, any governmental authority other than (a) the filing by the Company of the Amended and Restated Certificate of Incorporation with the Secretary of State of the State of Delaware</w:t>
      </w:r>
    </w:p>
    <w:p>
      <w:pPr>
        <w:sectPr>
          <w:pgSz w:w="11900" w:h="16838" w:orient="portrait"/>
          <w:cols w:equalWidth="0" w:num="1">
            <w:col w:w="11240"/>
          </w:cols>
          <w:pgMar w:left="320" w:top="140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color w:val="auto"/>
        </w:rPr>
        <w:t>and (b) compliance by the Company with any applicable requirements of any applicable state or federal securities laws.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Noncontravention</w:t>
      </w:r>
      <w:r>
        <w:rPr>
          <w:rFonts w:ascii="Times New Roman" w:cs="Times New Roman" w:eastAsia="Times New Roman" w:hAnsi="Times New Roman"/>
          <w:sz w:val="20"/>
          <w:szCs w:val="20"/>
          <w:color w:val="auto"/>
        </w:rPr>
        <w:t>. The execution, delivery and performance by the Company of this Agreement and the consummation of the transactions contemplated hereby do not and will not, assuming compliance with the matters referred to in Section 3.3 and approval of and adoption by the Company’s stockholders of the Amended and Restated Certificate of Incorporation, (a) violate the certificate of incorporation or bylaws of the Company, (b) violate any applicable law, (c) require any consent or other action by any person under, constitute a default under, or give rise to any right of termination, cancellation or acceleration of any right obligation of the Company or to the loss of any benefit to which the Company is entitled under any provision of any agreement or other instrument binding upon the Company or (d) result in the creation or imposition of any lien on the shares of Class B Common Stock other than as set forth or contemplated by this Agreement or the Amended and Restated Certificate of Incorporation.</w:t>
      </w:r>
    </w:p>
    <w:p>
      <w:pPr>
        <w:spacing w:after="0" w:line="17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3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u w:val="single" w:color="auto"/>
          <w:color w:val="auto"/>
        </w:rPr>
        <w:t>COVENANTS</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Market Stand-Off Agreement</w:t>
      </w:r>
      <w:r>
        <w:rPr>
          <w:rFonts w:ascii="Times New Roman" w:cs="Times New Roman" w:eastAsia="Times New Roman" w:hAnsi="Times New Roman"/>
          <w:sz w:val="20"/>
          <w:szCs w:val="20"/>
          <w:color w:val="auto"/>
        </w:rPr>
        <w:t>. Founder has entered into a lock-up agreement with the underwriters of the IPO with respect to the sale, disposition or transfer of such Founder’s securities of the Company and Founder agrees not to revoke such lock-up agreement. Founder also agrees that any other lock-up or market stand-off agreements applicable to the shares of Common Stock of the Company held by Founder will continue to apply to the shares of the Class B Common Stock in accordance with the terms of such agreements.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Voting Agreement and Irrevocable Proxy</w:t>
      </w:r>
      <w:r>
        <w:rPr>
          <w:rFonts w:ascii="Times New Roman" w:cs="Times New Roman" w:eastAsia="Times New Roman" w:hAnsi="Times New Roman"/>
          <w:sz w:val="20"/>
          <w:szCs w:val="20"/>
          <w:color w:val="auto"/>
        </w:rPr>
        <w:t>. To the extent that Ariel Cohen, Chief Executive Officer of the Company as of the date of this Agreement, would otherwise not have exclusive voting control over any shares of Class B Common Stock to be held by Founder following the Exchange, Founder has entered into a Founder Voting Proxy (as defined in the Amended and Restated Certificate of Incorporation), and continues to be subject to such Founder Voting Proxy at the time of the Exchange.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GENERAL PROVISIONS</w:t>
      </w:r>
    </w:p>
    <w:p>
      <w:pPr>
        <w:spacing w:after="0" w:line="200"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19"/>
          <w:szCs w:val="19"/>
          <w:color w:val="auto"/>
        </w:rPr>
        <w:t xml:space="preserve">5.1 </w:t>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Agreement will be governed in all respects by the internal laws of the State of Delaware as applied to agreements entered into among Delaware residents to be performed entirely within Delaware, without regard to principles of conflicts of law.</w:t>
      </w:r>
    </w:p>
    <w:p>
      <w:pPr>
        <w:spacing w:after="0" w:line="13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Except as otherwise provided herein, the provisions hereof will inure to the benefit of, and be binding upon, the successors, assigns, heirs, executors and administrators of the parties hereto.</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Entire Agreement; Amendment</w:t>
      </w:r>
      <w:r>
        <w:rPr>
          <w:rFonts w:ascii="Times New Roman" w:cs="Times New Roman" w:eastAsia="Times New Roman" w:hAnsi="Times New Roman"/>
          <w:sz w:val="20"/>
          <w:szCs w:val="20"/>
          <w:color w:val="auto"/>
        </w:rPr>
        <w:t>. Other than the rights, restrictions and preferences provided for under the Equity Documents with respect to Founder Equity Awards and the Amended and Restated Certificate of Incorporation and bylaws with respect to the shares of Class B Common Stock, this Agreement, including the exhibits attached hereto, constitute the full and entire understanding and agreement between the parties with respect to the subject matter hereof. Neither this Agreement nor any term hereof may be amended or waived other than by a written instrument signed by Founder and the Company.</w:t>
      </w:r>
    </w:p>
    <w:p>
      <w:pPr>
        <w:sectPr>
          <w:pgSz w:w="11900" w:h="16838" w:orient="portrait"/>
          <w:cols w:equalWidth="0" w:num="1">
            <w:col w:w="11240"/>
          </w:cols>
          <w:pgMar w:left="320" w:top="1413" w:right="339" w:bottom="1440" w:gutter="0" w:footer="0" w:header="0"/>
        </w:sectPr>
      </w:pPr>
    </w:p>
    <w:bookmarkStart w:id="42" w:name="page43"/>
    <w:bookmarkEnd w:id="42"/>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counterparts, each of which will be deemed an original, and all of which together will constitute one and the same instrument.</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auto"/>
        </w:rPr>
        <w:t>No Guarantee of Continued Service</w:t>
      </w:r>
      <w:r>
        <w:rPr>
          <w:rFonts w:ascii="Times New Roman" w:cs="Times New Roman" w:eastAsia="Times New Roman" w:hAnsi="Times New Roman"/>
          <w:sz w:val="20"/>
          <w:szCs w:val="20"/>
          <w:color w:val="auto"/>
        </w:rPr>
        <w:t>. Founder acknowledges and agrees that neither the execution of this Agreement nor the existence of the Put Right granted hereunder constitutes an express or implied promise of continuous employment or service with the Company for any period, or at all, and that neither the execution of this Agreement nor the existence of the Put Right granted hereunder will interfere in any way with Founder’s right or the right of the Company to terminate Founder’s employment or service at any time, with or without cause.</w:t>
      </w:r>
    </w:p>
    <w:p>
      <w:pPr>
        <w:spacing w:after="0" w:line="17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0"/>
          <w:szCs w:val="20"/>
          <w:color w:val="auto"/>
        </w:rPr>
        <w:t>5.6</w:t>
      </w:r>
      <w:r>
        <w:rPr>
          <w:sz w:val="20"/>
          <w:szCs w:val="20"/>
          <w:color w:val="auto"/>
        </w:rPr>
        <w:tab/>
      </w:r>
      <w:r>
        <w:rPr>
          <w:rFonts w:ascii="Times New Roman" w:cs="Times New Roman" w:eastAsia="Times New Roman" w:hAnsi="Times New Roman"/>
          <w:sz w:val="20"/>
          <w:szCs w:val="20"/>
          <w:u w:val="single" w:color="auto"/>
          <w:color w:val="auto"/>
        </w:rPr>
        <w:t>Tax Consequences</w:t>
      </w:r>
      <w:r>
        <w:rPr>
          <w:rFonts w:ascii="Times New Roman" w:cs="Times New Roman" w:eastAsia="Times New Roman" w:hAnsi="Times New Roman"/>
          <w:sz w:val="20"/>
          <w:szCs w:val="20"/>
          <w:color w:val="auto"/>
        </w:rPr>
        <w:t>. The parties intend that no gain or loss will be recognized in any Exchange pursuant to Sections 368(a)(1)</w:t>
      </w:r>
    </w:p>
    <w:p>
      <w:pPr>
        <w:spacing w:after="0" w:line="28" w:lineRule="exact"/>
        <w:rPr>
          <w:sz w:val="20"/>
          <w:szCs w:val="20"/>
          <w:color w:val="auto"/>
        </w:rPr>
      </w:pPr>
    </w:p>
    <w:p>
      <w:pPr>
        <w:jc w:val="both"/>
        <w:ind w:firstLine="8"/>
        <w:spacing w:after="0" w:line="248" w:lineRule="auto"/>
        <w:tabs>
          <w:tab w:leader="none" w:pos="33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and/or 1036 of the Code. The parties adopt this Agreement as a plan of reorganization within the meaning of Treasury Regulations Sections 1.368-2(g) and 1.368-3(a). Notwithstanding the foregoing, the Company and Founder each have reviewed with its/his own tax advisors the federal, state, local and foreign tax consequences of the Put Right and the Exchange, Founder Equity Awards and the potential acquisition of shares of Class A Common Stock thereunder, the potential exchange of such shares for shares of Class B Common Stock, and the transactions contemplated by this Agreement. Each party hereto is relying solely on such advisors and not on any statements or representations of the Company or any of its agents, or Founder or any of his agents, as applicable, in connection with the transactions contemplated hereby, except for the representations and warranties of the Company and Founder expressly set forth in Articles II and III.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ectPr>
          <w:pgSz w:w="11900" w:h="16838" w:orient="portrait"/>
          <w:cols w:equalWidth="0" w:num="1">
            <w:col w:w="11240"/>
          </w:cols>
          <w:pgMar w:left="320" w:top="141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9"/>
          <w:szCs w:val="19"/>
          <w:color w:val="auto"/>
        </w:rPr>
        <w:t>IN WITNESS WHEREOF, the undersigned have executed this Agreement to be effective as of the date first above written.</w:t>
      </w:r>
    </w:p>
    <w:p>
      <w:pPr>
        <w:spacing w:after="0" w:line="200" w:lineRule="exact"/>
        <w:rPr>
          <w:sz w:val="20"/>
          <w:szCs w:val="20"/>
          <w:color w:val="auto"/>
        </w:rPr>
      </w:pPr>
    </w:p>
    <w:p>
      <w:pPr>
        <w:spacing w:after="0" w:line="30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NAVAN, INC.</w:t>
      </w:r>
    </w:p>
    <w:p>
      <w:pPr>
        <w:spacing w:after="0" w:line="200" w:lineRule="exact"/>
        <w:rPr>
          <w:sz w:val="20"/>
          <w:szCs w:val="20"/>
          <w:color w:val="auto"/>
        </w:rPr>
      </w:pPr>
    </w:p>
    <w:p>
      <w:pPr>
        <w:spacing w:after="0" w:line="303" w:lineRule="exact"/>
        <w:rPr>
          <w:sz w:val="20"/>
          <w:szCs w:val="20"/>
          <w:color w:val="auto"/>
        </w:rPr>
      </w:pPr>
    </w:p>
    <w:p>
      <w:pPr>
        <w:ind w:left="4560"/>
        <w:spacing w:after="0"/>
        <w:tabs>
          <w:tab w:leader="none" w:pos="51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Howard Baik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3272155</wp:posOffset>
            </wp:positionH>
            <wp:positionV relativeFrom="paragraph">
              <wp:posOffset>40005</wp:posOffset>
            </wp:positionV>
            <wp:extent cx="34461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4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Name: Howard Baik</w:t>
      </w:r>
    </w:p>
    <w:p>
      <w:pPr>
        <w:spacing w:after="0" w:line="2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Title: General Counsel</w:t>
      </w:r>
    </w:p>
    <w:p>
      <w:pPr>
        <w:spacing w:after="0" w:line="200" w:lineRule="exact"/>
        <w:rPr>
          <w:sz w:val="20"/>
          <w:szCs w:val="20"/>
          <w:color w:val="auto"/>
        </w:rPr>
      </w:pPr>
    </w:p>
    <w:p>
      <w:pPr>
        <w:spacing w:after="0" w:line="27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b w:val="1"/>
          <w:bCs w:val="1"/>
          <w:color w:val="auto"/>
        </w:rPr>
        <w:t>FOUNDER</w:t>
      </w:r>
    </w:p>
    <w:p>
      <w:pPr>
        <w:spacing w:after="0" w:line="200" w:lineRule="exact"/>
        <w:rPr>
          <w:sz w:val="20"/>
          <w:szCs w:val="20"/>
          <w:color w:val="auto"/>
        </w:rPr>
      </w:pPr>
    </w:p>
    <w:p>
      <w:pPr>
        <w:spacing w:after="0" w:line="29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/s/ Ilan Twig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22860</wp:posOffset>
            </wp:positionV>
            <wp:extent cx="38404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2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Name: Ilan Twig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 PAGE TO EQUITY EXCHANGE RIGHT AGREEMENT]</w:t>
      </w:r>
    </w:p>
    <w:p>
      <w:pPr>
        <w:sectPr>
          <w:pgSz w:w="11900" w:h="16838" w:orient="portrait"/>
          <w:cols w:equalWidth="0" w:num="1">
            <w:col w:w="9720"/>
          </w:cols>
          <w:pgMar w:left="980" w:top="1413" w:right="119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Founder Equity Awards</w:t>
      </w:r>
    </w:p>
    <w:p>
      <w:pPr>
        <w:sectPr>
          <w:pgSz w:w="11900" w:h="16838" w:orient="portrait"/>
          <w:cols w:equalWidth="0" w:num="1">
            <w:col w:w="9019"/>
          </w:cols>
          <w:pgMar w:left="1440" w:top="1409" w:right="1440"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Put Right Notice (the “Notice”)</w:t>
      </w:r>
    </w:p>
    <w:sectPr>
      <w:pgSz w:w="11900" w:h="16838" w:orient="portrait"/>
      <w:cols w:equalWidth="0" w:num="1">
        <w:col w:w="9019"/>
      </w:cols>
      <w:pgMar w:left="1440" w:top="1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lowerLetter"/>
      <w:start w:val="1"/>
    </w:lvl>
  </w:abstractNum>
  <w:abstractNum w:abstractNumId="4">
    <w:nsid w:val="519B500D"/>
    <w:multiLevelType w:val="hybridMultilevel"/>
    <w:lvl w:ilvl="0">
      <w:lvlJc w:val="left"/>
      <w:lvlText w:val="%1"/>
      <w:numFmt w:val="lowerRoman"/>
      <w:start w:val="1"/>
    </w:lvl>
    <w:lvl w:ilvl="1">
      <w:lvlJc w:val="left"/>
      <w:lvlText w:val="%2."/>
      <w:numFmt w:val="lowerLetter"/>
      <w:start w:val="2"/>
    </w:lvl>
  </w:abstractNum>
  <w:abstractNum w:abstractNumId="5">
    <w:nsid w:val="431BD7B7"/>
    <w:multiLevelType w:val="hybridMultilevel"/>
    <w:lvl w:ilvl="0">
      <w:lvlJc w:val="left"/>
      <w:lvlText w:val="(%1)"/>
      <w:numFmt w:val="lowerRoman"/>
      <w:start w:val="2"/>
    </w:lvl>
    <w:lvl w:ilvl="1">
      <w:lvlJc w:val="left"/>
      <w:lvlText w:val="%2"/>
      <w:numFmt w:val="lowerLetter"/>
      <w:start w:val="1"/>
    </w:lvl>
  </w:abstractNum>
  <w:abstractNum w:abstractNumId="6">
    <w:nsid w:val="3F2DBA31"/>
    <w:multiLevelType w:val="hybridMultilevel"/>
    <w:lvl w:ilvl="0">
      <w:lvlJc w:val="left"/>
      <w:lvlText w:val="%1."/>
      <w:numFmt w:val="lowerLetter"/>
      <w:start w:val="4"/>
    </w:lvl>
    <w:lvl w:ilvl="1">
      <w:lvlJc w:val="left"/>
      <w:lvlText w:val="(%2)"/>
      <w:numFmt w:val="lowerRoman"/>
      <w:start w:val="1"/>
    </w:lvl>
  </w:abstractNum>
  <w:abstractNum w:abstractNumId="7">
    <w:nsid w:val="7C83E458"/>
    <w:multiLevelType w:val="hybridMultilevel"/>
    <w:lvl w:ilvl="0">
      <w:lvlJc w:val="left"/>
      <w:lvlText w:val="%1"/>
      <w:numFmt w:val="lowerLetter"/>
      <w:start w:val="1"/>
    </w:lvl>
    <w:lvl w:ilvl="1">
      <w:lvlJc w:val="left"/>
      <w:lvlText w:val="(%2)"/>
      <w:numFmt w:val="lowerRoman"/>
      <w:start w:val="3"/>
    </w:lvl>
  </w:abstractNum>
  <w:abstractNum w:abstractNumId="8">
    <w:nsid w:val="257130A3"/>
    <w:multiLevelType w:val="hybridMultilevel"/>
    <w:lvl w:ilvl="0">
      <w:lvlJc w:val="left"/>
      <w:lvlText w:val="%1."/>
      <w:numFmt w:val="lowerLetter"/>
      <w:start w:val="8"/>
    </w:lvl>
    <w:lvl w:ilvl="1">
      <w:lvlJc w:val="left"/>
      <w:lvlText w:val="%2"/>
      <w:numFmt w:val="lowerRoman"/>
      <w:start w:val="1"/>
    </w:lvl>
  </w:abstractNum>
  <w:abstractNum w:abstractNumId="9">
    <w:nsid w:val="62BBD95A"/>
    <w:multiLevelType w:val="hybridMultilevel"/>
    <w:lvl w:ilvl="0">
      <w:lvlJc w:val="left"/>
      <w:lvlText w:val="%1."/>
      <w:numFmt w:val="lowerLetter"/>
      <w:start w:val="15"/>
    </w:lvl>
  </w:abstractNum>
  <w:abstractNum w:abstractNumId="10">
    <w:nsid w:val="436C6125"/>
    <w:multiLevelType w:val="hybridMultilevel"/>
    <w:lvl w:ilvl="0">
      <w:lvlJc w:val="left"/>
      <w:lvlText w:val="(%1)"/>
      <w:numFmt w:val="lowerRoman"/>
      <w:start w:val="1"/>
    </w:lvl>
  </w:abstractNum>
  <w:abstractNum w:abstractNumId="11">
    <w:nsid w:val="628C895D"/>
    <w:multiLevelType w:val="hybridMultilevel"/>
    <w:lvl w:ilvl="0">
      <w:lvlJc w:val="left"/>
      <w:lvlText w:val="%1"/>
      <w:numFmt w:val="lowerLetter"/>
      <w:start w:val="1"/>
    </w:lvl>
    <w:lvl w:ilvl="1">
      <w:lvlJc w:val="left"/>
      <w:lvlText w:val="(%2)"/>
      <w:numFmt w:val="lowerRoman"/>
      <w:start w:val="8"/>
    </w:lvl>
  </w:abstractNum>
  <w:abstractNum w:abstractNumId="12">
    <w:nsid w:val="333AB105"/>
    <w:multiLevelType w:val="hybridMultilevel"/>
    <w:lvl w:ilvl="0">
      <w:lvlJc w:val="left"/>
      <w:lvlText w:val="%1."/>
      <w:numFmt w:val="lowerLetter"/>
      <w:start w:val="20"/>
    </w:lvl>
    <w:lvl w:ilvl="1">
      <w:lvlJc w:val="left"/>
      <w:lvlText w:val="%2"/>
      <w:numFmt w:val="lowerRoman"/>
      <w:start w:val="1"/>
    </w:lvl>
  </w:abstractNum>
  <w:abstractNum w:abstractNumId="13">
    <w:nsid w:val="721DA317"/>
    <w:multiLevelType w:val="hybridMultilevel"/>
    <w:lvl w:ilvl="0">
      <w:lvlJc w:val="left"/>
      <w:lvlText w:val="%1."/>
      <w:numFmt w:val="lowerLetter"/>
      <w:start w:val="1"/>
    </w:lvl>
  </w:abstractNum>
  <w:abstractNum w:abstractNumId="14">
    <w:nsid w:val="2443A858"/>
    <w:multiLevelType w:val="hybridMultilevel"/>
    <w:lvl w:ilvl="0">
      <w:lvlJc w:val="left"/>
      <w:lvlText w:val="%1."/>
      <w:numFmt w:val="lowerLetter"/>
      <w:start w:val="3"/>
    </w:lvl>
  </w:abstractNum>
  <w:abstractNum w:abstractNumId="15">
    <w:nsid w:val="2D1D5AE9"/>
    <w:multiLevelType w:val="hybridMultilevel"/>
    <w:lvl w:ilvl="0">
      <w:lvlJc w:val="left"/>
      <w:lvlText w:val="%1."/>
      <w:numFmt w:val="lowerLetter"/>
      <w:start w:val="1"/>
    </w:lvl>
    <w:lvl w:ilvl="1">
      <w:lvlJc w:val="left"/>
      <w:lvlText w:val="(%2)"/>
      <w:numFmt w:val="lowerRoman"/>
      <w:start w:val="1"/>
    </w:lvl>
  </w:abstractNum>
  <w:abstractNum w:abstractNumId="16">
    <w:nsid w:val="6763845E"/>
    <w:multiLevelType w:val="hybridMultilevel"/>
    <w:lvl w:ilvl="0">
      <w:lvlJc w:val="left"/>
      <w:lvlText w:val="%1."/>
      <w:numFmt w:val="lowerLetter"/>
      <w:start w:val="1"/>
    </w:lvl>
    <w:lvl w:ilvl="1">
      <w:lvlJc w:val="left"/>
      <w:lvlText w:val="(%2)"/>
      <w:numFmt w:val="lowerRoman"/>
      <w:start w:val="1"/>
    </w:lvl>
  </w:abstractNum>
  <w:abstractNum w:abstractNumId="17">
    <w:nsid w:val="75A2A8D4"/>
    <w:multiLevelType w:val="hybridMultilevel"/>
    <w:lvl w:ilvl="0">
      <w:lvlJc w:val="left"/>
      <w:lvlText w:val="%1."/>
      <w:numFmt w:val="lowerLetter"/>
      <w:start w:val="1"/>
    </w:lvl>
  </w:abstractNum>
  <w:abstractNum w:abstractNumId="18">
    <w:nsid w:val="8EDBDAB"/>
    <w:multiLevelType w:val="hybridMultilevel"/>
    <w:lvl w:ilvl="0">
      <w:lvlJc w:val="left"/>
      <w:lvlText w:val="%1."/>
      <w:numFmt w:val="lowerLetter"/>
      <w:start w:val="2"/>
    </w:lvl>
  </w:abstractNum>
  <w:abstractNum w:abstractNumId="19">
    <w:nsid w:val="79838CB2"/>
    <w:multiLevelType w:val="hybridMultilevel"/>
    <w:lvl w:ilvl="0">
      <w:lvlJc w:val="left"/>
      <w:lvlText w:val="%1."/>
      <w:numFmt w:val="lowerLetter"/>
      <w:start w:val="1"/>
    </w:lvl>
  </w:abstractNum>
  <w:abstractNum w:abstractNumId="20">
    <w:nsid w:val="4353D0CD"/>
    <w:multiLevelType w:val="hybridMultilevel"/>
    <w:lvl w:ilvl="0">
      <w:lvlJc w:val="left"/>
      <w:lvlText w:val="(%1)"/>
      <w:numFmt w:val="lowerLetter"/>
      <w:start w:val="1"/>
    </w:lvl>
  </w:abstractNum>
  <w:abstractNum w:abstractNumId="21">
    <w:nsid w:val="B03E0C6"/>
    <w:multiLevelType w:val="hybridMultilevel"/>
    <w:lvl w:ilvl="0">
      <w:lvlJc w:val="left"/>
      <w:lvlText w:val="(%1)"/>
      <w:numFmt w:val="lowerLetter"/>
      <w:start w:val="2"/>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upperLetter"/>
      <w:start w:val="5"/>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lowerLetter"/>
      <w:start w:val="1"/>
    </w:lvl>
    <w:lvl w:ilvl="1">
      <w:lvlJc w:val="left"/>
      <w:lvlText w:val="(%2)"/>
      <w:numFmt w:val="lowerRoman"/>
      <w:start w:val="1"/>
    </w:lvl>
  </w:abstractNum>
  <w:abstractNum w:abstractNumId="26">
    <w:nsid w:val="836C40E"/>
    <w:multiLevelType w:val="hybridMultilevel"/>
    <w:lvl w:ilvl="0">
      <w:lvlJc w:val="left"/>
      <w:lvlText w:val="(%1)"/>
      <w:numFmt w:val="upperLetter"/>
      <w:start w:val="5"/>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lowerLetter"/>
      <w:start w:val="1"/>
    </w:lvl>
    <w:lvl w:ilvl="1">
      <w:lvlJc w:val="left"/>
      <w:lvlText w:val="(%2)"/>
      <w:numFmt w:val="lowerRoman"/>
      <w:start w:val="1"/>
    </w:lvl>
  </w:abstractNum>
  <w:abstractNum w:abstractNumId="29">
    <w:nsid w:val="8138641"/>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15" Type="http://schemas.openxmlformats.org/officeDocument/2006/relationships/hyperlink" Target="https://www.sec.gov/Archives/edgar/data/1639723/000162828025044812/exhibit34-sx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2025-11-03T05:12:25Z</dcterms:created>
  <dcterms:modified xsi:type="dcterms:W3CDTF">2025-11-03T05:12:25Z</dcterms:modified>
</cp:coreProperties>
</file>