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Williams Anre 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15,024</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each of which represents a contingent right to receive one share of Issuer's Class A Common Stock. The RSUs are subject to a time-based service condition and a performance-based condition, both of which must be satisfied to vest. The time-based service condition will be satisfied with respect to 1/3rd of the total number of such RSUs on the first anniversary of the vesting commencement date, and an additional 1/3rd of the total number of such RSUs vest annually thereafter, subject to Reporting Person's continued service through each applicable vesting date. The performance-based condition was satisfied upon a liquidity event which occurred upon the effectiveness of Issuer's registration statement on Form S-1 in connection with Issuer's initial public offering of Class A Common Stock.</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Howard Baik,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8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51"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Howard Baik, Amy Butte, Dayne Brown, and Loanna Hung, signing individually, the undersigned’s true and lawful attorneys-in fact and agents to:</w:t>
      </w:r>
    </w:p>
    <w:p>
      <w:pPr>
        <w:spacing w:after="0" w:line="175" w:lineRule="exact"/>
        <w:rPr>
          <w:sz w:val="20"/>
          <w:szCs w:val="20"/>
          <w:color w:val="auto"/>
        </w:rPr>
      </w:pPr>
    </w:p>
    <w:p>
      <w:pPr>
        <w:jc w:val="both"/>
        <w:ind w:left="720"/>
        <w:spacing w:after="0" w:line="252" w:lineRule="auto"/>
        <w:tabs>
          <w:tab w:leader="none" w:pos="103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greater than 10% stockholder of Navan,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w:t>
      </w:r>
    </w:p>
    <w:p>
      <w:pPr>
        <w:spacing w:after="0" w:line="198" w:lineRule="exact"/>
        <w:rPr>
          <w:rFonts w:ascii="Times New Roman" w:cs="Times New Roman" w:eastAsia="Times New Roman" w:hAnsi="Times New Roman"/>
          <w:sz w:val="22"/>
          <w:szCs w:val="22"/>
          <w:color w:val="auto"/>
        </w:rPr>
      </w:pPr>
    </w:p>
    <w:p>
      <w:pPr>
        <w:jc w:val="both"/>
        <w:ind w:left="720"/>
        <w:spacing w:after="0" w:line="257" w:lineRule="auto"/>
        <w:tabs>
          <w:tab w:leader="none" w:pos="104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spacing w:after="0" w:line="249" w:lineRule="auto"/>
        <w:tabs>
          <w:tab w:leader="none" w:pos="10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has caused this Power of Attorney to be executed as of September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Anré Williams</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Anré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sectPr>
      <w:pgSz w:w="11900" w:h="16838" w:orient="portrait"/>
      <w:cols w:equalWidth="0" w:num="1">
        <w:col w:w="10940"/>
      </w:cols>
      <w:pgMar w:left="480" w:top="3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03170"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2025-10-29T20:47:31Z</dcterms:created>
  <dcterms:modified xsi:type="dcterms:W3CDTF">2025-10-29T20:47:31Z</dcterms:modified>
</cp:coreProperties>
</file>