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720" w:type="dxa"/>
            <w:vAlign w:val="bottom"/>
            <w:gridSpan w:val="2"/>
            <w:vMerge w:val="restart"/>
          </w:tcPr>
          <w:p>
            <w:pPr>
              <w:spacing w:after="0"/>
              <w:rPr>
                <w:rFonts w:ascii="Times New Roman" w:cs="Times New Roman" w:eastAsia="Times New Roman" w:hAnsi="Times New Roman"/>
                <w:sz w:val="24"/>
                <w:szCs w:val="24"/>
                <w:color w:val="0000EE"/>
                <w:w w:val="98"/>
              </w:rPr>
            </w:pPr>
            <w:hyperlink r:id="rId10">
              <w:r>
                <w:rPr>
                  <w:rFonts w:ascii="Times New Roman" w:cs="Times New Roman" w:eastAsia="Times New Roman" w:hAnsi="Times New Roman"/>
                  <w:sz w:val="24"/>
                  <w:szCs w:val="24"/>
                  <w:color w:val="0000EE"/>
                  <w:w w:val="98"/>
                </w:rPr>
                <w:t>Lightspeed Venture Partners</w:t>
              </w:r>
            </w:hyperlink>
          </w:p>
        </w:tc>
        <w:tc>
          <w:tcPr>
            <w:tcW w:w="300" w:type="dxa"/>
            <w:vAlign w:val="bottom"/>
            <w:vMerge w:val="restart"/>
          </w:tcPr>
          <w:p>
            <w:pPr>
              <w:spacing w:after="0"/>
              <w:rPr>
                <w:sz w:val="11"/>
                <w:szCs w:val="11"/>
                <w:color w:val="auto"/>
              </w:rPr>
            </w:pPr>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2720" w:type="dxa"/>
            <w:vAlign w:val="bottom"/>
            <w:tcBorders>
              <w:bottom w:val="single" w:sz="8" w:color="0000EE"/>
            </w:tcBorders>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300" w:type="dxa"/>
            <w:vAlign w:val="bottom"/>
            <w:tcBorders>
              <w:bottom w:val="single" w:sz="8" w:color="0000EE"/>
            </w:tcBorders>
          </w:tcPr>
          <w:p>
            <w:pPr>
              <w:spacing w:after="0" w:line="250" w:lineRule="exact"/>
              <w:rPr>
                <w:rFonts w:ascii="Times New Roman" w:cs="Times New Roman" w:eastAsia="Times New Roman" w:hAnsi="Times New Roman"/>
                <w:sz w:val="24"/>
                <w:szCs w:val="24"/>
                <w:color w:val="0000EE"/>
                <w:w w:val="96"/>
              </w:rPr>
            </w:pPr>
            <w:hyperlink r:id="rId10">
              <w:r>
                <w:rPr>
                  <w:rFonts w:ascii="Times New Roman" w:cs="Times New Roman" w:eastAsia="Times New Roman" w:hAnsi="Times New Roman"/>
                  <w:sz w:val="24"/>
                  <w:szCs w:val="24"/>
                  <w:color w:val="0000EE"/>
                  <w:w w:val="96"/>
                </w:rPr>
                <w:t>Select II, L.P.</w:t>
              </w:r>
            </w:hyperlink>
          </w:p>
        </w:tc>
        <w:tc>
          <w:tcPr>
            <w:tcW w:w="1720" w:type="dxa"/>
            <w:vAlign w:val="bottom"/>
            <w:gridSpan w:val="2"/>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10/29/2025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Navan,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NAVN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508" w:lineRule="exact"/>
        <w:rPr>
          <w:sz w:val="20"/>
          <w:szCs w:val="20"/>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9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right="1637"/>
        <w:spacing w:after="0" w:line="275" w:lineRule="auto"/>
        <w:rPr>
          <w:sz w:val="20"/>
          <w:szCs w:val="20"/>
          <w:color w:val="auto"/>
        </w:rPr>
      </w:pPr>
      <w:r>
        <w:rPr>
          <w:rFonts w:ascii="Times New Roman" w:cs="Times New Roman" w:eastAsia="Times New Roman" w:hAnsi="Times New Roman"/>
          <w:sz w:val="20"/>
          <w:szCs w:val="20"/>
          <w:color w:val="0000FF"/>
        </w:rPr>
        <w:t>C/O LIGHTSPEED VENTURE PARTNERS</w:t>
      </w:r>
    </w:p>
    <w:p>
      <w:pPr>
        <w:spacing w:after="0" w:line="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2200 SAND HILL ROAD</w:t>
      </w:r>
    </w:p>
    <w:p>
      <w:pPr>
        <w:spacing w:after="0" w:line="326"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90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MENLO</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94025</w:t>
            </w:r>
          </w:p>
        </w:tc>
        <w:tc>
          <w:tcPr>
            <w:tcW w:w="0" w:type="dxa"/>
            <w:vAlign w:val="bottom"/>
          </w:tcPr>
          <w:p>
            <w:pPr>
              <w:spacing w:after="0"/>
              <w:rPr>
                <w:sz w:val="1"/>
                <w:szCs w:val="1"/>
                <w:color w:val="auto"/>
              </w:rPr>
            </w:pPr>
          </w:p>
        </w:tc>
      </w:tr>
      <w:tr>
        <w:trPr>
          <w:trHeight w:val="134"/>
        </w:trPr>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PARK</w:t>
            </w:r>
          </w:p>
        </w:tc>
        <w:tc>
          <w:tcPr>
            <w:tcW w:w="8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0"/>
          <w:szCs w:val="20"/>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3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93" w:lineRule="exact"/>
        <w:rPr>
          <w:sz w:val="20"/>
          <w:szCs w:val="20"/>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tcPr>
          <w:p>
            <w:pPr>
              <w:ind w:left="160"/>
              <w:spacing w:after="0"/>
              <w:rPr>
                <w:sz w:val="20"/>
                <w:szCs w:val="20"/>
                <w:color w:val="auto"/>
              </w:rPr>
            </w:pPr>
            <w:r>
              <w:rPr>
                <w:rFonts w:ascii="Arial" w:cs="Arial" w:eastAsia="Arial" w:hAnsi="Arial"/>
                <w:sz w:val="15"/>
                <w:szCs w:val="15"/>
                <w:b w:val="1"/>
                <w:bCs w:val="1"/>
                <w:color w:val="auto"/>
                <w:w w:val="99"/>
              </w:rPr>
              <w:t>2. Amount of Securities</w:t>
            </w:r>
          </w:p>
        </w:tc>
        <w:tc>
          <w:tcPr>
            <w:tcW w:w="1580" w:type="dxa"/>
            <w:vAlign w:val="bottom"/>
            <w:gridSpan w:val="3"/>
          </w:tcPr>
          <w:p>
            <w:pPr>
              <w:ind w:left="40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20" w:type="dxa"/>
            <w:vAlign w:val="bottom"/>
            <w:gridSpan w:val="4"/>
          </w:tcPr>
          <w:p>
            <w:pPr>
              <w:ind w:left="16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4)</w:t>
            </w:r>
          </w:p>
        </w:tc>
        <w:tc>
          <w:tcPr>
            <w:tcW w:w="1580" w:type="dxa"/>
            <w:vAlign w:val="bottom"/>
            <w:gridSpan w:val="3"/>
          </w:tcPr>
          <w:p>
            <w:pPr>
              <w:ind w:left="400"/>
              <w:spacing w:after="0" w:line="165" w:lineRule="exact"/>
              <w:rPr>
                <w:sz w:val="20"/>
                <w:szCs w:val="20"/>
                <w:color w:val="auto"/>
              </w:rPr>
            </w:pPr>
            <w:r>
              <w:rPr>
                <w:rFonts w:ascii="Arial" w:cs="Arial" w:eastAsia="Arial" w:hAnsi="Arial"/>
                <w:sz w:val="15"/>
                <w:szCs w:val="15"/>
                <w:b w:val="1"/>
                <w:bCs w:val="1"/>
                <w:color w:val="auto"/>
              </w:rPr>
              <w:t>(D) or Indirect</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80" w:type="dxa"/>
            <w:vAlign w:val="bottom"/>
            <w:gridSpan w:val="3"/>
          </w:tcPr>
          <w:p>
            <w:pPr>
              <w:ind w:left="400"/>
              <w:spacing w:after="0"/>
              <w:rPr>
                <w:sz w:val="20"/>
                <w:szCs w:val="20"/>
                <w:color w:val="auto"/>
              </w:rPr>
            </w:pPr>
            <w:r>
              <w:rPr>
                <w:rFonts w:ascii="Arial" w:cs="Arial" w:eastAsia="Arial" w:hAnsi="Arial"/>
                <w:sz w:val="15"/>
                <w:szCs w:val="15"/>
                <w:b w:val="1"/>
                <w:bCs w:val="1"/>
                <w:color w:val="auto"/>
              </w:rPr>
              <w:t>(I) (Instr. 5)</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ind w:left="800"/>
              <w:spacing w:after="0"/>
              <w:rPr>
                <w:sz w:val="20"/>
                <w:szCs w:val="20"/>
                <w:color w:val="auto"/>
              </w:rPr>
            </w:pPr>
            <w:r>
              <w:rPr>
                <w:rFonts w:ascii="Times New Roman" w:cs="Times New Roman" w:eastAsia="Times New Roman" w:hAnsi="Times New Roman"/>
                <w:sz w:val="20"/>
                <w:szCs w:val="20"/>
                <w:color w:val="0000FF"/>
              </w:rPr>
              <w:t>302,503</w:t>
            </w:r>
          </w:p>
        </w:tc>
        <w:tc>
          <w:tcPr>
            <w:tcW w:w="880" w:type="dxa"/>
            <w:vAlign w:val="bottom"/>
          </w:tcPr>
          <w:p>
            <w:pPr>
              <w:spacing w:after="0"/>
              <w:rPr>
                <w:sz w:val="24"/>
                <w:szCs w:val="24"/>
                <w:color w:val="auto"/>
              </w:rPr>
            </w:pPr>
          </w:p>
        </w:tc>
        <w:tc>
          <w:tcPr>
            <w:tcW w:w="700" w:type="dxa"/>
            <w:vAlign w:val="bottom"/>
            <w:gridSpan w:val="2"/>
            <w:vMerge w:val="restart"/>
          </w:tcPr>
          <w:p>
            <w:pPr>
              <w:jc w:val="right"/>
              <w:ind w:right="565"/>
              <w:spacing w:after="0"/>
              <w:rPr>
                <w:sz w:val="20"/>
                <w:szCs w:val="20"/>
                <w:color w:val="auto"/>
              </w:rPr>
            </w:pPr>
            <w:r>
              <w:rPr>
                <w:rFonts w:ascii="Times New Roman" w:cs="Times New Roman" w:eastAsia="Times New Roman" w:hAnsi="Times New Roman"/>
                <w:sz w:val="16"/>
                <w:szCs w:val="16"/>
                <w:color w:val="0000FF"/>
                <w:w w:val="74"/>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Lightspeed Opportunity Fund,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L.P.</w:t>
            </w:r>
            <w:r>
              <w:rPr>
                <w:rFonts w:ascii="Times New Roman" w:cs="Times New Roman" w:eastAsia="Times New Roman" w:hAnsi="Times New Roman"/>
                <w:sz w:val="25"/>
                <w:szCs w:val="25"/>
                <w:color w:val="008000"/>
                <w:vertAlign w:val="superscript"/>
              </w:rPr>
              <w:t>(1)</w:t>
            </w: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27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184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gridSpan w:val="2"/>
            <w:vMerge w:val="continue"/>
          </w:tcPr>
          <w:p>
            <w:pPr>
              <w:spacing w:after="0"/>
              <w:rPr>
                <w:sz w:val="20"/>
                <w:szCs w:val="20"/>
                <w:color w:val="auto"/>
              </w:rPr>
            </w:pPr>
          </w:p>
        </w:tc>
        <w:tc>
          <w:tcPr>
            <w:tcW w:w="146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5300" w:type="dxa"/>
            <w:vAlign w:val="bottom"/>
            <w:tcBorders>
              <w:top w:val="single" w:sz="8" w:color="2C2C2C"/>
            </w:tcBorders>
            <w:gridSpan w:val="6"/>
          </w:tcPr>
          <w:p>
            <w:pPr>
              <w:jc w:val="right"/>
              <w:ind w:right="325"/>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6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jc w:val="right"/>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8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6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w w:val="99"/>
              </w:rPr>
              <w:t>Underlying Derivative Security (Instr.</w:t>
            </w:r>
          </w:p>
        </w:tc>
        <w:tc>
          <w:tcPr>
            <w:tcW w:w="8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w w:val="98"/>
              </w:rPr>
              <w:t>Price of</w:t>
            </w:r>
          </w:p>
        </w:tc>
        <w:tc>
          <w:tcPr>
            <w:tcW w:w="36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880" w:type="dxa"/>
            <w:vAlign w:val="bottom"/>
            <w:vMerge w:val="restart"/>
          </w:tcPr>
          <w:p>
            <w:pPr>
              <w:spacing w:after="0"/>
              <w:rPr>
                <w:sz w:val="20"/>
                <w:szCs w:val="20"/>
                <w:color w:val="auto"/>
              </w:rPr>
            </w:pPr>
            <w:r>
              <w:rPr>
                <w:rFonts w:ascii="Arial" w:cs="Arial" w:eastAsia="Arial" w:hAnsi="Arial"/>
                <w:sz w:val="15"/>
                <w:szCs w:val="15"/>
                <w:b w:val="1"/>
                <w:bCs w:val="1"/>
                <w:color w:val="auto"/>
              </w:rPr>
              <w:t>Amount or</w:t>
            </w: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8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spacing w:after="0" w:line="165" w:lineRule="exact"/>
              <w:rPr>
                <w:sz w:val="20"/>
                <w:szCs w:val="20"/>
                <w:color w:val="auto"/>
              </w:rPr>
            </w:pPr>
            <w:r>
              <w:rPr>
                <w:rFonts w:ascii="Arial" w:cs="Arial" w:eastAsia="Arial" w:hAnsi="Arial"/>
                <w:sz w:val="15"/>
                <w:szCs w:val="15"/>
                <w:b w:val="1"/>
                <w:bCs w:val="1"/>
                <w:color w:val="auto"/>
              </w:rPr>
              <w:t>Number of</w:t>
            </w:r>
          </w:p>
        </w:tc>
        <w:tc>
          <w:tcPr>
            <w:tcW w:w="8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40" w:type="dxa"/>
            <w:vAlign w:val="bottom"/>
            <w:vMerge w:val="continue"/>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5"/>
                <w:szCs w:val="15"/>
                <w:b w:val="1"/>
                <w:bCs w:val="1"/>
                <w:color w:val="auto"/>
              </w:rPr>
              <w:t>Shares</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Seed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vMerge w:val="continue"/>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3,914,906</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60" w:type="dxa"/>
            <w:vAlign w:val="bottom"/>
          </w:tcPr>
          <w:p>
            <w:pPr>
              <w:spacing w:after="0"/>
              <w:rPr>
                <w:sz w:val="10"/>
                <w:szCs w:val="1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Venture Partners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8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X, L.P.</w:t>
            </w:r>
            <w:r>
              <w:rPr>
                <w:rFonts w:ascii="Times New Roman" w:cs="Times New Roman" w:eastAsia="Times New Roman" w:hAnsi="Times New Roman"/>
                <w:sz w:val="25"/>
                <w:szCs w:val="25"/>
                <w:color w:val="008000"/>
                <w:vertAlign w:val="superscript"/>
              </w:rPr>
              <w:t>(3)</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Seed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vMerge w:val="continue"/>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192,885</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60" w:type="dxa"/>
            <w:vAlign w:val="bottom"/>
          </w:tcPr>
          <w:p>
            <w:pPr>
              <w:spacing w:after="0"/>
              <w:rPr>
                <w:sz w:val="10"/>
                <w:szCs w:val="1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Affiliates X,</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8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L.P.</w:t>
            </w:r>
            <w:r>
              <w:rPr>
                <w:rFonts w:ascii="Times New Roman" w:cs="Times New Roman" w:eastAsia="Times New Roman" w:hAnsi="Times New Roman"/>
                <w:sz w:val="25"/>
                <w:szCs w:val="25"/>
                <w:color w:val="008000"/>
                <w:vertAlign w:val="superscript"/>
              </w:rPr>
              <w:t>(4)</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A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vMerge w:val="continue"/>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4,026,218</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60" w:type="dxa"/>
            <w:vAlign w:val="bottom"/>
          </w:tcPr>
          <w:p>
            <w:pPr>
              <w:spacing w:after="0"/>
              <w:rPr>
                <w:sz w:val="10"/>
                <w:szCs w:val="1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Venture Partners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8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X, L.P.</w:t>
            </w:r>
            <w:r>
              <w:rPr>
                <w:rFonts w:ascii="Times New Roman" w:cs="Times New Roman" w:eastAsia="Times New Roman" w:hAnsi="Times New Roman"/>
                <w:sz w:val="25"/>
                <w:szCs w:val="25"/>
                <w:color w:val="008000"/>
                <w:vertAlign w:val="superscript"/>
              </w:rPr>
              <w:t>(3)</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A-1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vMerge w:val="continue"/>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12,743,557</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60" w:type="dxa"/>
            <w:vAlign w:val="bottom"/>
          </w:tcPr>
          <w:p>
            <w:pPr>
              <w:spacing w:after="0"/>
              <w:rPr>
                <w:sz w:val="10"/>
                <w:szCs w:val="1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Venture Partners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8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X, L.P.</w:t>
            </w:r>
            <w:r>
              <w:rPr>
                <w:rFonts w:ascii="Times New Roman" w:cs="Times New Roman" w:eastAsia="Times New Roman" w:hAnsi="Times New Roman"/>
                <w:sz w:val="25"/>
                <w:szCs w:val="25"/>
                <w:color w:val="008000"/>
                <w:vertAlign w:val="superscript"/>
              </w:rPr>
              <w:t>(3)</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vMerge w:val="continue"/>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2,680,821</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60" w:type="dxa"/>
            <w:vAlign w:val="bottom"/>
          </w:tcPr>
          <w:p>
            <w:pPr>
              <w:spacing w:after="0"/>
              <w:rPr>
                <w:sz w:val="10"/>
                <w:szCs w:val="1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Venture Partners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8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X, L.P.</w:t>
            </w:r>
            <w:r>
              <w:rPr>
                <w:rFonts w:ascii="Times New Roman" w:cs="Times New Roman" w:eastAsia="Times New Roman" w:hAnsi="Times New Roman"/>
                <w:sz w:val="25"/>
                <w:szCs w:val="25"/>
                <w:color w:val="008000"/>
                <w:vertAlign w:val="superscript"/>
              </w:rPr>
              <w:t>(3)</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vMerge w:val="continue"/>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13,404,106</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60" w:type="dxa"/>
            <w:vAlign w:val="bottom"/>
          </w:tcPr>
          <w:p>
            <w:pPr>
              <w:spacing w:after="0"/>
              <w:rPr>
                <w:sz w:val="10"/>
                <w:szCs w:val="1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Venture Partners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8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Select II, L.P.</w:t>
            </w:r>
            <w:r>
              <w:rPr>
                <w:rFonts w:ascii="Times New Roman" w:cs="Times New Roman" w:eastAsia="Times New Roman" w:hAnsi="Times New Roman"/>
                <w:sz w:val="25"/>
                <w:szCs w:val="25"/>
                <w:color w:val="008000"/>
                <w:vertAlign w:val="superscript"/>
              </w:rPr>
              <w:t>(5)</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vMerge w:val="continue"/>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4,490,223</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60" w:type="dxa"/>
            <w:vAlign w:val="bottom"/>
          </w:tcPr>
          <w:p>
            <w:pPr>
              <w:spacing w:after="0"/>
              <w:rPr>
                <w:sz w:val="10"/>
                <w:szCs w:val="1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Venture Partners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8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Select III, L.P.</w:t>
            </w:r>
            <w:r>
              <w:rPr>
                <w:rFonts w:ascii="Times New Roman" w:cs="Times New Roman" w:eastAsia="Times New Roman" w:hAnsi="Times New Roman"/>
                <w:sz w:val="25"/>
                <w:szCs w:val="25"/>
                <w:color w:val="008000"/>
                <w:vertAlign w:val="superscript"/>
              </w:rPr>
              <w:t>(6)</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100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184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620" w:type="dxa"/>
            <w:vAlign w:val="bottom"/>
            <w:tcBorders>
              <w:bottom w:val="single" w:sz="8" w:color="808080"/>
            </w:tcBorders>
          </w:tcPr>
          <w:p>
            <w:pPr>
              <w:spacing w:after="0"/>
              <w:rPr>
                <w:sz w:val="15"/>
                <w:szCs w:val="15"/>
                <w:color w:val="auto"/>
              </w:rPr>
            </w:pPr>
          </w:p>
        </w:tc>
        <w:tc>
          <w:tcPr>
            <w:tcW w:w="360" w:type="dxa"/>
            <w:vAlign w:val="bottom"/>
            <w:tcBorders>
              <w:bottom w:val="single" w:sz="8" w:color="808080"/>
            </w:tcBorders>
          </w:tcPr>
          <w:p>
            <w:pPr>
              <w:spacing w:after="0"/>
              <w:rPr>
                <w:sz w:val="15"/>
                <w:szCs w:val="15"/>
                <w:color w:val="auto"/>
              </w:rPr>
            </w:pPr>
          </w:p>
        </w:tc>
        <w:tc>
          <w:tcPr>
            <w:tcW w:w="940" w:type="dxa"/>
            <w:vAlign w:val="bottom"/>
            <w:tcBorders>
              <w:bottom w:val="single" w:sz="8" w:color="808080"/>
            </w:tcBorders>
          </w:tcPr>
          <w:p>
            <w:pPr>
              <w:spacing w:after="0"/>
              <w:rPr>
                <w:sz w:val="15"/>
                <w:szCs w:val="15"/>
                <w:color w:val="auto"/>
              </w:rPr>
            </w:pPr>
          </w:p>
        </w:tc>
        <w:tc>
          <w:tcPr>
            <w:tcW w:w="1460" w:type="dxa"/>
            <w:vAlign w:val="bottom"/>
            <w:tcBorders>
              <w:bottom w:val="single" w:sz="8" w:color="808080"/>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1052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10520045"/>
                    </a:xfrm>
                    <a:prstGeom prst="rect">
                      <a:avLst/>
                    </a:prstGeom>
                    <a:noFill/>
                  </pic:spPr>
                </pic:pic>
              </a:graphicData>
            </a:graphic>
          </wp:anchor>
        </w:drawing>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84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6"/>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80" w:type="dxa"/>
            <w:vAlign w:val="bottom"/>
            <w:gridSpan w:val="6"/>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80" w:type="dxa"/>
            <w:vAlign w:val="bottom"/>
            <w:gridSpan w:val="6"/>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1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5"/>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1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5"/>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1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C-1 Preferred Stock</w:t>
            </w:r>
          </w:p>
        </w:tc>
        <w:tc>
          <w:tcPr>
            <w:tcW w:w="1000" w:type="dxa"/>
            <w:vAlign w:val="bottom"/>
            <w:vMerge w:val="restart"/>
          </w:tcPr>
          <w:p>
            <w:pPr>
              <w:jc w:val="right"/>
              <w:ind w:right="35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0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1,387,848</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Venture Partners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80" w:type="dxa"/>
            <w:vAlign w:val="bottom"/>
            <w:gridSpan w:val="5"/>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Select II, L.P.</w:t>
            </w:r>
            <w:r>
              <w:rPr>
                <w:rFonts w:ascii="Times New Roman" w:cs="Times New Roman" w:eastAsia="Times New Roman" w:hAnsi="Times New Roman"/>
                <w:sz w:val="25"/>
                <w:szCs w:val="25"/>
                <w:color w:val="008000"/>
                <w:vertAlign w:val="superscript"/>
              </w:rPr>
              <w:t>(5)</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D Preferred Stock</w:t>
            </w:r>
          </w:p>
        </w:tc>
        <w:tc>
          <w:tcPr>
            <w:tcW w:w="1000" w:type="dxa"/>
            <w:vAlign w:val="bottom"/>
            <w:vMerge w:val="restart"/>
          </w:tcPr>
          <w:p>
            <w:pPr>
              <w:jc w:val="right"/>
              <w:ind w:right="35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0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2,432,552</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Opportunity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80" w:type="dxa"/>
            <w:vAlign w:val="bottom"/>
            <w:gridSpan w:val="5"/>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Fund, L.P.</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D Preferred Stock</w:t>
            </w:r>
          </w:p>
        </w:tc>
        <w:tc>
          <w:tcPr>
            <w:tcW w:w="1000" w:type="dxa"/>
            <w:vAlign w:val="bottom"/>
            <w:vMerge w:val="restart"/>
          </w:tcPr>
          <w:p>
            <w:pPr>
              <w:jc w:val="right"/>
              <w:ind w:right="35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0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1,576,654</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Venture Partners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80" w:type="dxa"/>
            <w:vAlign w:val="bottom"/>
            <w:gridSpan w:val="5"/>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Select III, L.P.</w:t>
            </w:r>
            <w:r>
              <w:rPr>
                <w:rFonts w:ascii="Times New Roman" w:cs="Times New Roman" w:eastAsia="Times New Roman" w:hAnsi="Times New Roman"/>
                <w:sz w:val="25"/>
                <w:szCs w:val="25"/>
                <w:color w:val="008000"/>
                <w:vertAlign w:val="superscript"/>
              </w:rPr>
              <w:t>(6)</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E Preferred Stock</w:t>
            </w:r>
          </w:p>
        </w:tc>
        <w:tc>
          <w:tcPr>
            <w:tcW w:w="1000" w:type="dxa"/>
            <w:vAlign w:val="bottom"/>
            <w:vMerge w:val="restart"/>
          </w:tcPr>
          <w:p>
            <w:pPr>
              <w:jc w:val="right"/>
              <w:ind w:right="35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0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1,759,626</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Opportunity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80" w:type="dxa"/>
            <w:vAlign w:val="bottom"/>
            <w:gridSpan w:val="5"/>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Fund, L.P.</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E Preferred Stock</w:t>
            </w:r>
          </w:p>
        </w:tc>
        <w:tc>
          <w:tcPr>
            <w:tcW w:w="1000" w:type="dxa"/>
            <w:vAlign w:val="bottom"/>
            <w:vMerge w:val="restart"/>
          </w:tcPr>
          <w:p>
            <w:pPr>
              <w:jc w:val="right"/>
              <w:ind w:right="35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0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385,038</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Strategic</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80" w:type="dxa"/>
            <w:vAlign w:val="bottom"/>
            <w:gridSpan w:val="5"/>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w w:val="98"/>
              </w:rPr>
              <w:t>Partners I, L.P.</w:t>
            </w:r>
            <w:r>
              <w:rPr>
                <w:rFonts w:ascii="Times New Roman" w:cs="Times New Roman" w:eastAsia="Times New Roman" w:hAnsi="Times New Roman"/>
                <w:sz w:val="25"/>
                <w:szCs w:val="25"/>
                <w:color w:val="008000"/>
                <w:w w:val="98"/>
                <w:vertAlign w:val="superscript"/>
              </w:rPr>
              <w:t>(7)</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F Preferred Stock</w:t>
            </w:r>
          </w:p>
        </w:tc>
        <w:tc>
          <w:tcPr>
            <w:tcW w:w="1000" w:type="dxa"/>
            <w:vAlign w:val="bottom"/>
            <w:vMerge w:val="restart"/>
          </w:tcPr>
          <w:p>
            <w:pPr>
              <w:jc w:val="right"/>
              <w:ind w:right="35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0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218,667</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Opportunity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80" w:type="dxa"/>
            <w:vAlign w:val="bottom"/>
            <w:gridSpan w:val="5"/>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Fund, L.P.</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G-1 Preferred Stock</w:t>
            </w:r>
          </w:p>
        </w:tc>
        <w:tc>
          <w:tcPr>
            <w:tcW w:w="1000" w:type="dxa"/>
            <w:vAlign w:val="bottom"/>
            <w:vMerge w:val="restart"/>
          </w:tcPr>
          <w:p>
            <w:pPr>
              <w:jc w:val="right"/>
              <w:ind w:right="35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0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67,641</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Opportunity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80" w:type="dxa"/>
            <w:vAlign w:val="bottom"/>
            <w:gridSpan w:val="5"/>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Fund, L.P.</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G-1 Preferred Stock</w:t>
            </w:r>
          </w:p>
        </w:tc>
        <w:tc>
          <w:tcPr>
            <w:tcW w:w="1000" w:type="dxa"/>
            <w:vAlign w:val="bottom"/>
            <w:vMerge w:val="restart"/>
          </w:tcPr>
          <w:p>
            <w:pPr>
              <w:jc w:val="right"/>
              <w:ind w:right="35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0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67,641</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Venture Partners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80" w:type="dxa"/>
            <w:vAlign w:val="bottom"/>
            <w:gridSpan w:val="5"/>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Select II, L.P.</w:t>
            </w:r>
            <w:r>
              <w:rPr>
                <w:rFonts w:ascii="Times New Roman" w:cs="Times New Roman" w:eastAsia="Times New Roman" w:hAnsi="Times New Roman"/>
                <w:sz w:val="25"/>
                <w:szCs w:val="25"/>
                <w:color w:val="008000"/>
                <w:vertAlign w:val="superscript"/>
              </w:rPr>
              <w:t>(5)</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G-1 Preferred Stock</w:t>
            </w:r>
          </w:p>
        </w:tc>
        <w:tc>
          <w:tcPr>
            <w:tcW w:w="1000" w:type="dxa"/>
            <w:vAlign w:val="bottom"/>
            <w:vMerge w:val="restart"/>
          </w:tcPr>
          <w:p>
            <w:pPr>
              <w:jc w:val="right"/>
              <w:ind w:right="35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0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67,641</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Venture Partners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80" w:type="dxa"/>
            <w:vAlign w:val="bottom"/>
            <w:gridSpan w:val="5"/>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Select III, L.P.</w:t>
            </w:r>
            <w:r>
              <w:rPr>
                <w:rFonts w:ascii="Times New Roman" w:cs="Times New Roman" w:eastAsia="Times New Roman" w:hAnsi="Times New Roman"/>
                <w:sz w:val="25"/>
                <w:szCs w:val="25"/>
                <w:color w:val="008000"/>
                <w:vertAlign w:val="superscript"/>
              </w:rPr>
              <w:t>(6)</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G-1 Preferred Stock</w:t>
            </w:r>
          </w:p>
        </w:tc>
        <w:tc>
          <w:tcPr>
            <w:tcW w:w="1000" w:type="dxa"/>
            <w:vAlign w:val="bottom"/>
            <w:vMerge w:val="restart"/>
          </w:tcPr>
          <w:p>
            <w:pPr>
              <w:jc w:val="right"/>
              <w:ind w:right="35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0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202,927</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Strategic</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80" w:type="dxa"/>
            <w:vAlign w:val="bottom"/>
            <w:gridSpan w:val="5"/>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w w:val="99"/>
              </w:rPr>
              <w:t>Partners I, L.P.</w:t>
            </w:r>
            <w:r>
              <w:rPr>
                <w:rFonts w:ascii="Times New Roman" w:cs="Times New Roman" w:eastAsia="Times New Roman" w:hAnsi="Times New Roman"/>
                <w:sz w:val="25"/>
                <w:szCs w:val="25"/>
                <w:color w:val="008000"/>
                <w:w w:val="99"/>
                <w:vertAlign w:val="superscript"/>
              </w:rPr>
              <w:t>(7)</w:t>
            </w: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tcPr>
          <w:p>
            <w:pPr>
              <w:spacing w:after="0"/>
              <w:rPr>
                <w:sz w:val="20"/>
                <w:szCs w:val="20"/>
                <w:color w:val="auto"/>
              </w:rPr>
            </w:pPr>
          </w:p>
        </w:tc>
        <w:tc>
          <w:tcPr>
            <w:tcW w:w="142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170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480" w:type="dxa"/>
            <w:vAlign w:val="bottom"/>
            <w:tcBorders>
              <w:bottom w:val="single" w:sz="8" w:color="2C2C2C"/>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840" w:type="dxa"/>
            <w:vAlign w:val="bottom"/>
            <w:tcBorders>
              <w:top w:val="single" w:sz="8" w:color="2C2C2C"/>
            </w:tcBorders>
            <w:gridSpan w:val="5"/>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3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0" w:type="dxa"/>
            <w:vAlign w:val="bottom"/>
            <w:gridSpan w:val="8"/>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Lightspeed Venture Partners Select II, L.P.</w:t>
              </w:r>
            </w:hyperlink>
          </w:p>
        </w:tc>
        <w:tc>
          <w:tcPr>
            <w:tcW w:w="17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280" w:type="dxa"/>
            <w:vAlign w:val="bottom"/>
            <w:tcBorders>
              <w:top w:val="single" w:sz="8" w:color="0000EE"/>
              <w:bottom w:val="single" w:sz="8" w:color="9A9A9A"/>
            </w:tcBorders>
          </w:tcPr>
          <w:p>
            <w:pPr>
              <w:spacing w:after="0"/>
              <w:rPr>
                <w:sz w:val="17"/>
                <w:szCs w:val="17"/>
                <w:color w:val="auto"/>
              </w:rPr>
            </w:pPr>
          </w:p>
        </w:tc>
        <w:tc>
          <w:tcPr>
            <w:tcW w:w="8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tcPr>
          <w:p>
            <w:pPr>
              <w:ind w:left="80"/>
              <w:spacing w:after="0"/>
              <w:rPr>
                <w:sz w:val="20"/>
                <w:szCs w:val="20"/>
                <w:color w:val="auto"/>
              </w:rPr>
            </w:pPr>
            <w:r>
              <w:rPr>
                <w:rFonts w:ascii="Arial" w:cs="Arial" w:eastAsia="Arial" w:hAnsi="Arial"/>
                <w:sz w:val="15"/>
                <w:szCs w:val="15"/>
                <w:color w:val="auto"/>
              </w:rPr>
              <w:t>(First)</w:t>
            </w:r>
          </w:p>
        </w:tc>
        <w:tc>
          <w:tcPr>
            <w:tcW w:w="1000" w:type="dxa"/>
            <w:vAlign w:val="bottom"/>
          </w:tcPr>
          <w:p>
            <w:pPr>
              <w:jc w:val="right"/>
              <w:ind w:right="35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C/O LIGHTSPEED VENTURE PARTNERS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2200 SAND HILL ROAD</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0000FF"/>
                <w:w w:val="98"/>
              </w:rPr>
              <w:t>MENLO PARK</w:t>
            </w: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94025</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tcPr>
          <w:p>
            <w:pPr>
              <w:ind w:left="80"/>
              <w:spacing w:after="0"/>
              <w:rPr>
                <w:sz w:val="20"/>
                <w:szCs w:val="20"/>
                <w:color w:val="auto"/>
              </w:rPr>
            </w:pPr>
            <w:r>
              <w:rPr>
                <w:rFonts w:ascii="Arial" w:cs="Arial" w:eastAsia="Arial" w:hAnsi="Arial"/>
                <w:sz w:val="15"/>
                <w:szCs w:val="15"/>
                <w:color w:val="auto"/>
              </w:rPr>
              <w:t>(State)</w:t>
            </w:r>
          </w:p>
        </w:tc>
        <w:tc>
          <w:tcPr>
            <w:tcW w:w="1000" w:type="dxa"/>
            <w:vAlign w:val="bottom"/>
          </w:tcPr>
          <w:p>
            <w:pPr>
              <w:ind w:left="40"/>
              <w:spacing w:after="0"/>
              <w:rPr>
                <w:sz w:val="20"/>
                <w:szCs w:val="20"/>
                <w:color w:val="auto"/>
              </w:rPr>
            </w:pPr>
            <w:r>
              <w:rPr>
                <w:rFonts w:ascii="Arial" w:cs="Arial" w:eastAsia="Arial" w:hAnsi="Arial"/>
                <w:sz w:val="15"/>
                <w:szCs w:val="15"/>
                <w:color w:val="auto"/>
              </w:rPr>
              <w:t>(Zip)</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8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0" w:type="dxa"/>
            <w:vAlign w:val="bottom"/>
            <w:gridSpan w:val="8"/>
          </w:tcPr>
          <w:p>
            <w:pPr>
              <w:spacing w:after="0" w:line="255" w:lineRule="exact"/>
              <w:rPr>
                <w:rFonts w:ascii="Times New Roman" w:cs="Times New Roman" w:eastAsia="Times New Roman" w:hAnsi="Times New Roman"/>
                <w:sz w:val="24"/>
                <w:szCs w:val="24"/>
                <w:color w:val="0000EE"/>
              </w:rPr>
            </w:pPr>
            <w:hyperlink r:id="rId14">
              <w:r>
                <w:rPr>
                  <w:rFonts w:ascii="Times New Roman" w:cs="Times New Roman" w:eastAsia="Times New Roman" w:hAnsi="Times New Roman"/>
                  <w:sz w:val="24"/>
                  <w:szCs w:val="24"/>
                  <w:color w:val="0000EE"/>
                </w:rPr>
                <w:t>Lightspeed General Partner Select II, L.P.</w:t>
              </w:r>
            </w:hyperlink>
          </w:p>
        </w:tc>
        <w:tc>
          <w:tcPr>
            <w:tcW w:w="17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28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tcPr>
          <w:p>
            <w:pPr>
              <w:ind w:left="80"/>
              <w:spacing w:after="0"/>
              <w:rPr>
                <w:sz w:val="20"/>
                <w:szCs w:val="20"/>
                <w:color w:val="auto"/>
              </w:rPr>
            </w:pPr>
            <w:r>
              <w:rPr>
                <w:rFonts w:ascii="Arial" w:cs="Arial" w:eastAsia="Arial" w:hAnsi="Arial"/>
                <w:sz w:val="15"/>
                <w:szCs w:val="15"/>
                <w:color w:val="auto"/>
              </w:rPr>
              <w:t>(First)</w:t>
            </w:r>
          </w:p>
        </w:tc>
        <w:tc>
          <w:tcPr>
            <w:tcW w:w="1000" w:type="dxa"/>
            <w:vAlign w:val="bottom"/>
          </w:tcPr>
          <w:p>
            <w:pPr>
              <w:jc w:val="right"/>
              <w:ind w:right="35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LIGHTSPEED VENTURE PARTNERS</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2200 SAND HILL ROAD</w:t>
      </w:r>
    </w:p>
    <w:p>
      <w:pPr>
        <w:spacing w:after="0" w:line="32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198" w:right="479" w:bottom="0" w:gutter="0" w:footer="0" w:header="0"/>
        </w:sectPr>
      </w:pPr>
    </w:p>
    <w:p>
      <w:pPr>
        <w:spacing w:after="0" w:line="37" w:lineRule="exact"/>
        <w:rPr>
          <w:sz w:val="20"/>
          <w:szCs w:val="20"/>
          <w:color w:val="auto"/>
        </w:rPr>
      </w:pPr>
    </w:p>
    <w:p>
      <w:pPr>
        <w:ind w:left="140"/>
        <w:spacing w:after="0"/>
        <w:tabs>
          <w:tab w:leader="none" w:pos="2880" w:val="left"/>
        </w:tabs>
        <w:rPr>
          <w:sz w:val="20"/>
          <w:szCs w:val="20"/>
          <w:color w:val="auto"/>
        </w:rPr>
      </w:pPr>
      <w:r>
        <w:rPr>
          <w:rFonts w:ascii="Times New Roman" w:cs="Times New Roman" w:eastAsia="Times New Roman" w:hAnsi="Times New Roman"/>
          <w:sz w:val="20"/>
          <w:szCs w:val="20"/>
          <w:color w:val="0000FF"/>
        </w:rPr>
        <w:t>MENLO PARK  CA</w:t>
      </w:r>
      <w:r>
        <w:rPr>
          <w:sz w:val="20"/>
          <w:szCs w:val="20"/>
          <w:color w:val="auto"/>
        </w:rPr>
        <w:tab/>
      </w:r>
      <w:r>
        <w:rPr>
          <w:rFonts w:ascii="Times New Roman" w:cs="Times New Roman" w:eastAsia="Times New Roman" w:hAnsi="Times New Roman"/>
          <w:sz w:val="18"/>
          <w:szCs w:val="18"/>
          <w:color w:val="0000FF"/>
        </w:rPr>
        <w:t>94025</w:t>
      </w:r>
    </w:p>
    <w:p>
      <w:pPr>
        <w:sectPr>
          <w:pgSz w:w="11900" w:h="16838" w:orient="portrait"/>
          <w:cols w:equalWidth="0" w:num="1">
            <w:col w:w="10940"/>
          </w:cols>
          <w:pgMar w:left="480" w:top="198" w:right="479" w:bottom="0" w:gutter="0" w:footer="0" w:header="0"/>
          <w:type w:val="continuous"/>
        </w:sectPr>
      </w:pPr>
    </w:p>
    <w:bookmarkStart w:id="2" w:name="page3"/>
    <w:bookmarkEnd w:id="2"/>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8789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798445" cy="8789035"/>
                    </a:xfrm>
                    <a:prstGeom prst="rect">
                      <a:avLst/>
                    </a:prstGeom>
                    <a:noFill/>
                  </pic:spPr>
                </pic:pic>
              </a:graphicData>
            </a:graphic>
          </wp:anchor>
        </w:drawing>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line="234" w:lineRule="auto"/>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Lightspeed Ultimate General Partner</w:t>
        </w:r>
      </w:hyperlink>
    </w:p>
    <w:p>
      <w:pPr>
        <w:spacing w:after="0" w:line="1" w:lineRule="exact"/>
        <w:rPr>
          <w:sz w:val="20"/>
          <w:szCs w:val="20"/>
          <w:color w:val="auto"/>
        </w:rPr>
      </w:pPr>
    </w:p>
    <w:p>
      <w:pPr>
        <w:ind w:left="10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Select II, Ltd.</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LIGHTSPEED VENTURE PARTNERS</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2200 SAND HILL ROAD</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8"/>
              </w:rPr>
              <w:t>MENLO PARK</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94025</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line="234" w:lineRule="auto"/>
        <w:rPr>
          <w:rFonts w:ascii="Times New Roman" w:cs="Times New Roman" w:eastAsia="Times New Roman" w:hAnsi="Times New Roman"/>
          <w:sz w:val="24"/>
          <w:szCs w:val="24"/>
          <w:u w:val="single" w:color="auto"/>
          <w:color w:val="0000EE"/>
        </w:rPr>
      </w:pPr>
      <w:hyperlink r:id="rId17">
        <w:r>
          <w:rPr>
            <w:rFonts w:ascii="Times New Roman" w:cs="Times New Roman" w:eastAsia="Times New Roman" w:hAnsi="Times New Roman"/>
            <w:sz w:val="24"/>
            <w:szCs w:val="24"/>
            <w:u w:val="single" w:color="auto"/>
            <w:color w:val="0000EE"/>
          </w:rPr>
          <w:t>LIGHTSPEED VENTURE PARTNERS</w:t>
        </w:r>
      </w:hyperlink>
    </w:p>
    <w:p>
      <w:pPr>
        <w:spacing w:after="0" w:line="1" w:lineRule="exact"/>
        <w:rPr>
          <w:sz w:val="20"/>
          <w:szCs w:val="20"/>
          <w:color w:val="auto"/>
        </w:rPr>
      </w:pPr>
    </w:p>
    <w:p>
      <w:pPr>
        <w:ind w:left="100"/>
        <w:spacing w:after="0"/>
        <w:rPr>
          <w:rFonts w:ascii="Times New Roman" w:cs="Times New Roman" w:eastAsia="Times New Roman" w:hAnsi="Times New Roman"/>
          <w:sz w:val="24"/>
          <w:szCs w:val="24"/>
          <w:u w:val="single" w:color="auto"/>
          <w:color w:val="0000EE"/>
        </w:rPr>
      </w:pPr>
      <w:hyperlink r:id="rId17">
        <w:r>
          <w:rPr>
            <w:rFonts w:ascii="Times New Roman" w:cs="Times New Roman" w:eastAsia="Times New Roman" w:hAnsi="Times New Roman"/>
            <w:sz w:val="24"/>
            <w:szCs w:val="24"/>
            <w:u w:val="single" w:color="auto"/>
            <w:color w:val="0000EE"/>
          </w:rPr>
          <w:t>SELECT III, L.P.</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LIGHTSPEED VENTURE PARTNERS</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2200 SAND HILL ROAD</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8"/>
              </w:rPr>
              <w:t>MENLO PARK</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94025</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18">
        <w:r>
          <w:rPr>
            <w:rFonts w:ascii="Times New Roman" w:cs="Times New Roman" w:eastAsia="Times New Roman" w:hAnsi="Times New Roman"/>
            <w:sz w:val="24"/>
            <w:szCs w:val="24"/>
            <w:u w:val="single" w:color="auto"/>
            <w:color w:val="0000EE"/>
          </w:rPr>
          <w:t>Lightspeed General Partner Select III, L.P.</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LIGHTSPEED VENTURE PARTNERS</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2200 SAND HILL ROAD</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8"/>
              </w:rPr>
              <w:t>MENLO PARK</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94025</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line="234" w:lineRule="auto"/>
        <w:rPr>
          <w:rFonts w:ascii="Times New Roman" w:cs="Times New Roman" w:eastAsia="Times New Roman" w:hAnsi="Times New Roman"/>
          <w:sz w:val="24"/>
          <w:szCs w:val="24"/>
          <w:u w:val="single" w:color="auto"/>
          <w:color w:val="0000EE"/>
        </w:rPr>
      </w:pPr>
      <w:hyperlink r:id="rId19">
        <w:r>
          <w:rPr>
            <w:rFonts w:ascii="Times New Roman" w:cs="Times New Roman" w:eastAsia="Times New Roman" w:hAnsi="Times New Roman"/>
            <w:sz w:val="24"/>
            <w:szCs w:val="24"/>
            <w:u w:val="single" w:color="auto"/>
            <w:color w:val="0000EE"/>
          </w:rPr>
          <w:t>Lightspeed Ultimate General Partner</w:t>
        </w:r>
      </w:hyperlink>
    </w:p>
    <w:p>
      <w:pPr>
        <w:spacing w:after="0" w:line="1" w:lineRule="exact"/>
        <w:rPr>
          <w:sz w:val="20"/>
          <w:szCs w:val="20"/>
          <w:color w:val="auto"/>
        </w:rPr>
      </w:pPr>
    </w:p>
    <w:p>
      <w:pPr>
        <w:ind w:left="100"/>
        <w:spacing w:after="0"/>
        <w:rPr>
          <w:rFonts w:ascii="Times New Roman" w:cs="Times New Roman" w:eastAsia="Times New Roman" w:hAnsi="Times New Roman"/>
          <w:sz w:val="24"/>
          <w:szCs w:val="24"/>
          <w:u w:val="single" w:color="auto"/>
          <w:color w:val="0000EE"/>
        </w:rPr>
      </w:pPr>
      <w:hyperlink r:id="rId19">
        <w:r>
          <w:rPr>
            <w:rFonts w:ascii="Times New Roman" w:cs="Times New Roman" w:eastAsia="Times New Roman" w:hAnsi="Times New Roman"/>
            <w:sz w:val="24"/>
            <w:szCs w:val="24"/>
            <w:u w:val="single" w:color="auto"/>
            <w:color w:val="0000EE"/>
          </w:rPr>
          <w:t>Select III, Ltd.</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LIGHTSPEED VENTURE PARTNERS</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2200 SAND HILL ROAD</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8"/>
              </w:rPr>
              <w:t>MENLO PARK</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94025</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are held by Lightspeed Opportunity Fund, L.P. ("Opportunity"). Lightspeed General Partner Opportunity Fund, L.P. ("LGP Opportunity") is the general partner of Opportunity. Lightspeed Ultimate General Partner Opportunity Fund, Ltd. ("LUGP Opportunity") is the general partner of LGP Opportunity. Each of LGP Opportunity and LUGP Opportunity disclaims beneficial ownership of these shares except to the extent of its respective pecuniary interest therein.</w:t>
      </w:r>
    </w:p>
    <w:p>
      <w:pPr>
        <w:spacing w:after="0" w:line="29" w:lineRule="exact"/>
        <w:rPr>
          <w:rFonts w:ascii="Times New Roman" w:cs="Times New Roman" w:eastAsia="Times New Roman" w:hAnsi="Times New Roman"/>
          <w:sz w:val="15"/>
          <w:szCs w:val="15"/>
          <w:color w:val="008000"/>
        </w:rPr>
      </w:pPr>
    </w:p>
    <w:p>
      <w:pPr>
        <w:jc w:val="both"/>
        <w:ind w:right="200" w:firstLine="5"/>
        <w:spacing w:after="0" w:line="23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Series Seed, Series A, Series A-1, Series B, Series C, Series C-1, Series D, Series E, Series F and Series G-1 Preferred Stock are each convertible into Class A Common Stock on a ratio dependent on the public offering price of the Class A Common Stock in the Issuer's initial public offering, and have no expiration date. Upon the closing of the Issuer's initial public offering, all shares of Series Seed, Series A, Series A-1, Series B, Series C, Series C-1, Series D, Series E, Series F and Series G-1 Preferred Stock will be converted into shares of Class A Common Stock of the Issuer.</w:t>
      </w:r>
    </w:p>
    <w:p>
      <w:pPr>
        <w:spacing w:after="0" w:line="33" w:lineRule="exact"/>
        <w:rPr>
          <w:rFonts w:ascii="Times New Roman" w:cs="Times New Roman" w:eastAsia="Times New Roman" w:hAnsi="Times New Roman"/>
          <w:sz w:val="15"/>
          <w:szCs w:val="15"/>
          <w:color w:val="008000"/>
        </w:rPr>
      </w:pPr>
    </w:p>
    <w:p>
      <w:pPr>
        <w:ind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are held by Lightspeed Venture Partners X, L.P. ("Lightspeed X"). Lightspeed General Partner X, L.P. ("LGP X") is the general partner of Lightspeed X. Lightspeed Ultimate General Partner X, Ltd. ("LUGP X") is the general partner of LGP X. Each of LGP X and LUGP X disclaims beneficial ownership of these shares except to the extent of its respective pecuniary interest therein.</w:t>
      </w:r>
    </w:p>
    <w:p>
      <w:pPr>
        <w:spacing w:after="0" w:line="29" w:lineRule="exact"/>
        <w:rPr>
          <w:rFonts w:ascii="Times New Roman" w:cs="Times New Roman" w:eastAsia="Times New Roman" w:hAnsi="Times New Roman"/>
          <w:sz w:val="15"/>
          <w:szCs w:val="15"/>
          <w:color w:val="008000"/>
        </w:rPr>
      </w:pPr>
    </w:p>
    <w:p>
      <w:pPr>
        <w:ind w:right="240" w:firstLine="5"/>
        <w:spacing w:after="0" w:line="25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are held by Lightspeed Affiliates X, L.P. ("Affiliates X"). LGP X is the general partner of Affiliates X. LUGP X is the general partner of LGP X. Each of LGP X and LUGP X disclaims beneficial ownership of these shares except to the extent of its respective pecuniary interest therein.</w:t>
      </w:r>
    </w:p>
    <w:p>
      <w:pPr>
        <w:spacing w:after="0" w:line="17"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are held by Lightspeed Venture Partners Select II, L.P. ("Lightspeed Select II"). Lightspeed General Partner Select II, L.P. ("LGP Select II") is the general partner of</w:t>
      </w:r>
    </w:p>
    <w:p>
      <w:pPr>
        <w:sectPr>
          <w:pgSz w:w="11900" w:h="16838" w:orient="portrait"/>
          <w:cols w:equalWidth="0" w:num="1">
            <w:col w:w="10740"/>
          </w:cols>
          <w:pgMar w:left="520" w:top="170" w:right="639" w:bottom="0" w:gutter="0" w:footer="0" w:header="0"/>
        </w:sectPr>
      </w:pPr>
    </w:p>
    <w:bookmarkStart w:id="3" w:name="page4"/>
    <w:bookmarkEnd w:id="3"/>
    <w:p>
      <w:pPr>
        <w:ind w:right="320"/>
        <w:spacing w:after="0" w:line="259" w:lineRule="auto"/>
        <w:rPr>
          <w:sz w:val="20"/>
          <w:szCs w:val="20"/>
          <w:color w:val="auto"/>
        </w:rPr>
      </w:pPr>
      <w:r>
        <w:rPr>
          <w:rFonts w:ascii="Times New Roman" w:cs="Times New Roman" w:eastAsia="Times New Roman" w:hAnsi="Times New Roman"/>
          <w:sz w:val="15"/>
          <w:szCs w:val="15"/>
          <w:color w:val="008000"/>
        </w:rPr>
        <w:t>Lightspeed Select II. Lightspeed Ultimate General Partner Select II, Ltd. ("LUGP Select II") is the general partner of LGP Select II. Each of LGP Select II and LUGP Select II disclaims beneficial ownership of these shares except to the extent of its respective pecuniary interest therein.</w:t>
      </w:r>
    </w:p>
    <w:p>
      <w:pPr>
        <w:spacing w:after="0" w:line="18" w:lineRule="exact"/>
        <w:rPr>
          <w:sz w:val="20"/>
          <w:szCs w:val="20"/>
          <w:color w:val="auto"/>
        </w:rPr>
      </w:pPr>
    </w:p>
    <w:p>
      <w:pPr>
        <w:ind w:right="20"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are held by Lightspeed Venture Partners Select III, L.P. ("Lightspeed Select III"). Lightspeed General Partner Select III, L.P. ("LGP Select III") is the general partner of Lightspeed Select III. Lightspeed Ultimate General Partner Select III, Ltd. ("LUGP Select III") is the general partner of LGP Select III. Each of LGP Select III and LUGP Select III disclaims beneficial ownership of these shares except to the extent of its respective pecuniary interest therein.</w:t>
      </w:r>
    </w:p>
    <w:p>
      <w:pPr>
        <w:spacing w:after="0" w:line="29" w:lineRule="exact"/>
        <w:rPr>
          <w:rFonts w:ascii="Times New Roman" w:cs="Times New Roman" w:eastAsia="Times New Roman" w:hAnsi="Times New Roman"/>
          <w:sz w:val="15"/>
          <w:szCs w:val="15"/>
          <w:color w:val="008000"/>
        </w:rPr>
      </w:pPr>
    </w:p>
    <w:p>
      <w:pPr>
        <w:ind w:right="120"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are held by Lightspeed Strategic Partners I L.P. ("Strategic "). Lightspeed Strategic Partners General Partner I L.P. ("LGP Strategic") is the general partner of Strategic. Lightspeed Strategic Partners Ultimate General Partner I L.L.C. ("LUGP Strategic") is the general partner of LGP Strategic. Each of LGP Strategic and LUGP Strategic disclaims beneficial ownership of these shares except to the extent of its respective pecuniary interest therein.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right="200"/>
        <w:spacing w:after="0" w:line="235" w:lineRule="auto"/>
        <w:rPr>
          <w:sz w:val="20"/>
          <w:szCs w:val="20"/>
          <w:color w:val="auto"/>
        </w:rPr>
      </w:pPr>
      <w:r>
        <w:rPr>
          <w:rFonts w:ascii="Times New Roman" w:cs="Times New Roman" w:eastAsia="Times New Roman" w:hAnsi="Times New Roman"/>
          <w:sz w:val="15"/>
          <w:szCs w:val="15"/>
          <w:color w:val="008000"/>
        </w:rPr>
        <w:t>This Form 3 is the second of two Forms 3 filed relating to the same events. Combined, the two Form 3s report beneficial ownership of securities for the following Reporting Persons: Lightspeed Venture Partners X, L.P., Lightspeed Affiliates X, L.P., Lightspeed General Partner X, L.P., Lightspeed Ultimate General Partner X, Ltd., Lightspeed Opportunity Fund, L.P., Lightspeed General Partner Opportunity Fund, L.P., Lightspeed Ultimate General Partner Opportunity Fund, Ltd., Lightspeed Strategic Partners I L.P., Lightspeed Strategic Partners General Partner I L.P., Lightspeed Strategic Partners Ultimate General Partner I L.L.C., Lightspeed Venture Partners Select II, L.P., Lightspeed General Partner Select II, L.P., Lightspeed Ultimate General Partner Select II, Ltd., Lightspeed Venture Partners Select III, L.P., Lightspeed General Partner Select III, L.P. and Lightspeed Ultimate General Partner Select III, Ltd. This Form 3 has been split into two filings because there are more than 10 reporting persons in total, and the SEC's EDGAR filing system limits a single Form 3 to a maximum of 10 reporting persons.</w:t>
      </w:r>
    </w:p>
    <w:p>
      <w:pPr>
        <w:sectPr>
          <w:pgSz w:w="11900" w:h="16838" w:orient="portrait"/>
          <w:cols w:equalWidth="0" w:num="1">
            <w:col w:w="10820"/>
          </w:cols>
          <w:pgMar w:left="520" w:top="125" w:right="559" w:bottom="985" w:gutter="0" w:footer="0" w:header="0"/>
        </w:sectPr>
      </w:pPr>
    </w:p>
    <w:p>
      <w:pPr>
        <w:spacing w:after="0" w:line="6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Lightspeed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664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96647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Partners Select 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874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4874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Lightspeed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345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345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 Select 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3825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2382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663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0166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Lightspeed Ultimate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473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0147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General Partner Select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5857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5857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Ltd.,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983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198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By /s/ Ravi Mhatre,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726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9772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Lightspeed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7345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97345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Partner Select 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048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30048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Lightspeed Ultimate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473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147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General Partner Select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5857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5857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Ltd.,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983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198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By /s/ Ravi Mhatre,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726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9772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Lightspeed Ultimate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1473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01473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General Partner Select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5857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5857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Ltd., By /s/ Ravi Mhatre,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4206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Lightspeed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6647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96647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Partners Select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983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1798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By: Lightspeed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8300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1830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 Select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952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795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663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0166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Lightspeed Ultimate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473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0147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General Partner Select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9984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998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Ltd.,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983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2198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By /s/ Ravi Mhatre,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726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9772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Lightspeed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7345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97345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Partner Select 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175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Lightspeed Ultimate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473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0147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General Partner Select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9984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998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Ltd.,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9835"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2198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By /s/ Ravi Mhatre,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726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9772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Lightspeed Ultimate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14730"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1473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General Partner Select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9984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2998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Ltd., By /s/ Ravi Mhatre,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42060"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46" w:lineRule="exact"/>
        <w:rPr>
          <w:sz w:val="20"/>
          <w:szCs w:val="20"/>
          <w:color w:val="auto"/>
        </w:rPr>
      </w:pPr>
    </w:p>
    <w:p>
      <w:pPr>
        <w:sectPr>
          <w:pgSz w:w="11900" w:h="16838" w:orient="portrait"/>
          <w:cols w:equalWidth="0" w:num="2">
            <w:col w:w="8660" w:space="60"/>
            <w:col w:w="2100"/>
          </w:cols>
          <w:pgMar w:left="520" w:top="125" w:right="559" w:bottom="985"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5" w:right="559" w:bottom="98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6"/>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image" Target="media/image4.png"/><Relationship Id="rId15"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10" Type="http://schemas.openxmlformats.org/officeDocument/2006/relationships/hyperlink" Target="http://www.sec.gov/cgi-bin/browse-edgar?action=getcompany&amp;CIK=0001668017" TargetMode="External"/><Relationship Id="rId11" Type="http://schemas.openxmlformats.org/officeDocument/2006/relationships/hyperlink" Target="http://www.sec.gov/cgi-bin/browse-edgar?action=getcompany&amp;CIK=0001639723" TargetMode="External"/><Relationship Id="rId14" Type="http://schemas.openxmlformats.org/officeDocument/2006/relationships/hyperlink" Target="http://www.sec.gov/cgi-bin/browse-edgar?action=getcompany&amp;CIK=0001744936" TargetMode="External"/><Relationship Id="rId16" Type="http://schemas.openxmlformats.org/officeDocument/2006/relationships/hyperlink" Target="http://www.sec.gov/cgi-bin/browse-edgar?action=getcompany&amp;CIK=0001744937" TargetMode="External"/><Relationship Id="rId17" Type="http://schemas.openxmlformats.org/officeDocument/2006/relationships/hyperlink" Target="http://www.sec.gov/cgi-bin/browse-edgar?action=getcompany&amp;CIK=0001735240" TargetMode="External"/><Relationship Id="rId18" Type="http://schemas.openxmlformats.org/officeDocument/2006/relationships/hyperlink" Target="http://www.sec.gov/cgi-bin/browse-edgar?action=getcompany&amp;CIK=0001912810" TargetMode="External"/><Relationship Id="rId19" Type="http://schemas.openxmlformats.org/officeDocument/2006/relationships/hyperlink" Target="http://www.sec.gov/cgi-bin/browse-edgar?action=getcompany&amp;CIK=00019126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2025-10-29T20:47:10Z</dcterms:created>
  <dcterms:modified xsi:type="dcterms:W3CDTF">2025-10-29T20:47:10Z</dcterms:modified>
</cp:coreProperties>
</file>