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NAVAN,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$0.00000625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639193101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639193101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AH Parallel Fund V,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10,408,860.00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10,408,860.00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10,408,860.00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639193101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AH Equity Partners V (Parallel),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10,408,860.00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10,408,860.00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10,408,860.00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4.5 %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639193101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Andreessen Horowitz Fund V,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2,081,772.00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2,081,772.00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2,081,772.00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639193101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CLF Partners, 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17,001.00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17,001.00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17,001.00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639193101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AH Equity Partners V,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2,098,773.00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2,098,773.00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2,098,773.00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639193101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Andreessen Horowitz LSV Fund 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7"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6,757,090.00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6,757,090.00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6,757,090.00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7"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87" w:orient="portrait"/>
          <w:cols w:equalWidth="0" w:num="1">
            <w:col w:w="10099"/>
          </w:cols>
          <w:pgMar w:left="360" w:top="112" w:right="1440" w:bottom="0" w:gutter="0" w:footer="0" w:header="0"/>
          <w:type w:val="continuous"/>
        </w:sectPr>
      </w:pPr>
    </w:p>
    <w:p>
      <w:pPr>
        <w:spacing w:after="0" w:line="3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639193101</w:t>
      </w:r>
    </w:p>
    <w:p>
      <w:pPr>
        <w:sectPr>
          <w:pgSz w:w="11900" w:h="16887" w:orient="portrait"/>
          <w:cols w:equalWidth="0" w:num="1">
            <w:col w:w="10099"/>
          </w:cols>
          <w:pgMar w:left="360" w:top="112" w:right="1440" w:bottom="0"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AH Equity Partners LSV 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6,757,090.00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6,757,090.00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6,757,090.00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639193101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Andreessen Horowitz LSV Fund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7,323,480.00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7,323,480.00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7,323,480.00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639193101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AH Equity Partners LSV 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7,323,480.00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7,323,480.00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7,323,480.00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639193101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Andreessen Horowitz LSV Fund III,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607,161.00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607,161.00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607,161.00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639193101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AH Equity Partners LSV III,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0099"/>
          </w:cols>
          <w:pgMar w:left="360" w:top="355" w:right="1440" w:bottom="0" w:gutter="0" w:footer="0" w:header="0"/>
          <w:type w:val="continuous"/>
        </w:sectPr>
      </w:pPr>
    </w:p>
    <w:bookmarkStart w:id="8" w:name="page9"/>
    <w:bookmarkEnd w:id="8"/>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607,161.00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607,161.00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607,161.00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11"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639193101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Marc L. Andreessen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27,195,364.00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27,195,364.00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27,195,364.00</w:t>
      </w:r>
    </w:p>
    <w:p>
      <w:pPr>
        <w:sectPr>
          <w:pgSz w:w="11900" w:h="16911" w:orient="portrait"/>
          <w:cols w:equalWidth="0" w:num="1">
            <w:col w:w="10099"/>
          </w:cols>
          <w:pgMar w:left="360" w:top="111" w:right="1440" w:bottom="0" w:gutter="0" w:footer="0" w:header="0"/>
          <w:type w:val="continuous"/>
        </w:sectPr>
      </w:pPr>
    </w:p>
    <w:bookmarkStart w:id="9" w:name="page10"/>
    <w:bookmarkEnd w:id="9"/>
    <w:p>
      <w:pPr>
        <w:jc w:val="right"/>
        <w:ind w:right="1399"/>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11.7 %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639193101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Benjamin A. Horowitz</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40"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27,195,364.00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27,195,364.00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27,195,364.00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40"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jc w:val="right"/>
        <w:ind w:right="7799"/>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NAVAN, INC.</w:t>
      </w:r>
    </w:p>
    <w:p>
      <w:pPr>
        <w:sectPr>
          <w:pgSz w:w="11900" w:h="16838" w:orient="portrait"/>
          <w:cols w:equalWidth="0" w:num="1">
            <w:col w:w="10099"/>
          </w:cols>
          <w:pgMar w:left="360" w:top="140" w:right="1440" w:bottom="0" w:gutter="0" w:footer="0" w:header="0"/>
          <w:type w:val="continuous"/>
        </w:sectPr>
      </w:pPr>
    </w:p>
    <w:bookmarkStart w:id="10" w:name="page11"/>
    <w:bookmarkEnd w:id="10"/>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pacing w:after="0" w:line="2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3045 Park Boulevard, Palo Alto, CA, 94306.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line="253" w:lineRule="auto"/>
        <w:rPr>
          <w:sz w:val="20"/>
          <w:szCs w:val="20"/>
          <w:color w:val="auto"/>
        </w:rPr>
      </w:pPr>
      <w:r>
        <w:rPr>
          <w:rFonts w:ascii="Times New Roman" w:cs="Times New Roman" w:eastAsia="Times New Roman" w:hAnsi="Times New Roman"/>
          <w:sz w:val="21"/>
          <w:szCs w:val="21"/>
          <w:color w:val="auto"/>
        </w:rPr>
        <w:t>The names of the persons filing this report (collectively, the "Reporting Persons") are: AH Parallel Fund V, L.P. ("AH Parallel V") AH Equity Partners V (Parallel), L.L.C. ("AH Equity V Parallel") Andreessen Horowitz Fund V, L.P.</w:t>
      </w:r>
    </w:p>
    <w:p>
      <w:pPr>
        <w:spacing w:after="0" w:line="1" w:lineRule="exact"/>
        <w:rPr>
          <w:sz w:val="20"/>
          <w:szCs w:val="20"/>
          <w:color w:val="auto"/>
        </w:rPr>
      </w:pPr>
    </w:p>
    <w:p>
      <w:pPr>
        <w:ind w:left="920" w:hanging="912"/>
        <w:spacing w:after="0" w:line="201" w:lineRule="auto"/>
        <w:tabs>
          <w:tab w:leader="none" w:pos="920" w:val="left"/>
        </w:tabs>
        <w:numPr>
          <w:ilvl w:val="0"/>
          <w:numId w:val="1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("AH V") CLF Partners, LP ("CLF") AH Equity Partners V, L.L.C. ("AH EP V") Andreessen Horowitz LSV Fund I, L.P. ("AH LSV I") AH Equity Partners LSV I, L.L.C. ("AH EP LSV I") Andreessen Horowitz LSV Fund II, L.P. ("AH LSV II") AH Equity Partners LSV II, L.L.C. ("AH EP LSV II") Andreessen Horowitz LSV Fund III, L.P. ("AH LSV III") AH Equity Partners LSV III, L.L.C. ("AH EP LSV III") Marc L. Andreessen ("Andreessen") Benjamin A. Horowitz ("Horowitz") The Reporting Persons expressly disclaim status as a "group" for purposes of this Schedule 13G.</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60" w:hanging="912"/>
        <w:spacing w:after="0" w:line="185" w:lineRule="auto"/>
        <w:tabs>
          <w:tab w:leader="none" w:pos="920" w:val="left"/>
        </w:tabs>
        <w:numPr>
          <w:ilvl w:val="0"/>
          <w:numId w:val="1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for each of the Reporting Persons is: Andreessen Horowitz 2865 Sand Hill Road, Suite 101 Menlo Park, CA 94025</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200" w:hanging="912"/>
        <w:spacing w:after="0" w:line="244" w:lineRule="auto"/>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AH Parallel V Delaware AH Equity V Parallel Delaware AH V Delaware CLF Delaware AH EP V Delaware AH LSV I Delaware AH EP LSV I Delaware AH LSV II Delaware AH EP LSV II Delaware AH LSV III Delaware AH EP LSV III Delaware Andreessen United States Horowitz United States</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$0.00000625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639193101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1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Row 9 of each Reporting Person's cover page to this Schedule 13G sets forth the aggregate number of shares of Class A common stock of the Issuer beneficially owned by such Reporting Person as of December 31, 2025 and is incorporated by reference. The Reporting Persons' ownership of the Issuer's securities includes (i) 10,408,860 shares of Class A common stock directly held by AH Parallel V for itself and as nominee of AH Parallel Fund V-A, L.P., AH Parallel Fund V-B, L.P., and AH Parallel Fund V-Q, L.P.; (ii) 2,081,772 shares of Class A common stock directly held by AH V for itself and as nominee of Andreessen Horowitz Fund V-A, L.P., Andreessen Horowitz Fund V-B, L.P. and Andreessen Horowitz Fund V-Q, L.P.; (iii) 17,001 shares of Class A common stock directly held by CLF; (iv) 6,757,090 shares of Class A common stock directly held by AH LSV I for itself and as nominee of Andreessen Horowitz LSV Fund I-B, L.P. and Andreessen Horowitz LSV Fund I-Q, L.P.; (v) 7,323,480 shares of Class A common stock directly held by AH LSV II for itself and as nominee of Andreessen Horowitz LSV Fund II-B, L.P. and Andreessen Horowitz LSV Fund II-Q, L.P. and (vi) 607,161 shares of Class A common stock directly held by AH LSV III for itself and as nominee of Andreessen Horowitz LSV Fund III-B, L.P., AH 2022 Annual Fund, L.P., AH 2022 Annual Fund-B, L.P. and AH 2022 Annual Fund-QC, L.P. AH Equity V Parallel is the general partner of AH Parallel V and may be deemed to have sole power to vote and sole power to dispose of shares of the Issuer held</w:t>
      </w:r>
    </w:p>
    <w:p>
      <w:pPr>
        <w:sectPr>
          <w:pgSz w:w="11900" w:h="16838" w:orient="portrait"/>
          <w:cols w:equalWidth="0" w:num="1">
            <w:col w:w="11080"/>
          </w:cols>
          <w:pgMar w:left="360" w:top="112" w:right="459" w:bottom="0" w:gutter="0" w:footer="0" w:header="0"/>
        </w:sectPr>
      </w:pPr>
    </w:p>
    <w:bookmarkStart w:id="11" w:name="page12"/>
    <w:bookmarkEnd w:id="11"/>
    <w:p>
      <w:pPr>
        <w:spacing w:after="0" w:line="134" w:lineRule="exact"/>
        <w:rPr>
          <w:sz w:val="20"/>
          <w:szCs w:val="20"/>
          <w:color w:val="auto"/>
        </w:rPr>
      </w:pPr>
    </w:p>
    <w:p>
      <w:pPr>
        <w:ind w:left="920" w:right="40"/>
        <w:spacing w:after="0" w:line="243" w:lineRule="auto"/>
        <w:rPr>
          <w:sz w:val="20"/>
          <w:szCs w:val="20"/>
          <w:color w:val="auto"/>
        </w:rPr>
      </w:pPr>
      <w:r>
        <w:rPr>
          <w:rFonts w:ascii="Times New Roman" w:cs="Times New Roman" w:eastAsia="Times New Roman" w:hAnsi="Times New Roman"/>
          <w:sz w:val="21"/>
          <w:szCs w:val="21"/>
          <w:color w:val="auto"/>
        </w:rPr>
        <w:t>of record by AH Parallel V for itself and as nominee of AH Parallel Fund V-A, L.P., AH Parallel Fund V-B, L.P., and AH Parallel Fund V-Q, L.P. Andreessen and Horowitz are managing members of AH Equity V Parallel and may be deemed to have shared voting and shared dispositive power over the shares held of record by AH Parallel V for itself and as nominee. AH EP V is the general partner of AH V and CLF and may be deemed to have sole power to vote and sole power to dispose of the shares of the Issuer held of record by AH V for itself and as nominee of Andreessen Horowitz Fund V-A, L.P., Andreessen Horowitz Fund V-B, L.P. and Andreessen Horowitz Fund V-Q, L.P. and by CLF. Andreessen and Horowitz are managing members of AH EP V and may be deemed to have shared voting and shared dispositive power over the shares held of record by AH V for itself and as nominee and by CLF. AH EP LSV I is the general partner of AH LSV I and may be deemed to have sole power to vote and sole power to dispose of the shares of the Issuer held of record by AH LSV I for itself and as nominee of Andreessen Horowitz LSV Fund I-B, L.P. and Andreessen Horowitz LSV Fund I-Q, L.P. Andreessen and Horowitz are managing members of AH EP LSV I and may be deemed to have shared voting and shared dispositive power over the shares held of record by AH LSV I for itself and as nominee. AH EP LSV II is the general partner of AH LSV II and may be deemed to have sole power to vote and sole power to dispose of the shares of the Issuer held of record by AH LSV II for itself and as nominee of Andreessen Horowitz LSV Fund II-B, L.P. and Andreessen Horowitz LSV Fund II-Q, L.P. Andreessen and Horowitz are managing members of AH EP LSV II and may be deemed to have shared voting and shared dispositive power over the shares held of record by AH LSV II for itself and as nominee. AH EP LSV III is the general partner of AH LSV III and may be deemed to have sole power to vote and sole power to dispose of the shares of the Issuer held of record by AH LSV III for itself and as nominee of Andreessen Horowitz LSV Fund III-B, L.P., AH 2022 Annual Fund, L.P., AH 2022 Annual Fund-B, L.P. and AH 2022 Annual Fund-QC, L.P. Andreessen and Horowitz are managing members of AH EP LSV III and may be deemed to have shared voting and shared dispositive power over the shares held of record by AH LSV III for itself and as nominee.</w:t>
      </w:r>
    </w:p>
    <w:p>
      <w:pPr>
        <w:spacing w:after="0" w:line="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Row 11 of each Reporting Person's cover page to this Schedule 13G sets forth the percentages of the shares of Class</w:t>
      </w:r>
    </w:p>
    <w:p>
      <w:pPr>
        <w:spacing w:after="0" w:line="26" w:lineRule="exact"/>
        <w:rPr>
          <w:sz w:val="20"/>
          <w:szCs w:val="20"/>
          <w:color w:val="auto"/>
        </w:rPr>
      </w:pPr>
    </w:p>
    <w:p>
      <w:pPr>
        <w:ind w:left="920" w:right="220" w:hanging="912"/>
        <w:spacing w:after="0" w:line="234" w:lineRule="auto"/>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common stock of the Issuer beneficially owned by such Reporting Person as of December 31, 2025 and is incorporated by reference. The percentage set forth in each row 11 is based upon 233,339,369 shares of Class A common stock outstanding as of December 8, 2025, as reported in the Issuer's Quarterly Report on Form 10-Q filed with the Securities and Exchange Commission (the "SEC") on December 15, 2025. %</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80"/>
        <w:spacing w:after="0" w:line="244" w:lineRule="auto"/>
        <w:rPr>
          <w:sz w:val="20"/>
          <w:szCs w:val="20"/>
          <w:color w:val="auto"/>
        </w:rPr>
      </w:pPr>
      <w:r>
        <w:rPr>
          <w:rFonts w:ascii="Times New Roman" w:cs="Times New Roman" w:eastAsia="Times New Roman" w:hAnsi="Times New Roman"/>
          <w:sz w:val="22"/>
          <w:szCs w:val="22"/>
          <w:color w:val="auto"/>
        </w:rPr>
        <w:t>Row 5 of each Reporting Person's cover page to this Schedule 13G sets forth the sole power to vote or to direct the vote of the shares of Class A common stock of the Issuer beneficially owned by such Reporting Person as of December 31, 2025 and is incorporated by reference.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80"/>
        <w:spacing w:after="0" w:line="244" w:lineRule="auto"/>
        <w:rPr>
          <w:sz w:val="20"/>
          <w:szCs w:val="20"/>
          <w:color w:val="auto"/>
        </w:rPr>
      </w:pPr>
      <w:r>
        <w:rPr>
          <w:rFonts w:ascii="Times New Roman" w:cs="Times New Roman" w:eastAsia="Times New Roman" w:hAnsi="Times New Roman"/>
          <w:sz w:val="22"/>
          <w:szCs w:val="22"/>
          <w:color w:val="auto"/>
        </w:rPr>
        <w:t>Row 6 of each Reporting Person's cover page to this Schedule 13G sets forth the shared power to vote or to direct the vote of the shares of Class A common stock of the Issuer beneficially owned by such Reporting Person as of December 31, 2025 and is incorporated by reference.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0"/>
        <w:spacing w:after="0" w:line="244" w:lineRule="auto"/>
        <w:rPr>
          <w:sz w:val="20"/>
          <w:szCs w:val="20"/>
          <w:color w:val="auto"/>
        </w:rPr>
      </w:pPr>
      <w:r>
        <w:rPr>
          <w:rFonts w:ascii="Times New Roman" w:cs="Times New Roman" w:eastAsia="Times New Roman" w:hAnsi="Times New Roman"/>
          <w:sz w:val="22"/>
          <w:szCs w:val="22"/>
          <w:color w:val="auto"/>
        </w:rPr>
        <w:t>Row 7 of each Reporting Person's cover page to this Schedule 13G sets forth the sole power to dispose or to direct the disposition of the shares of Class A common stock of the Issuer beneficially owned by such Reporting Person as of December 31, 2025 and is incorporated by reference.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jc w:val="both"/>
        <w:ind w:left="920" w:right="120"/>
        <w:spacing w:after="0" w:line="244" w:lineRule="auto"/>
        <w:rPr>
          <w:sz w:val="20"/>
          <w:szCs w:val="20"/>
          <w:color w:val="auto"/>
        </w:rPr>
      </w:pPr>
      <w:r>
        <w:rPr>
          <w:rFonts w:ascii="Times New Roman" w:cs="Times New Roman" w:eastAsia="Times New Roman" w:hAnsi="Times New Roman"/>
          <w:sz w:val="22"/>
          <w:szCs w:val="22"/>
          <w:color w:val="auto"/>
        </w:rPr>
        <w:t>Row 8 of each Reporting Person's cover page to this Schedule 13G sets forth the shared power to dispose or to direct the disposition of the shares of Class A common stock of the Issuer beneficially owned by such Reporting Person as of December 31, 2025 and is incorporated by reference.</w:t>
      </w:r>
    </w:p>
    <w:p>
      <w:pPr>
        <w:spacing w:after="0" w:line="25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left="920"/>
        <w:spacing w:after="0" w:line="282" w:lineRule="auto"/>
        <w:rPr>
          <w:sz w:val="20"/>
          <w:szCs w:val="20"/>
          <w:color w:val="auto"/>
        </w:rPr>
      </w:pPr>
      <w:r>
        <w:rPr>
          <w:rFonts w:ascii="Times New Roman" w:cs="Times New Roman" w:eastAsia="Times New Roman" w:hAnsi="Times New Roman"/>
          <w:sz w:val="21"/>
          <w:szCs w:val="21"/>
          <w:color w:val="auto"/>
        </w:rPr>
        <w:t>Under certain circumstances set forth in the limited partnership agreements of each of AH Parallel V, AH V, CLF, AH LSV I, AH LSV II, and AH LSV III and the limited liability company agreements of AH Equity V Parallel, AH EP V,</w:t>
      </w:r>
    </w:p>
    <w:p>
      <w:pPr>
        <w:sectPr>
          <w:pgSz w:w="11900" w:h="16972" w:orient="portrait"/>
          <w:cols w:equalWidth="0" w:num="1">
            <w:col w:w="11140"/>
          </w:cols>
          <w:pgMar w:left="360" w:top="112" w:right="399" w:bottom="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jc w:val="both"/>
        <w:ind w:right="60"/>
        <w:spacing w:after="0" w:line="259" w:lineRule="auto"/>
        <w:rPr>
          <w:sz w:val="20"/>
          <w:szCs w:val="20"/>
          <w:color w:val="auto"/>
        </w:rPr>
      </w:pPr>
      <w:r>
        <w:rPr>
          <w:rFonts w:ascii="Times New Roman" w:cs="Times New Roman" w:eastAsia="Times New Roman" w:hAnsi="Times New Roman"/>
          <w:sz w:val="21"/>
          <w:szCs w:val="21"/>
          <w:color w:val="auto"/>
        </w:rPr>
        <w:t>AH EP LSV I, AH EP LSV II, and AH EP LSV III, the general partner and limited partners or members, as the case may be, of each of such entities may be deemed to have the right to receive dividends from, or the proceeds from, the sale of shares of the Issuer owned by each such entity of which they are a partner or a member, as the case may be.</w:t>
      </w:r>
    </w:p>
    <w:p>
      <w:pPr>
        <w:spacing w:after="0" w:line="2"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AH Parallel Fund V,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Hathaway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AH Equity Partners V (Parallel), L.L.C., Its</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General Partner, By Phil Hathaway, Chief</w:t>
      </w:r>
    </w:p>
    <w:p>
      <w:pPr>
        <w:ind w:left="6740"/>
        <w:spacing w:after="0"/>
        <w:rPr>
          <w:sz w:val="20"/>
          <w:szCs w:val="20"/>
          <w:color w:val="auto"/>
        </w:rPr>
      </w:pPr>
      <w:r>
        <w:rPr>
          <w:rFonts w:ascii="Times New Roman" w:cs="Times New Roman" w:eastAsia="Times New Roman" w:hAnsi="Times New Roman"/>
          <w:sz w:val="22"/>
          <w:szCs w:val="22"/>
          <w:color w:val="auto"/>
        </w:rPr>
        <w:t>Operating Officer (See Note 1)</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AH Equity Partners V (Parallel), L.L.C.</w:t>
      </w:r>
    </w:p>
    <w:p>
      <w:pPr>
        <w:spacing w:after="0" w:line="152" w:lineRule="exact"/>
        <w:rPr>
          <w:sz w:val="20"/>
          <w:szCs w:val="20"/>
          <w:color w:val="auto"/>
        </w:rPr>
      </w:pPr>
    </w:p>
    <w:p>
      <w:pPr>
        <w:ind w:left="504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Hathaway</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Name/Title: By Phil Hathaway, Chief Operating Officer</w:t>
      </w:r>
    </w:p>
    <w:p>
      <w:pPr>
        <w:spacing w:after="0" w:line="44" w:lineRule="exact"/>
        <w:rPr>
          <w:sz w:val="20"/>
          <w:szCs w:val="20"/>
          <w:color w:val="auto"/>
        </w:rPr>
      </w:pPr>
    </w:p>
    <w:p>
      <w:pPr>
        <w:ind w:left="5040"/>
        <w:spacing w:after="0"/>
        <w:tabs>
          <w:tab w:leader="none" w:pos="6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Andreessen Horowitz Fund V,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Hathaway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AH Equity Partners V,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Phil Hathaway, Chief Operating</w:t>
      </w:r>
    </w:p>
    <w:p>
      <w:pPr>
        <w:ind w:left="6740"/>
        <w:spacing w:after="0"/>
        <w:rPr>
          <w:sz w:val="20"/>
          <w:szCs w:val="20"/>
          <w:color w:val="auto"/>
        </w:rPr>
      </w:pPr>
      <w:r>
        <w:rPr>
          <w:rFonts w:ascii="Times New Roman" w:cs="Times New Roman" w:eastAsia="Times New Roman" w:hAnsi="Times New Roman"/>
          <w:sz w:val="22"/>
          <w:szCs w:val="22"/>
          <w:color w:val="auto"/>
        </w:rPr>
        <w:t>Officer (See Note 2)</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CLF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Hathaway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AH Equity Partners V,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Phil Hathaway, Chief Operating</w:t>
      </w:r>
    </w:p>
    <w:p>
      <w:pPr>
        <w:ind w:left="6740"/>
        <w:spacing w:after="0"/>
        <w:rPr>
          <w:sz w:val="20"/>
          <w:szCs w:val="20"/>
          <w:color w:val="auto"/>
        </w:rPr>
      </w:pPr>
      <w:r>
        <w:rPr>
          <w:rFonts w:ascii="Times New Roman" w:cs="Times New Roman" w:eastAsia="Times New Roman" w:hAnsi="Times New Roman"/>
          <w:sz w:val="22"/>
          <w:szCs w:val="22"/>
          <w:color w:val="auto"/>
        </w:rPr>
        <w:t>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AH Equity Partners V, L.L.C.</w:t>
      </w:r>
    </w:p>
    <w:p>
      <w:pPr>
        <w:spacing w:after="0" w:line="152" w:lineRule="exact"/>
        <w:rPr>
          <w:sz w:val="20"/>
          <w:szCs w:val="20"/>
          <w:color w:val="auto"/>
        </w:rPr>
      </w:pPr>
    </w:p>
    <w:p>
      <w:pPr>
        <w:ind w:left="504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Hathaway</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Name/Title: By Phil Hathaway, Chief Operating Officer</w:t>
      </w:r>
    </w:p>
    <w:p>
      <w:pPr>
        <w:spacing w:after="0" w:line="44" w:lineRule="exact"/>
        <w:rPr>
          <w:sz w:val="20"/>
          <w:szCs w:val="20"/>
          <w:color w:val="auto"/>
        </w:rPr>
      </w:pPr>
    </w:p>
    <w:p>
      <w:pPr>
        <w:ind w:left="5040"/>
        <w:spacing w:after="0"/>
        <w:tabs>
          <w:tab w:leader="none" w:pos="6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Andreessen Horowitz LSV Fund 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Hathaway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By AH Equity Partners LSV I, L.L.C., Its General</w:t>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Phil Hathaway, Chief Operating</w:t>
      </w:r>
    </w:p>
    <w:p>
      <w:pPr>
        <w:ind w:left="6740"/>
        <w:spacing w:after="0"/>
        <w:rPr>
          <w:sz w:val="20"/>
          <w:szCs w:val="20"/>
          <w:color w:val="auto"/>
        </w:rPr>
      </w:pPr>
      <w:r>
        <w:rPr>
          <w:rFonts w:ascii="Times New Roman" w:cs="Times New Roman" w:eastAsia="Times New Roman" w:hAnsi="Times New Roman"/>
          <w:sz w:val="22"/>
          <w:szCs w:val="22"/>
          <w:color w:val="auto"/>
        </w:rPr>
        <w:t>Officer (See Note 3)</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AH Equity Partners LSV I, L.L.C.</w:t>
      </w:r>
    </w:p>
    <w:p>
      <w:pPr>
        <w:spacing w:after="0" w:line="152" w:lineRule="exact"/>
        <w:rPr>
          <w:sz w:val="20"/>
          <w:szCs w:val="20"/>
          <w:color w:val="auto"/>
        </w:rPr>
      </w:pPr>
    </w:p>
    <w:p>
      <w:pPr>
        <w:ind w:left="504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Hathaway</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Name/Title: By Phil Hathaway, Chief Operating Officer</w:t>
      </w:r>
    </w:p>
    <w:p>
      <w:pPr>
        <w:sectPr>
          <w:pgSz w:w="11900" w:h="16838" w:orient="portrait"/>
          <w:cols w:equalWidth="0" w:num="1">
            <w:col w:w="11140"/>
          </w:cols>
          <w:pgMar w:left="360" w:top="112" w:right="399" w:bottom="0" w:gutter="0" w:footer="0" w:header="0"/>
          <w:type w:val="continuous"/>
        </w:sectPr>
      </w:pPr>
    </w:p>
    <w:bookmarkStart w:id="13" w:name="page14"/>
    <w:bookmarkEnd w:id="13"/>
    <w:p>
      <w:pPr>
        <w:ind w:left="5080"/>
        <w:spacing w:after="0"/>
        <w:tabs>
          <w:tab w:leader="none" w:pos="6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3"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Andreessen Horowitz LSV Fund II,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Hathaway</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By AH Equity Partners LSV II, L.L.C., Its</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General Partner, By Phil Hathaway, Chief</w:t>
      </w:r>
    </w:p>
    <w:p>
      <w:pPr>
        <w:ind w:left="6780"/>
        <w:spacing w:after="0"/>
        <w:rPr>
          <w:sz w:val="20"/>
          <w:szCs w:val="20"/>
          <w:color w:val="auto"/>
        </w:rPr>
      </w:pPr>
      <w:r>
        <w:rPr>
          <w:rFonts w:ascii="Times New Roman" w:cs="Times New Roman" w:eastAsia="Times New Roman" w:hAnsi="Times New Roman"/>
          <w:sz w:val="22"/>
          <w:szCs w:val="22"/>
          <w:color w:val="auto"/>
        </w:rPr>
        <w:t>Operating Officer (See Note 4)</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AH Equity Partners LSV II, L.L.C.</w:t>
      </w:r>
    </w:p>
    <w:p>
      <w:pPr>
        <w:spacing w:after="0" w:line="152" w:lineRule="exact"/>
        <w:rPr>
          <w:sz w:val="20"/>
          <w:szCs w:val="20"/>
          <w:color w:val="auto"/>
        </w:rPr>
      </w:pPr>
    </w:p>
    <w:p>
      <w:pPr>
        <w:ind w:left="5080"/>
        <w:spacing w:after="0"/>
        <w:tabs>
          <w:tab w:leader="none" w:pos="6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Hathaway</w:t>
      </w:r>
    </w:p>
    <w:p>
      <w:pPr>
        <w:spacing w:after="0" w:line="4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Name/Title: By Phil Hathaway, Chief Operating Officer</w:t>
      </w:r>
    </w:p>
    <w:p>
      <w:pPr>
        <w:spacing w:after="0" w:line="44" w:lineRule="exact"/>
        <w:rPr>
          <w:sz w:val="20"/>
          <w:szCs w:val="20"/>
          <w:color w:val="auto"/>
        </w:rPr>
      </w:pPr>
    </w:p>
    <w:p>
      <w:pPr>
        <w:ind w:left="5080"/>
        <w:spacing w:after="0"/>
        <w:tabs>
          <w:tab w:leader="none" w:pos="6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Andreessen Horowitz LSV Fund III,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Hathaway</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By AH Equity Partners LSV III, L.L.C., Its</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General Partner, By Phil Hathaway, Chief</w:t>
      </w:r>
    </w:p>
    <w:p>
      <w:pPr>
        <w:ind w:left="6780"/>
        <w:spacing w:after="0"/>
        <w:rPr>
          <w:sz w:val="20"/>
          <w:szCs w:val="20"/>
          <w:color w:val="auto"/>
        </w:rPr>
      </w:pPr>
      <w:r>
        <w:rPr>
          <w:rFonts w:ascii="Times New Roman" w:cs="Times New Roman" w:eastAsia="Times New Roman" w:hAnsi="Times New Roman"/>
          <w:sz w:val="22"/>
          <w:szCs w:val="22"/>
          <w:color w:val="auto"/>
        </w:rPr>
        <w:t>Operating Officer (See Note 5)</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AH Equity Partners LSV III, L.L.C.</w:t>
      </w:r>
    </w:p>
    <w:p>
      <w:pPr>
        <w:spacing w:after="0" w:line="152" w:lineRule="exact"/>
        <w:rPr>
          <w:sz w:val="20"/>
          <w:szCs w:val="20"/>
          <w:color w:val="auto"/>
        </w:rPr>
      </w:pPr>
    </w:p>
    <w:p>
      <w:pPr>
        <w:ind w:left="5080"/>
        <w:spacing w:after="0"/>
        <w:tabs>
          <w:tab w:leader="none" w:pos="6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Hathaway</w:t>
      </w:r>
    </w:p>
    <w:p>
      <w:pPr>
        <w:spacing w:after="0" w:line="4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Name/Title: By Phil Hathaway, Chief Operating Officer</w:t>
      </w:r>
    </w:p>
    <w:p>
      <w:pPr>
        <w:spacing w:after="0" w:line="44" w:lineRule="exact"/>
        <w:rPr>
          <w:sz w:val="20"/>
          <w:szCs w:val="20"/>
          <w:color w:val="auto"/>
        </w:rPr>
      </w:pPr>
    </w:p>
    <w:p>
      <w:pPr>
        <w:ind w:left="5080"/>
        <w:spacing w:after="0"/>
        <w:tabs>
          <w:tab w:leader="none" w:pos="6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Marc L. Andreessen</w:t>
      </w:r>
    </w:p>
    <w:p>
      <w:pPr>
        <w:spacing w:after="0" w:line="152"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Hathaway</w:t>
      </w:r>
    </w:p>
    <w:p>
      <w:pPr>
        <w:spacing w:after="0" w:line="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Name/Title: By Phil Hathaway, Attorney-in-Fact</w:t>
      </w:r>
    </w:p>
    <w:p>
      <w:pPr>
        <w:spacing w:after="0" w:line="44"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Benjamin A. Horowitz</w:t>
      </w:r>
    </w:p>
    <w:p>
      <w:pPr>
        <w:spacing w:after="0" w:line="152"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Hathaway</w:t>
      </w:r>
    </w:p>
    <w:p>
      <w:pPr>
        <w:spacing w:after="0" w:line="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Name/Title: By Phil Hathaway, Attorney-in-Fact</w:t>
      </w:r>
    </w:p>
    <w:p>
      <w:pPr>
        <w:spacing w:after="0" w:line="44"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31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Note 1: AH Parallel Fund V, L.P. for itself and as nominee for AH Parallel Fund V-A,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L.P., AH Parallel Fund V-B L.P. and AH Parallel Fund V-Q, L.P. Note 2: Andreessen Horowitz Fund V, L.P. for itself and as nominee for Andreessen Horowitz Fund V-A, L.P., Andreessen Horowitz Fund V-B, L.P. and Andreessen Horowitz Fund V-Q, L.P. Note 3: Andreessen Horowitz LSV Fund I, L.P. for itself and as nominee for Andreessen Horowitz LSV Fund I-B, L.P. and Andreessen Horowitz LSV Fund I-Q, L.P. Note 4: Andreessen Horowitz LSV Fund II, L.P. for itself and as nominee for Andreessen Horowitz LSV Fund II-B, L.P. and Andreessen Horowitz LSV Fund II-Q, L.P. Note 5: Andreessen Horowitz LSV Fund III, L.P. for itself and as nominee for Andreessen Horowitz LSV Fund III-B, L.P., AH 2022 Annual Fund, L.P., AH 2022 Annual Fund-B, L.P. and AH 2022 Annual Fund-QC, L.P.</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Exhibit 24.1 Power of Attorney for Marc L. Andreessen, dated June 23, 2023. Exhibit 24.2 Power of Attorney for Benjamin A. Horowitz, dated June 22, 2023. Exhibit 99.1 Joint Filing Agreement</w:t>
      </w:r>
    </w:p>
    <w:p>
      <w:pPr>
        <w:sectPr>
          <w:pgSz w:w="11900" w:h="16838" w:orient="portrait"/>
          <w:cols w:equalWidth="0" w:num="1">
            <w:col w:w="11040"/>
          </w:cols>
          <w:pgMar w:left="320" w:top="112" w:right="5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4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undersigned individual (the “</w:t>
      </w:r>
      <w:r>
        <w:rPr>
          <w:rFonts w:ascii="Times New Roman" w:cs="Times New Roman" w:eastAsia="Times New Roman" w:hAnsi="Times New Roman"/>
          <w:sz w:val="20"/>
          <w:szCs w:val="20"/>
          <w:b w:val="1"/>
          <w:bCs w:val="1"/>
          <w:i w:val="1"/>
          <w:iCs w:val="1"/>
          <w:color w:val="auto"/>
        </w:rPr>
        <w:t>Reporting Person</w:t>
      </w:r>
      <w:r>
        <w:rPr>
          <w:rFonts w:ascii="Times New Roman" w:cs="Times New Roman" w:eastAsia="Times New Roman" w:hAnsi="Times New Roman"/>
          <w:sz w:val="20"/>
          <w:szCs w:val="20"/>
          <w:color w:val="auto"/>
        </w:rPr>
        <w:t>”) hereby authorizes and designates each entity affiliated with AH Capital Management, L.L.C., or such other person or entity as is designated in writing by Marc Andreessen (the “</w:t>
      </w:r>
      <w:r>
        <w:rPr>
          <w:rFonts w:ascii="Times New Roman" w:cs="Times New Roman" w:eastAsia="Times New Roman" w:hAnsi="Times New Roman"/>
          <w:sz w:val="20"/>
          <w:szCs w:val="20"/>
          <w:b w:val="1"/>
          <w:bCs w:val="1"/>
          <w:i w:val="1"/>
          <w:iCs w:val="1"/>
          <w:color w:val="auto"/>
        </w:rPr>
        <w:t>Designated Filer</w:t>
      </w:r>
      <w:r>
        <w:rPr>
          <w:rFonts w:ascii="Times New Roman" w:cs="Times New Roman" w:eastAsia="Times New Roman" w:hAnsi="Times New Roman"/>
          <w:sz w:val="20"/>
          <w:szCs w:val="20"/>
          <w:color w:val="auto"/>
        </w:rPr>
        <w:t>”) as the beneficial owner to prepare and file on behalf of the Reporting Person individually, or jointly together with other reporting persons, any and all reports, notices, communications and other documents (including, but not limited to, reports on Schedule 13D, Schedule 13G, Form 13-F, Form 3, Form 4 and Form 5) that the Reporting Person may be required to file with the United States Securities and Exchange Commission pursuant to the Securities Act of 1933, as amended (together with the implementing regulations thereto, the “</w:t>
      </w:r>
      <w:r>
        <w:rPr>
          <w:rFonts w:ascii="Times New Roman" w:cs="Times New Roman" w:eastAsia="Times New Roman" w:hAnsi="Times New Roman"/>
          <w:sz w:val="20"/>
          <w:szCs w:val="20"/>
          <w:b w:val="1"/>
          <w:bCs w:val="1"/>
          <w:i w:val="1"/>
          <w:iCs w:val="1"/>
          <w:color w:val="auto"/>
        </w:rPr>
        <w:t>Act</w:t>
      </w:r>
      <w:r>
        <w:rPr>
          <w:rFonts w:ascii="Times New Roman" w:cs="Times New Roman" w:eastAsia="Times New Roman" w:hAnsi="Times New Roman"/>
          <w:sz w:val="20"/>
          <w:szCs w:val="20"/>
          <w:color w:val="auto"/>
        </w:rPr>
        <w:t>”) and the Securities Exchange Act of 1934, as amended (together with the implementing regulations thereto,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(collectively, the “</w:t>
      </w:r>
      <w:r>
        <w:rPr>
          <w:rFonts w:ascii="Times New Roman" w:cs="Times New Roman" w:eastAsia="Times New Roman" w:hAnsi="Times New Roman"/>
          <w:sz w:val="20"/>
          <w:szCs w:val="20"/>
          <w:b w:val="1"/>
          <w:bCs w:val="1"/>
          <w:i w:val="1"/>
          <w:iCs w:val="1"/>
          <w:color w:val="auto"/>
        </w:rPr>
        <w:t>Reports</w:t>
      </w:r>
      <w:r>
        <w:rPr>
          <w:rFonts w:ascii="Times New Roman" w:cs="Times New Roman" w:eastAsia="Times New Roman" w:hAnsi="Times New Roman"/>
          <w:sz w:val="20"/>
          <w:szCs w:val="20"/>
          <w:color w:val="auto"/>
        </w:rPr>
        <w:t>”) with respect to the Reporting Person’s ownership of, or transactions in, securities of any entity whose securities are beneficially owned (directly or indirectly) by the Reporting Person (collectively, the “</w:t>
      </w:r>
      <w:r>
        <w:rPr>
          <w:rFonts w:ascii="Times New Roman" w:cs="Times New Roman" w:eastAsia="Times New Roman" w:hAnsi="Times New Roman"/>
          <w:sz w:val="20"/>
          <w:szCs w:val="20"/>
          <w:b w:val="1"/>
          <w:bCs w:val="1"/>
          <w:i w:val="1"/>
          <w:iCs w:val="1"/>
          <w:color w:val="auto"/>
        </w:rPr>
        <w:t>Companies</w:t>
      </w:r>
      <w:r>
        <w:rPr>
          <w:rFonts w:ascii="Times New Roman" w:cs="Times New Roman" w:eastAsia="Times New Roman" w:hAnsi="Times New Roman"/>
          <w:sz w:val="20"/>
          <w:szCs w:val="20"/>
          <w:color w:val="auto"/>
        </w:rPr>
        <w:t>”).</w:t>
      </w:r>
    </w:p>
    <w:p>
      <w:pPr>
        <w:spacing w:after="0" w:line="21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The Reporting Person hereby further authorizes and designates Phil Hathaway (the “</w:t>
      </w:r>
      <w:r>
        <w:rPr>
          <w:rFonts w:ascii="Times New Roman" w:cs="Times New Roman" w:eastAsia="Times New Roman" w:hAnsi="Times New Roman"/>
          <w:sz w:val="20"/>
          <w:szCs w:val="20"/>
          <w:b w:val="1"/>
          <w:bCs w:val="1"/>
          <w:i w:val="1"/>
          <w:iCs w:val="1"/>
          <w:color w:val="auto"/>
        </w:rPr>
        <w:t>Authorized Signatory</w:t>
      </w:r>
      <w:r>
        <w:rPr>
          <w:rFonts w:ascii="Times New Roman" w:cs="Times New Roman" w:eastAsia="Times New Roman" w:hAnsi="Times New Roman"/>
          <w:sz w:val="20"/>
          <w:szCs w:val="20"/>
          <w:color w:val="auto"/>
        </w:rPr>
        <w:t>”) to execute and file on behalf of the Reporting Person the Reports and to perform any and all other acts, which in the opinion of the Designated Filer or Authorized Signatory may be necessary or incidental to the performance of the foregoing powers herein granted.</w:t>
      </w:r>
    </w:p>
    <w:p>
      <w:pPr>
        <w:spacing w:after="0" w:line="20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authority of the Designated Filer and the Authorized Signatory under this Document with respect to the Reporting Person shall continue until the Reporting Person is no longer required to file any Reports with respect to the Reporting Person’s ownership of, or transactions in, the securities of the Companies, unless earlier revoked in writing. The Reporting Person acknowledges that the Designated Filer and the Authorized Signatory are not assuming any of the Reporting Person’s responsibilities to comply with the Act or the Exchange Act.</w:t>
      </w:r>
    </w:p>
    <w:p>
      <w:pPr>
        <w:spacing w:after="0" w:line="200" w:lineRule="exact"/>
        <w:rPr>
          <w:sz w:val="20"/>
          <w:szCs w:val="20"/>
          <w:color w:val="auto"/>
        </w:rPr>
      </w:pP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52"/>
        </w:trPr>
        <w:tc>
          <w:tcPr>
            <w:tcW w:w="3220" w:type="dxa"/>
            <w:vAlign w:val="bottom"/>
          </w:tcPr>
          <w:p>
            <w:pPr>
              <w:spacing w:after="0"/>
              <w:rPr>
                <w:sz w:val="20"/>
                <w:szCs w:val="20"/>
                <w:color w:val="auto"/>
              </w:rPr>
            </w:pPr>
            <w:r>
              <w:rPr>
                <w:rFonts w:ascii="Times New Roman" w:cs="Times New Roman" w:eastAsia="Times New Roman" w:hAnsi="Times New Roman"/>
                <w:sz w:val="20"/>
                <w:szCs w:val="20"/>
                <w:color w:val="auto"/>
              </w:rPr>
              <w:t>June 23, 2023</w:t>
            </w:r>
          </w:p>
        </w:tc>
        <w:tc>
          <w:tcPr>
            <w:tcW w:w="3000" w:type="dxa"/>
            <w:vAlign w:val="bottom"/>
          </w:tcPr>
          <w:p>
            <w:pPr>
              <w:ind w:left="2120"/>
              <w:spacing w:after="0"/>
              <w:rPr>
                <w:sz w:val="20"/>
                <w:szCs w:val="20"/>
                <w:color w:val="auto"/>
              </w:rPr>
            </w:pPr>
            <w:r>
              <w:rPr>
                <w:rFonts w:ascii="Times New Roman" w:cs="Times New Roman" w:eastAsia="Times New Roman" w:hAnsi="Times New Roman"/>
                <w:sz w:val="20"/>
                <w:szCs w:val="20"/>
                <w:color w:val="auto"/>
              </w:rPr>
              <w:t>By:</w:t>
            </w:r>
          </w:p>
        </w:tc>
        <w:tc>
          <w:tcPr>
            <w:tcW w:w="4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Marc Andreessen</w:t>
            </w:r>
          </w:p>
        </w:tc>
      </w:tr>
      <w:tr>
        <w:trPr>
          <w:trHeight w:val="252"/>
        </w:trPr>
        <w:tc>
          <w:tcPr>
            <w:tcW w:w="322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49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Marc Andreessen</w:t>
            </w:r>
          </w:p>
        </w:tc>
      </w:tr>
    </w:tbl>
    <w:p>
      <w:pPr>
        <w:sectPr>
          <w:pgSz w:w="11900" w:h="16838" w:orient="portrait"/>
          <w:cols w:equalWidth="0" w:num="1">
            <w:col w:w="11240"/>
          </w:cols>
          <w:pgMar w:left="320" w:top="114"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20"/>
          <w:szCs w:val="20"/>
          <w:b w:val="1"/>
          <w:bCs w:val="1"/>
          <w:color w:val="auto"/>
        </w:rPr>
        <w:t>Exhibit 24.2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4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undersigned individual (the "</w:t>
      </w:r>
      <w:r>
        <w:rPr>
          <w:rFonts w:ascii="Times New Roman" w:cs="Times New Roman" w:eastAsia="Times New Roman" w:hAnsi="Times New Roman"/>
          <w:sz w:val="20"/>
          <w:szCs w:val="20"/>
          <w:b w:val="1"/>
          <w:bCs w:val="1"/>
          <w:i w:val="1"/>
          <w:iCs w:val="1"/>
          <w:color w:val="auto"/>
        </w:rPr>
        <w:t>Reporting Person</w:t>
      </w:r>
      <w:r>
        <w:rPr>
          <w:rFonts w:ascii="Times New Roman" w:cs="Times New Roman" w:eastAsia="Times New Roman" w:hAnsi="Times New Roman"/>
          <w:sz w:val="20"/>
          <w:szCs w:val="20"/>
          <w:color w:val="auto"/>
        </w:rPr>
        <w:t>") hereby authorizes and designates each entity affiliated with AH Capital Management, L.L.C., or such other person or entity as is designated in writing by Benjamin Horowitz (the "</w:t>
      </w:r>
      <w:r>
        <w:rPr>
          <w:rFonts w:ascii="Times New Roman" w:cs="Times New Roman" w:eastAsia="Times New Roman" w:hAnsi="Times New Roman"/>
          <w:sz w:val="20"/>
          <w:szCs w:val="20"/>
          <w:b w:val="1"/>
          <w:bCs w:val="1"/>
          <w:i w:val="1"/>
          <w:iCs w:val="1"/>
          <w:color w:val="auto"/>
        </w:rPr>
        <w:t>Designated Filer</w:t>
      </w:r>
      <w:r>
        <w:rPr>
          <w:rFonts w:ascii="Times New Roman" w:cs="Times New Roman" w:eastAsia="Times New Roman" w:hAnsi="Times New Roman"/>
          <w:sz w:val="20"/>
          <w:szCs w:val="20"/>
          <w:color w:val="auto"/>
        </w:rPr>
        <w:t>") as the beneficial owner to prepare and file on behalf of the Reporting Person individually, or jointly together with other reporting persons, any and all reports, notices, communications and other documents (including, but not limited to, reports on Schedule 13D, Schedule 13G, Form 13-F, Form 3, Form 4 and Form 5) that the Reporting Person may be required to file with the United States Securities and Exchange Commission pursuant to the Securities Act of 1933, as amended (together with the implementing regulations thereto, the "</w:t>
      </w:r>
      <w:r>
        <w:rPr>
          <w:rFonts w:ascii="Times New Roman" w:cs="Times New Roman" w:eastAsia="Times New Roman" w:hAnsi="Times New Roman"/>
          <w:sz w:val="20"/>
          <w:szCs w:val="20"/>
          <w:b w:val="1"/>
          <w:bCs w:val="1"/>
          <w:i w:val="1"/>
          <w:iCs w:val="1"/>
          <w:color w:val="auto"/>
        </w:rPr>
        <w:t>Act</w:t>
      </w:r>
      <w:r>
        <w:rPr>
          <w:rFonts w:ascii="Times New Roman" w:cs="Times New Roman" w:eastAsia="Times New Roman" w:hAnsi="Times New Roman"/>
          <w:sz w:val="20"/>
          <w:szCs w:val="20"/>
          <w:color w:val="auto"/>
        </w:rPr>
        <w:t>") and the Securities Exchange Act of 1934, as amended (together with the implementing regulations thereto,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(collectively, the "</w:t>
      </w:r>
      <w:r>
        <w:rPr>
          <w:rFonts w:ascii="Times New Roman" w:cs="Times New Roman" w:eastAsia="Times New Roman" w:hAnsi="Times New Roman"/>
          <w:sz w:val="20"/>
          <w:szCs w:val="20"/>
          <w:b w:val="1"/>
          <w:bCs w:val="1"/>
          <w:i w:val="1"/>
          <w:iCs w:val="1"/>
          <w:color w:val="auto"/>
        </w:rPr>
        <w:t>Reports</w:t>
      </w:r>
      <w:r>
        <w:rPr>
          <w:rFonts w:ascii="Times New Roman" w:cs="Times New Roman" w:eastAsia="Times New Roman" w:hAnsi="Times New Roman"/>
          <w:sz w:val="20"/>
          <w:szCs w:val="20"/>
          <w:color w:val="auto"/>
        </w:rPr>
        <w:t>") with respect to the Reporting Person's ownership of, or transactions in, securities of any entity whose securities are beneficially owned (directly or indirectly) by the Reporting Person (collectively, the "</w:t>
      </w:r>
      <w:r>
        <w:rPr>
          <w:rFonts w:ascii="Times New Roman" w:cs="Times New Roman" w:eastAsia="Times New Roman" w:hAnsi="Times New Roman"/>
          <w:sz w:val="20"/>
          <w:szCs w:val="20"/>
          <w:b w:val="1"/>
          <w:bCs w:val="1"/>
          <w:i w:val="1"/>
          <w:iCs w:val="1"/>
          <w:color w:val="auto"/>
        </w:rPr>
        <w:t>Companies</w:t>
      </w:r>
      <w:r>
        <w:rPr>
          <w:rFonts w:ascii="Times New Roman" w:cs="Times New Roman" w:eastAsia="Times New Roman" w:hAnsi="Times New Roman"/>
          <w:sz w:val="20"/>
          <w:szCs w:val="20"/>
          <w:color w:val="auto"/>
        </w:rPr>
        <w:t>").</w:t>
      </w:r>
    </w:p>
    <w:p>
      <w:pPr>
        <w:spacing w:after="0" w:line="21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The Reporting Person hereby further authorizes and designates Phil Hathaway (the "</w:t>
      </w:r>
      <w:r>
        <w:rPr>
          <w:rFonts w:ascii="Times New Roman" w:cs="Times New Roman" w:eastAsia="Times New Roman" w:hAnsi="Times New Roman"/>
          <w:sz w:val="20"/>
          <w:szCs w:val="20"/>
          <w:b w:val="1"/>
          <w:bCs w:val="1"/>
          <w:i w:val="1"/>
          <w:iCs w:val="1"/>
          <w:color w:val="auto"/>
        </w:rPr>
        <w:t>Authorized Signatory</w:t>
      </w:r>
      <w:r>
        <w:rPr>
          <w:rFonts w:ascii="Times New Roman" w:cs="Times New Roman" w:eastAsia="Times New Roman" w:hAnsi="Times New Roman"/>
          <w:sz w:val="20"/>
          <w:szCs w:val="20"/>
          <w:color w:val="auto"/>
        </w:rPr>
        <w:t>") to execute and file on behalf of the Reporting Person the Reports and to perform any and all other acts, which in the opinion of the Designated Filer or Authorized Signatory may be necessary or incidental to the performance of the foregoing powers herein granted.</w:t>
      </w:r>
    </w:p>
    <w:p>
      <w:pPr>
        <w:spacing w:after="0" w:line="20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authority of the Designated Filer and the Authorized Signatory under this Document with respect to the Reporting Person shall continue until the Reporting Person is no longer required to file any Reports with respect to the Reporting Person's ownership of, or transactions in, the securities of the Companies, unless earlier revoked in writing. The Reporting Person acknowledges that the Designated Filer and the Authorized Signatory are not assuming any of the Reporting Person's responsibilities to comply with the Act or the Exchange Act.</w:t>
      </w:r>
    </w:p>
    <w:p>
      <w:pPr>
        <w:spacing w:after="0" w:line="200" w:lineRule="exact"/>
        <w:rPr>
          <w:sz w:val="20"/>
          <w:szCs w:val="20"/>
          <w:color w:val="auto"/>
        </w:rPr>
      </w:pP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52"/>
        </w:trPr>
        <w:tc>
          <w:tcPr>
            <w:tcW w:w="3220" w:type="dxa"/>
            <w:vAlign w:val="bottom"/>
          </w:tcPr>
          <w:p>
            <w:pPr>
              <w:spacing w:after="0"/>
              <w:rPr>
                <w:sz w:val="20"/>
                <w:szCs w:val="20"/>
                <w:color w:val="auto"/>
              </w:rPr>
            </w:pPr>
            <w:r>
              <w:rPr>
                <w:rFonts w:ascii="Times New Roman" w:cs="Times New Roman" w:eastAsia="Times New Roman" w:hAnsi="Times New Roman"/>
                <w:sz w:val="20"/>
                <w:szCs w:val="20"/>
                <w:color w:val="auto"/>
              </w:rPr>
              <w:t>June 22, 2023</w:t>
            </w:r>
          </w:p>
        </w:tc>
        <w:tc>
          <w:tcPr>
            <w:tcW w:w="3000" w:type="dxa"/>
            <w:vAlign w:val="bottom"/>
          </w:tcPr>
          <w:p>
            <w:pPr>
              <w:ind w:left="2120"/>
              <w:spacing w:after="0"/>
              <w:rPr>
                <w:sz w:val="20"/>
                <w:szCs w:val="20"/>
                <w:color w:val="auto"/>
              </w:rPr>
            </w:pPr>
            <w:r>
              <w:rPr>
                <w:rFonts w:ascii="Times New Roman" w:cs="Times New Roman" w:eastAsia="Times New Roman" w:hAnsi="Times New Roman"/>
                <w:sz w:val="20"/>
                <w:szCs w:val="20"/>
                <w:color w:val="auto"/>
              </w:rPr>
              <w:t>By:</w:t>
            </w:r>
          </w:p>
        </w:tc>
        <w:tc>
          <w:tcPr>
            <w:tcW w:w="4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Benjamin Horowitz</w:t>
            </w:r>
          </w:p>
        </w:tc>
      </w:tr>
      <w:tr>
        <w:trPr>
          <w:trHeight w:val="252"/>
        </w:trPr>
        <w:tc>
          <w:tcPr>
            <w:tcW w:w="322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49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Benjamin Horowitz</w:t>
            </w:r>
          </w:p>
        </w:tc>
      </w:tr>
    </w:tbl>
    <w:p>
      <w:pPr>
        <w:sectPr>
          <w:pgSz w:w="11900" w:h="16838" w:orient="portrait"/>
          <w:cols w:equalWidth="0" w:num="1">
            <w:col w:w="11240"/>
          </w:cols>
          <w:pgMar w:left="320" w:top="114"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37"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The undersigned hereby agree that a single Schedule 13G (or any amendment thereto) relating to the Common Stock of Navan, Inc. shall be filed on behalf of each of the undersigned and that this Agreement shall be filed as an exhibit to such Schedule 13G.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February 17,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AH Parallel Fund V, L.P.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itself and as nominee for AH Parallel Fund V-A, L.P., AH Parallel Fund V-B, L.P.</w:t>
      </w:r>
    </w:p>
    <w:p>
      <w:pPr>
        <w:spacing w:after="0"/>
        <w:rPr>
          <w:sz w:val="20"/>
          <w:szCs w:val="20"/>
          <w:color w:val="auto"/>
        </w:rPr>
      </w:pPr>
      <w:r>
        <w:rPr>
          <w:rFonts w:ascii="Times New Roman" w:cs="Times New Roman" w:eastAsia="Times New Roman" w:hAnsi="Times New Roman"/>
          <w:sz w:val="22"/>
          <w:szCs w:val="22"/>
          <w:b w:val="1"/>
          <w:bCs w:val="1"/>
          <w:color w:val="auto"/>
        </w:rPr>
        <w:t>and AH Parallel Fund V-Q, L.P.</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AH Equity Partners V (Parallel),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Phil Hathaway</w:t>
            </w:r>
          </w:p>
        </w:tc>
      </w:tr>
      <w:tr>
        <w:trPr>
          <w:trHeight w:val="20"/>
        </w:trPr>
        <w:tc>
          <w:tcPr>
            <w:tcW w:w="8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76"/>
        </w:trPr>
        <w:tc>
          <w:tcPr>
            <w:tcW w:w="820" w:type="dxa"/>
            <w:vAlign w:val="bottom"/>
          </w:tcPr>
          <w:p>
            <w:pPr>
              <w:spacing w:after="0"/>
              <w:rPr>
                <w:sz w:val="23"/>
                <w:szCs w:val="23"/>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Phil Hathaway, Chief Operating Officer</w:t>
            </w:r>
          </w:p>
        </w:tc>
      </w:tr>
      <w:tr>
        <w:trPr>
          <w:trHeight w:val="486"/>
        </w:trPr>
        <w:tc>
          <w:tcPr>
            <w:tcW w:w="42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AH Equity Partners V (Parallel), L.L.C.</w:t>
            </w:r>
          </w:p>
        </w:tc>
      </w:tr>
      <w:tr>
        <w:trPr>
          <w:trHeight w:val="434"/>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Phil Hathaway</w:t>
            </w:r>
          </w:p>
        </w:tc>
      </w:tr>
      <w:tr>
        <w:trPr>
          <w:trHeight w:val="20"/>
        </w:trPr>
        <w:tc>
          <w:tcPr>
            <w:tcW w:w="8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76"/>
        </w:trPr>
        <w:tc>
          <w:tcPr>
            <w:tcW w:w="820" w:type="dxa"/>
            <w:vAlign w:val="bottom"/>
          </w:tcPr>
          <w:p>
            <w:pPr>
              <w:spacing w:after="0"/>
              <w:rPr>
                <w:sz w:val="23"/>
                <w:szCs w:val="23"/>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Phil Hathaway, Chief Operating Officer</w:t>
            </w: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Andreessen Horowitz Fund V, L.P.</w:t>
      </w:r>
    </w:p>
    <w:p>
      <w:pPr>
        <w:spacing w:after="0" w:line="18" w:lineRule="exact"/>
        <w:rPr>
          <w:sz w:val="20"/>
          <w:szCs w:val="20"/>
          <w:color w:val="auto"/>
        </w:rPr>
      </w:pPr>
    </w:p>
    <w:p>
      <w:pPr>
        <w:ind w:right="4000"/>
        <w:spacing w:after="0" w:line="258" w:lineRule="auto"/>
        <w:rPr>
          <w:sz w:val="20"/>
          <w:szCs w:val="20"/>
          <w:color w:val="auto"/>
        </w:rPr>
      </w:pPr>
      <w:r>
        <w:rPr>
          <w:rFonts w:ascii="Times New Roman" w:cs="Times New Roman" w:eastAsia="Times New Roman" w:hAnsi="Times New Roman"/>
          <w:sz w:val="21"/>
          <w:szCs w:val="21"/>
          <w:b w:val="1"/>
          <w:bCs w:val="1"/>
          <w:color w:val="auto"/>
        </w:rPr>
        <w:t>for itself and as nominee for Andreessen Horowitz Fund V-A, L.P., Andreessen Horowitz Fund V-B, L.P. and Andreessen Horowitz Fund V-Q, L.P.</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AH Equity Partners V,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30" w:lineRule="auto"/>
        <w:tabs>
          <w:tab w:leader="none" w:pos="8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Phil Hathaway</w:t>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Phil Hathaway, Chief Operating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CLF Partners, LP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AH Equity Partners V,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30" w:lineRule="auto"/>
        <w:tabs>
          <w:tab w:leader="none" w:pos="8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Phil Hathaway</w:t>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Phil Hathaway, Chief Operating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AH Equity Partners V, L.L.C.</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Phil Hathaway</w:t>
            </w:r>
          </w:p>
        </w:tc>
      </w:tr>
      <w:tr>
        <w:trPr>
          <w:trHeight w:val="20"/>
        </w:trPr>
        <w:tc>
          <w:tcPr>
            <w:tcW w:w="8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76"/>
        </w:trPr>
        <w:tc>
          <w:tcPr>
            <w:tcW w:w="820" w:type="dxa"/>
            <w:vAlign w:val="bottom"/>
          </w:tcPr>
          <w:p>
            <w:pPr>
              <w:spacing w:after="0"/>
              <w:rPr>
                <w:sz w:val="23"/>
                <w:szCs w:val="23"/>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Phil Hathaway, Chief Operating Officer</w:t>
            </w: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Andreessen Horowitz LSV Fund I, L.P.</w:t>
      </w:r>
    </w:p>
    <w:p>
      <w:pPr>
        <w:spacing w:after="0" w:line="18" w:lineRule="exact"/>
        <w:rPr>
          <w:sz w:val="20"/>
          <w:szCs w:val="20"/>
          <w:color w:val="auto"/>
        </w:rPr>
      </w:pPr>
    </w:p>
    <w:p>
      <w:pPr>
        <w:ind w:right="3240"/>
        <w:spacing w:after="0" w:line="237" w:lineRule="auto"/>
        <w:rPr>
          <w:sz w:val="20"/>
          <w:szCs w:val="20"/>
          <w:color w:val="auto"/>
        </w:rPr>
      </w:pPr>
      <w:r>
        <w:rPr>
          <w:rFonts w:ascii="Times New Roman" w:cs="Times New Roman" w:eastAsia="Times New Roman" w:hAnsi="Times New Roman"/>
          <w:sz w:val="22"/>
          <w:szCs w:val="22"/>
          <w:b w:val="1"/>
          <w:bCs w:val="1"/>
          <w:color w:val="auto"/>
        </w:rPr>
        <w:t>for itself and as nominee for Andreessen Horowitz LSV Fund I-B, L.P. and Andreessen Horowitz LSV Fund I-Q, L.P.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AH Equity Partners LSV I,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30" w:lineRule="auto"/>
        <w:tabs>
          <w:tab w:leader="none" w:pos="8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Phil Hathaway</w:t>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Phil Hathaway, Chief Operating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AH Equity Partners LSV I, L.L.C.</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Phil Hathaway</w:t>
            </w:r>
          </w:p>
        </w:tc>
      </w:tr>
      <w:tr>
        <w:trPr>
          <w:trHeight w:val="20"/>
        </w:trPr>
        <w:tc>
          <w:tcPr>
            <w:tcW w:w="8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r>
        <w:trPr>
          <w:trHeight w:val="276"/>
        </w:trPr>
        <w:tc>
          <w:tcPr>
            <w:tcW w:w="820" w:type="dxa"/>
            <w:vAlign w:val="bottom"/>
          </w:tcPr>
          <w:p>
            <w:pPr>
              <w:spacing w:after="0"/>
              <w:rPr>
                <w:sz w:val="23"/>
                <w:szCs w:val="23"/>
                <w:color w:val="auto"/>
              </w:rPr>
            </w:pPr>
          </w:p>
        </w:tc>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Phil Hathaway, Chief Operating Officer</w:t>
            </w:r>
          </w:p>
        </w:tc>
      </w:tr>
      <w:tr>
        <w:trPr>
          <w:trHeight w:val="825"/>
        </w:trPr>
        <w:tc>
          <w:tcPr>
            <w:tcW w:w="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900" w:type="dxa"/>
            <w:vAlign w:val="bottom"/>
          </w:tcPr>
          <w:p>
            <w:pPr>
              <w:spacing w:after="0"/>
              <w:rPr>
                <w:sz w:val="24"/>
                <w:szCs w:val="24"/>
                <w:color w:val="auto"/>
              </w:rPr>
            </w:pPr>
          </w:p>
        </w:tc>
      </w:tr>
      <w:tr>
        <w:trPr>
          <w:trHeight w:val="149"/>
        </w:trPr>
        <w:tc>
          <w:tcPr>
            <w:tcW w:w="820" w:type="dxa"/>
            <w:vAlign w:val="bottom"/>
            <w:shd w:val="clear" w:color="auto" w:fill="808080"/>
          </w:tcPr>
          <w:p>
            <w:pPr>
              <w:spacing w:after="0"/>
              <w:rPr>
                <w:sz w:val="12"/>
                <w:szCs w:val="12"/>
                <w:color w:val="auto"/>
              </w:rPr>
            </w:pPr>
          </w:p>
        </w:tc>
        <w:tc>
          <w:tcPr>
            <w:tcW w:w="1520" w:type="dxa"/>
            <w:vAlign w:val="bottom"/>
            <w:shd w:val="clear" w:color="auto" w:fill="808080"/>
          </w:tcPr>
          <w:p>
            <w:pPr>
              <w:spacing w:after="0"/>
              <w:rPr>
                <w:sz w:val="12"/>
                <w:szCs w:val="12"/>
                <w:color w:val="auto"/>
              </w:rPr>
            </w:pPr>
          </w:p>
        </w:tc>
        <w:tc>
          <w:tcPr>
            <w:tcW w:w="8900" w:type="dxa"/>
            <w:vAlign w:val="bottom"/>
            <w:shd w:val="clear" w:color="auto" w:fill="808080"/>
          </w:tcPr>
          <w:p>
            <w:pPr>
              <w:spacing w:after="0"/>
              <w:rPr>
                <w:sz w:val="12"/>
                <w:szCs w:val="12"/>
                <w:color w:val="auto"/>
              </w:rPr>
            </w:pPr>
          </w:p>
        </w:tc>
      </w:tr>
    </w:tbl>
    <w:p>
      <w:pPr>
        <w:sectPr>
          <w:pgSz w:w="11900" w:h="16838" w:orient="portrait"/>
          <w:cols w:equalWidth="0" w:num="1">
            <w:col w:w="11240"/>
          </w:cols>
          <w:pgMar w:left="320" w:top="351" w:right="339" w:bottom="568"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color w:val="auto"/>
        </w:rPr>
        <w:t>Andreessen Horowitz LSV Fund II, L.P.</w:t>
      </w:r>
    </w:p>
    <w:p>
      <w:pPr>
        <w:spacing w:after="0" w:line="18" w:lineRule="exact"/>
        <w:rPr>
          <w:sz w:val="20"/>
          <w:szCs w:val="20"/>
          <w:color w:val="auto"/>
        </w:rPr>
      </w:pPr>
    </w:p>
    <w:p>
      <w:pPr>
        <w:ind w:right="3179"/>
        <w:spacing w:after="0" w:line="237" w:lineRule="auto"/>
        <w:rPr>
          <w:sz w:val="20"/>
          <w:szCs w:val="20"/>
          <w:color w:val="auto"/>
        </w:rPr>
      </w:pPr>
      <w:r>
        <w:rPr>
          <w:rFonts w:ascii="Times New Roman" w:cs="Times New Roman" w:eastAsia="Times New Roman" w:hAnsi="Times New Roman"/>
          <w:sz w:val="22"/>
          <w:szCs w:val="22"/>
          <w:b w:val="1"/>
          <w:bCs w:val="1"/>
          <w:color w:val="auto"/>
        </w:rPr>
        <w:t>for itself and as nominee for Andreessen Horowitz LSV Fund II-B, L.P. and Andreessen Horowitz LSV Fund II-Q, L.P.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AH Equity Partners LSV II,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30" w:lineRule="auto"/>
        <w:tabs>
          <w:tab w:leader="none" w:pos="8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Phil Hathaway</w:t>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Phil Hathaway, Chief Operating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AH Equity Partners LSV II, L.L.C.</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Phil Hathaway</w:t>
            </w:r>
          </w:p>
        </w:tc>
      </w:tr>
      <w:tr>
        <w:trPr>
          <w:trHeight w:val="20"/>
        </w:trPr>
        <w:tc>
          <w:tcPr>
            <w:tcW w:w="8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76"/>
        </w:trPr>
        <w:tc>
          <w:tcPr>
            <w:tcW w:w="820" w:type="dxa"/>
            <w:vAlign w:val="bottom"/>
          </w:tcPr>
          <w:p>
            <w:pPr>
              <w:spacing w:after="0"/>
              <w:rPr>
                <w:sz w:val="23"/>
                <w:szCs w:val="23"/>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Phil Hathaway, Chief Operating Officer</w:t>
            </w: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Andreessen Horowitz LSV Fund III, L.P.</w:t>
      </w:r>
    </w:p>
    <w:p>
      <w:pPr>
        <w:spacing w:after="0" w:line="18" w:lineRule="exact"/>
        <w:rPr>
          <w:sz w:val="20"/>
          <w:szCs w:val="20"/>
          <w:color w:val="auto"/>
        </w:rPr>
      </w:pPr>
    </w:p>
    <w:p>
      <w:pPr>
        <w:jc w:val="both"/>
        <w:ind w:right="2539"/>
        <w:spacing w:after="0" w:line="235" w:lineRule="auto"/>
        <w:rPr>
          <w:sz w:val="20"/>
          <w:szCs w:val="20"/>
          <w:color w:val="auto"/>
        </w:rPr>
      </w:pPr>
      <w:r>
        <w:rPr>
          <w:rFonts w:ascii="Times New Roman" w:cs="Times New Roman" w:eastAsia="Times New Roman" w:hAnsi="Times New Roman"/>
          <w:sz w:val="22"/>
          <w:szCs w:val="22"/>
          <w:b w:val="1"/>
          <w:bCs w:val="1"/>
          <w:color w:val="auto"/>
        </w:rPr>
        <w:t>for itself and as nominee for Andreessen Horowitz LSV Fund III-B, L.P., AH 2022 Annual Fund, L.P., AH 2022 Annual Fund-B, L.P. and AH 2022 Annual Fund-QC, L.P.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AH Equity Partners LSV III,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30" w:lineRule="auto"/>
        <w:tabs>
          <w:tab w:leader="none" w:pos="8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Phil Hathaway</w:t>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Phil Hathaway, Chief Operating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AH Equity Partners LSV III, L.L.C.</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Phil Hathaway</w:t>
            </w:r>
          </w:p>
        </w:tc>
      </w:tr>
      <w:tr>
        <w:trPr>
          <w:trHeight w:val="20"/>
        </w:trPr>
        <w:tc>
          <w:tcPr>
            <w:tcW w:w="8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76"/>
        </w:trPr>
        <w:tc>
          <w:tcPr>
            <w:tcW w:w="820" w:type="dxa"/>
            <w:vAlign w:val="bottom"/>
          </w:tcPr>
          <w:p>
            <w:pPr>
              <w:spacing w:after="0"/>
              <w:rPr>
                <w:sz w:val="23"/>
                <w:szCs w:val="23"/>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Phil Hathaway, Chief Operating Officer</w:t>
            </w: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Marc Andreessen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Phil Hathaway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Phil Hathaway, Attorney-in-Fact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Benjamin Horowitz</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Phil Hathaway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Phil Hathaway, Attorney-in-Fact</w:t>
      </w:r>
    </w:p>
    <w:sectPr>
      <w:pgSz w:w="11900" w:h="16838" w:orient="portrait"/>
      <w:cols w:equalWidth="0" w:num="1">
        <w:col w:w="10139"/>
      </w:cols>
      <w:pgMar w:left="32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2"/>
      <w:numFmt w:val="bullet"/>
      <w:start w:val="1"/>
    </w:lvl>
  </w:abstractNum>
  <w:abstractNum w:abstractNumId="1">
    <w:nsid w:val="12200854"/>
    <w:multiLevelType w:val="hybridMultilevel"/>
    <w:lvl w:ilvl="0">
      <w:lvlJc w:val="left"/>
      <w:lvlText w:val="3"/>
      <w:numFmt w:val="bullet"/>
      <w:start w:val="1"/>
    </w:lvl>
  </w:abstractNum>
  <w:abstractNum w:abstractNumId="2">
    <w:nsid w:val="4DB127F8"/>
    <w:multiLevelType w:val="hybridMultilevel"/>
    <w:lvl w:ilvl="0">
      <w:lvlJc w:val="left"/>
      <w:lvlText w:val="2"/>
      <w:numFmt w:val="bullet"/>
      <w:start w:val="1"/>
    </w:lvl>
  </w:abstractNum>
  <w:abstractNum w:abstractNumId="3">
    <w:nsid w:val="216231B"/>
    <w:multiLevelType w:val="hybridMultilevel"/>
    <w:lvl w:ilvl="0">
      <w:lvlJc w:val="left"/>
      <w:lvlText w:val="2"/>
      <w:numFmt w:val="bullet"/>
      <w:start w:val="1"/>
    </w:lvl>
  </w:abstractNum>
  <w:abstractNum w:abstractNumId="4">
    <w:nsid w:val="1F16E9E8"/>
    <w:multiLevelType w:val="hybridMultilevel"/>
    <w:lvl w:ilvl="0">
      <w:lvlJc w:val="left"/>
      <w:lvlText w:val="3"/>
      <w:numFmt w:val="bullet"/>
      <w:start w:val="1"/>
    </w:lvl>
  </w:abstractNum>
  <w:abstractNum w:abstractNumId="5">
    <w:nsid w:val="1190CDE7"/>
    <w:multiLevelType w:val="hybridMultilevel"/>
    <w:lvl w:ilvl="0">
      <w:lvlJc w:val="left"/>
      <w:lvlText w:val="2"/>
      <w:numFmt w:val="bullet"/>
      <w:start w:val="1"/>
    </w:lvl>
  </w:abstractNum>
  <w:abstractNum w:abstractNumId="6">
    <w:nsid w:val="66EF438D"/>
    <w:multiLevelType w:val="hybridMultilevel"/>
    <w:lvl w:ilvl="0">
      <w:lvlJc w:val="left"/>
      <w:lvlText w:val="3"/>
      <w:numFmt w:val="bullet"/>
      <w:start w:val="1"/>
    </w:lvl>
  </w:abstractNum>
  <w:abstractNum w:abstractNumId="7">
    <w:nsid w:val="140E0F76"/>
    <w:multiLevelType w:val="hybridMultilevel"/>
    <w:lvl w:ilvl="0">
      <w:lvlJc w:val="left"/>
      <w:lvlText w:val="2"/>
      <w:numFmt w:val="bullet"/>
      <w:start w:val="1"/>
    </w:lvl>
  </w:abstractNum>
  <w:abstractNum w:abstractNumId="8">
    <w:nsid w:val="3352255A"/>
    <w:multiLevelType w:val="hybridMultilevel"/>
    <w:lvl w:ilvl="0">
      <w:lvlJc w:val="left"/>
      <w:lvlText w:val="3"/>
      <w:numFmt w:val="bullet"/>
      <w:start w:val="1"/>
    </w:lvl>
  </w:abstractNum>
  <w:abstractNum w:abstractNumId="9">
    <w:nsid w:val="109CF92E"/>
    <w:multiLevelType w:val="hybridMultilevel"/>
    <w:lvl w:ilvl="0">
      <w:lvlJc w:val="left"/>
      <w:lvlText w:val="2"/>
      <w:numFmt w:val="bullet"/>
      <w:start w:val="1"/>
    </w:lvl>
  </w:abstractNum>
  <w:abstractNum w:abstractNumId="10">
    <w:nsid w:val="DED7263"/>
    <w:multiLevelType w:val="hybridMultilevel"/>
    <w:lvl w:ilvl="0">
      <w:lvlJc w:val="left"/>
      <w:lvlText w:val="3"/>
      <w:numFmt w:val="bullet"/>
      <w:start w:val="1"/>
    </w:lvl>
  </w:abstractNum>
  <w:abstractNum w:abstractNumId="11">
    <w:nsid w:val="7FDCC233"/>
    <w:multiLevelType w:val="hybridMultilevel"/>
    <w:lvl w:ilvl="0">
      <w:lvlJc w:val="left"/>
      <w:lvlText w:val="(%1)"/>
      <w:numFmt w:val="lowerLetter"/>
      <w:start w:val="2"/>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1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2026-02-17T17:28:38Z</dcterms:created>
  <dcterms:modified xsi:type="dcterms:W3CDTF">2026-02-17T17:28:38Z</dcterms:modified>
</cp:coreProperties>
</file>