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134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1347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Kaveripatnam Sandesh</w:t>
              </w:r>
            </w:hyperlink>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Navan,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NAVN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20" w:type="dxa"/>
            <w:vAlign w:val="bottom"/>
            <w:gridSpan w:val="3"/>
            <w:vMerge w:val="continue"/>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Borders>
              <w:bottom w:val="single" w:sz="8" w:color="0000EE"/>
            </w:tcBorders>
          </w:tcPr>
          <w:p>
            <w:pPr>
              <w:spacing w:after="0"/>
              <w:rPr>
                <w:sz w:val="6"/>
                <w:szCs w:val="6"/>
                <w:color w:val="auto"/>
              </w:rPr>
            </w:pPr>
          </w:p>
        </w:tc>
        <w:tc>
          <w:tcPr>
            <w:tcW w:w="2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0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24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20" w:type="dxa"/>
            <w:vAlign w:val="bottom"/>
            <w:vMerge w:val="restart"/>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1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27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NAVAN, INC.</w:t>
            </w:r>
          </w:p>
        </w:tc>
        <w:tc>
          <w:tcPr>
            <w:tcW w:w="1420" w:type="dxa"/>
            <w:vAlign w:val="bottom"/>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2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20" w:type="dxa"/>
            <w:vAlign w:val="bottom"/>
            <w:gridSpan w:val="3"/>
            <w:vMerge w:val="continue"/>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3045 PARK BOULEVARD</w:t>
            </w: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27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20" w:type="dxa"/>
            <w:vAlign w:val="bottom"/>
            <w:gridSpan w:val="3"/>
            <w:vMerge w:val="continue"/>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00"/>
          </w:cols>
          <w:pgMar w:left="460" w:top="219" w:right="43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PALO ALTO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94306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4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3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3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3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3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05/20/2026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180"/>
              <w:spacing w:after="0" w:line="320" w:lineRule="exact"/>
              <w:rPr>
                <w:sz w:val="20"/>
                <w:szCs w:val="20"/>
                <w:color w:val="auto"/>
              </w:rPr>
            </w:pPr>
            <w:r>
              <w:rPr>
                <w:rFonts w:ascii="Times New Roman" w:cs="Times New Roman" w:eastAsia="Times New Roman" w:hAnsi="Times New Roman"/>
                <w:sz w:val="34"/>
                <w:szCs w:val="34"/>
                <w:color w:val="0000FF"/>
                <w:vertAlign w:val="subscript"/>
              </w:rPr>
              <w:t>607</w:t>
            </w:r>
            <w:r>
              <w:rPr>
                <w:rFonts w:ascii="Times New Roman" w:cs="Times New Roman" w:eastAsia="Times New Roman" w:hAnsi="Times New Roman"/>
                <w:sz w:val="11"/>
                <w:szCs w:val="11"/>
                <w:color w:val="008000"/>
              </w:rPr>
              <w:t>(1)</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18.54</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35,852</w:t>
            </w:r>
          </w:p>
        </w:tc>
        <w:tc>
          <w:tcPr>
            <w:tcW w:w="90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11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PI</w:t>
            </w:r>
          </w:p>
        </w:tc>
        <w:tc>
          <w:tcPr>
            <w:tcW w:w="0" w:type="dxa"/>
            <w:vAlign w:val="bottom"/>
          </w:tcPr>
          <w:p>
            <w:pPr>
              <w:spacing w:after="0"/>
              <w:rPr>
                <w:sz w:val="1"/>
                <w:szCs w:val="1"/>
                <w:color w:val="auto"/>
              </w:rPr>
            </w:pPr>
          </w:p>
        </w:tc>
      </w:tr>
      <w:tr>
        <w:trPr>
          <w:trHeight w:val="213"/>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2,705,707</w:t>
            </w:r>
          </w:p>
        </w:tc>
        <w:tc>
          <w:tcPr>
            <w:tcW w:w="9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Opportunities</w:t>
            </w:r>
          </w:p>
        </w:tc>
        <w:tc>
          <w:tcPr>
            <w:tcW w:w="0" w:type="dxa"/>
            <w:vAlign w:val="bottom"/>
          </w:tcPr>
          <w:p>
            <w:pPr>
              <w:spacing w:after="0"/>
              <w:rPr>
                <w:sz w:val="1"/>
                <w:szCs w:val="1"/>
                <w:color w:val="auto"/>
              </w:rPr>
            </w:pPr>
          </w:p>
        </w:tc>
      </w:tr>
      <w:tr>
        <w:trPr>
          <w:trHeight w:val="226"/>
        </w:trPr>
        <w:tc>
          <w:tcPr>
            <w:tcW w:w="2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Fund II</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Napean</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Trading and</w:t>
            </w:r>
          </w:p>
        </w:tc>
        <w:tc>
          <w:tcPr>
            <w:tcW w:w="0" w:type="dxa"/>
            <w:vAlign w:val="bottom"/>
          </w:tcPr>
          <w:p>
            <w:pPr>
              <w:spacing w:after="0"/>
              <w:rPr>
                <w:sz w:val="1"/>
                <w:szCs w:val="1"/>
                <w:color w:val="auto"/>
              </w:rPr>
            </w:pPr>
          </w:p>
        </w:tc>
      </w:tr>
      <w:tr>
        <w:trPr>
          <w:trHeight w:val="233"/>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5,874,257</w:t>
            </w:r>
          </w:p>
        </w:tc>
        <w:tc>
          <w:tcPr>
            <w:tcW w:w="9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bl>
    <w:p>
      <w:pPr>
        <w:ind w:left="9940"/>
        <w:spacing w:after="0"/>
        <w:rPr>
          <w:sz w:val="20"/>
          <w:szCs w:val="20"/>
          <w:color w:val="auto"/>
        </w:rPr>
      </w:pPr>
      <w:r>
        <w:rPr>
          <w:rFonts w:ascii="Times New Roman" w:cs="Times New Roman" w:eastAsia="Times New Roman" w:hAnsi="Times New Roman"/>
          <w:sz w:val="17"/>
          <w:szCs w:val="17"/>
          <w:color w:val="0000FF"/>
        </w:rPr>
        <w:t>Company</w:t>
      </w:r>
    </w:p>
    <w:p>
      <w:pPr>
        <w:spacing w:after="0" w:line="11" w:lineRule="exact"/>
        <w:rPr>
          <w:sz w:val="20"/>
          <w:szCs w:val="20"/>
          <w:color w:val="auto"/>
        </w:rPr>
      </w:pPr>
    </w:p>
    <w:p>
      <w:pPr>
        <w:ind w:left="9940"/>
        <w:spacing w:after="0"/>
        <w:rPr>
          <w:sz w:val="20"/>
          <w:szCs w:val="20"/>
          <w:color w:val="auto"/>
        </w:rPr>
      </w:pPr>
      <w:r>
        <w:rPr>
          <w:rFonts w:ascii="Times New Roman" w:cs="Times New Roman" w:eastAsia="Times New Roman" w:hAnsi="Times New Roman"/>
          <w:sz w:val="17"/>
          <w:szCs w:val="17"/>
          <w:color w:val="0000FF"/>
        </w:rPr>
        <w:t>(Singapore)</w:t>
      </w:r>
    </w:p>
    <w:p>
      <w:pPr>
        <w:spacing w:after="0" w:line="18" w:lineRule="exact"/>
        <w:rPr>
          <w:sz w:val="20"/>
          <w:szCs w:val="20"/>
          <w:color w:val="auto"/>
        </w:rPr>
      </w:pPr>
    </w:p>
    <w:p>
      <w:pPr>
        <w:ind w:left="9940"/>
        <w:spacing w:after="0"/>
        <w:rPr>
          <w:sz w:val="20"/>
          <w:szCs w:val="20"/>
          <w:color w:val="auto"/>
        </w:rPr>
      </w:pPr>
      <w:r>
        <w:rPr>
          <w:rFonts w:ascii="Times New Roman" w:cs="Times New Roman" w:eastAsia="Times New Roman" w:hAnsi="Times New Roman"/>
          <w:sz w:val="17"/>
          <w:szCs w:val="17"/>
          <w:color w:val="0000FF"/>
        </w:rPr>
        <w:t>PTE. LTC.</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Class A Common Stock underlying restricted stock units that are fully vested on the grant date issued to the Reporting Person in lieu of a cash retainer for board service in the amount of $11,250.</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Howard Baik, Attorney-in-  </w:t>
      </w:r>
      <w:r>
        <w:rPr>
          <w:rFonts w:ascii="Times New Roman" w:cs="Times New Roman" w:eastAsia="Times New Roman" w:hAnsi="Times New Roman"/>
          <w:sz w:val="33"/>
          <w:szCs w:val="33"/>
          <w:color w:val="0000FF"/>
          <w:vertAlign w:val="subscript"/>
        </w:rPr>
        <w:t>05/22/2026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5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00"/>
          </w:cols>
          <w:pgMar w:left="460" w:top="219" w:right="43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POWER OF ATTORNEY</w:t>
      </w:r>
    </w:p>
    <w:p>
      <w:pPr>
        <w:spacing w:after="0" w:line="24" w:lineRule="exact"/>
        <w:rPr>
          <w:sz w:val="20"/>
          <w:szCs w:val="20"/>
          <w:color w:val="auto"/>
        </w:rPr>
      </w:pPr>
    </w:p>
    <w:p>
      <w:pPr>
        <w:ind w:right="340" w:firstLine="640"/>
        <w:spacing w:after="0" w:line="247"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Howard Baik, Amy Butte, and Loanna Hung, signing individually, the undersigned’s true and lawful attorneys-in fact and agents to:</w:t>
      </w:r>
    </w:p>
    <w:p>
      <w:pPr>
        <w:spacing w:after="0" w:line="166" w:lineRule="exact"/>
        <w:rPr>
          <w:sz w:val="20"/>
          <w:szCs w:val="20"/>
          <w:color w:val="auto"/>
        </w:rPr>
      </w:pPr>
    </w:p>
    <w:p>
      <w:pPr>
        <w:ind w:left="640" w:right="380" w:firstLine="6"/>
        <w:spacing w:after="0" w:line="248" w:lineRule="auto"/>
        <w:tabs>
          <w:tab w:leader="none" w:pos="917"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director and/or greater than 10% stockholder of Navan,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Forms 3, 4 and 5 (including any amendments thereto) in accordance with Section 16(a) of the Securities Exchange Act of 1934, as amended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and the rules thereunder;</w:t>
      </w:r>
    </w:p>
    <w:p>
      <w:pPr>
        <w:spacing w:after="0" w:line="153" w:lineRule="exact"/>
        <w:rPr>
          <w:rFonts w:ascii="Times New Roman" w:cs="Times New Roman" w:eastAsia="Times New Roman" w:hAnsi="Times New Roman"/>
          <w:sz w:val="20"/>
          <w:szCs w:val="20"/>
          <w:color w:val="auto"/>
        </w:rPr>
      </w:pPr>
    </w:p>
    <w:p>
      <w:pPr>
        <w:ind w:left="640" w:right="100" w:firstLine="6"/>
        <w:spacing w:after="0" w:line="248" w:lineRule="auto"/>
        <w:tabs>
          <w:tab w:leader="none" w:pos="917"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Forms 3, 4 or 5 (including any amendments thereto) and timely file such forms with the Securities and Exchange Commission and any stock exchange or similar authority; and</w:t>
      </w:r>
    </w:p>
    <w:p>
      <w:pPr>
        <w:spacing w:after="0" w:line="166" w:lineRule="exact"/>
        <w:rPr>
          <w:rFonts w:ascii="Times New Roman" w:cs="Times New Roman" w:eastAsia="Times New Roman" w:hAnsi="Times New Roman"/>
          <w:sz w:val="20"/>
          <w:szCs w:val="20"/>
          <w:color w:val="auto"/>
        </w:rPr>
      </w:pPr>
    </w:p>
    <w:p>
      <w:pPr>
        <w:ind w:left="640" w:right="20" w:firstLine="6"/>
        <w:spacing w:after="0" w:line="244" w:lineRule="auto"/>
        <w:tabs>
          <w:tab w:leader="none" w:pos="917"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nature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1" w:lineRule="exact"/>
        <w:rPr>
          <w:sz w:val="20"/>
          <w:szCs w:val="20"/>
          <w:color w:val="auto"/>
        </w:rPr>
      </w:pPr>
    </w:p>
    <w:p>
      <w:pPr>
        <w:ind w:firstLine="640"/>
        <w:spacing w:after="0"/>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62" w:lineRule="exact"/>
        <w:rPr>
          <w:sz w:val="20"/>
          <w:szCs w:val="20"/>
          <w:color w:val="auto"/>
        </w:rPr>
      </w:pPr>
    </w:p>
    <w:p>
      <w:pPr>
        <w:ind w:right="40" w:firstLine="640"/>
        <w:spacing w:after="0" w:line="28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employed by or a partner at Cooley LLP, as applicable.</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The undersigned has caused this Power of Attorney to be executed as of September 18,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u w:val="single" w:color="auto"/>
          <w:color w:val="auto"/>
        </w:rPr>
        <w:t>/s/ Sandesh Patnam</w:t>
      </w:r>
    </w:p>
    <w:p>
      <w:pPr>
        <w:spacing w:after="0" w:line="1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Sandesh Patnam</w:t>
      </w:r>
    </w:p>
    <w:sectPr>
      <w:pgSz w:w="11900" w:h="16838" w:orient="portrait"/>
      <w:cols w:equalWidth="0" w:num="1">
        <w:col w:w="10960"/>
      </w:cols>
      <w:pgMar w:left="460" w:top="14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53516" TargetMode="External"/><Relationship Id="rId14" Type="http://schemas.openxmlformats.org/officeDocument/2006/relationships/hyperlink" Target="http://www.sec.gov/cgi-bin/browse-edgar?action=getcompany&amp;CIK=000163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2026-05-22T16:43:11Z</dcterms:created>
  <dcterms:modified xsi:type="dcterms:W3CDTF">2026-05-22T16:43:11Z</dcterms:modified>
</cp:coreProperties>
</file>