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32"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60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Andreessen Horowitz LSV</w:t>
              </w:r>
            </w:hyperlink>
          </w:p>
        </w:tc>
        <w:tc>
          <w:tcPr>
            <w:tcW w:w="42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00" w:type="dxa"/>
            <w:vAlign w:val="bottom"/>
            <w:tcBorders>
              <w:bottom w:val="single" w:sz="8" w:color="0000EE"/>
            </w:tcBorders>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I, 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32"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ANDREESSEN HOROWITZ</w:t>
      </w:r>
    </w:p>
    <w:p>
      <w:pPr>
        <w:spacing w:after="0" w:line="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2865 SAND HILL ROAD, SUITE</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101</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32"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120" w:type="dxa"/>
            <w:vAlign w:val="bottom"/>
          </w:tcPr>
          <w:p>
            <w:pPr>
              <w:ind w:left="180"/>
              <w:spacing w:after="0"/>
              <w:rPr>
                <w:sz w:val="20"/>
                <w:szCs w:val="20"/>
                <w:color w:val="auto"/>
              </w:rPr>
            </w:pPr>
            <w:r>
              <w:rPr>
                <w:rFonts w:ascii="Arial" w:cs="Arial" w:eastAsia="Arial" w:hAnsi="Arial"/>
                <w:sz w:val="15"/>
                <w:szCs w:val="15"/>
                <w:b w:val="1"/>
                <w:bCs w:val="1"/>
                <w:color w:val="auto"/>
              </w:rPr>
              <w:t>2. Amount of Securities</w:t>
            </w: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4)</w:t>
            </w:r>
          </w:p>
        </w:tc>
        <w:tc>
          <w:tcPr>
            <w:tcW w:w="13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7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12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0000FF"/>
              </w:rPr>
              <w:t>1,268,645</w:t>
            </w:r>
          </w:p>
        </w:tc>
        <w:tc>
          <w:tcPr>
            <w:tcW w:w="62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Andreessen Horowitz LSV</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0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4700" w:type="dxa"/>
            <w:vAlign w:val="bottom"/>
            <w:tcBorders>
              <w:bottom w:val="single" w:sz="8" w:color="2C2C2C"/>
            </w:tcBorders>
          </w:tcPr>
          <w:p>
            <w:pPr>
              <w:spacing w:after="0"/>
              <w:rPr>
                <w:sz w:val="20"/>
                <w:szCs w:val="20"/>
                <w:color w:val="auto"/>
              </w:rPr>
            </w:pPr>
          </w:p>
        </w:tc>
        <w:tc>
          <w:tcPr>
            <w:tcW w:w="2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8140" w:type="dxa"/>
            <w:vAlign w:val="bottom"/>
            <w:tcBorders>
              <w:top w:val="single" w:sz="8" w:color="2C2C2C"/>
            </w:tcBorders>
            <w:gridSpan w:val="4"/>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140" w:type="dxa"/>
            <w:vAlign w:val="bottom"/>
            <w:gridSpan w:val="4"/>
          </w:tcPr>
          <w:p>
            <w:pPr>
              <w:ind w:left="27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470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40" w:type="dxa"/>
            <w:vAlign w:val="bottom"/>
            <w:gridSpan w:val="2"/>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16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292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10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700" w:type="dxa"/>
            <w:vAlign w:val="bottom"/>
          </w:tcPr>
          <w:p>
            <w:pPr>
              <w:ind w:left="2920"/>
              <w:spacing w:after="0"/>
              <w:rPr>
                <w:sz w:val="20"/>
                <w:szCs w:val="20"/>
                <w:color w:val="auto"/>
              </w:rPr>
            </w:pPr>
            <w:r>
              <w:rPr>
                <w:rFonts w:ascii="Arial" w:cs="Arial" w:eastAsia="Arial" w:hAnsi="Arial"/>
                <w:sz w:val="15"/>
                <w:szCs w:val="15"/>
                <w:b w:val="1"/>
                <w:bCs w:val="1"/>
                <w:color w:val="auto"/>
              </w:rPr>
              <w:t>(Month/Day/Year)</w:t>
            </w:r>
          </w:p>
        </w:tc>
        <w:tc>
          <w:tcPr>
            <w:tcW w:w="212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230" w:right="479" w:bottom="32" w:gutter="0" w:footer="0" w:header="0"/>
          <w:type w:val="continuous"/>
        </w:sectPr>
      </w:pPr>
    </w:p>
    <w:p>
      <w:pPr>
        <w:spacing w:after="0" w:line="135" w:lineRule="exact"/>
        <w:rPr>
          <w:sz w:val="20"/>
          <w:szCs w:val="20"/>
          <w:color w:val="auto"/>
        </w:rPr>
      </w:pPr>
    </w:p>
    <w:p>
      <w:pPr>
        <w:ind w:left="6580"/>
        <w:spacing w:after="0"/>
        <w:rPr>
          <w:sz w:val="20"/>
          <w:szCs w:val="20"/>
          <w:color w:val="auto"/>
        </w:rPr>
      </w:pPr>
      <w:r>
        <w:rPr>
          <w:rFonts w:ascii="Arial" w:cs="Arial" w:eastAsia="Arial" w:hAnsi="Arial"/>
          <w:sz w:val="15"/>
          <w:szCs w:val="15"/>
          <w:b w:val="1"/>
          <w:bCs w:val="1"/>
          <w:color w:val="auto"/>
        </w:rPr>
        <w:t>Amount or</w:t>
      </w:r>
    </w:p>
    <w:p>
      <w:pPr>
        <w:ind w:left="2940"/>
        <w:spacing w:after="0"/>
        <w:tabs>
          <w:tab w:leader="none" w:pos="3920" w:val="left"/>
          <w:tab w:leader="none" w:pos="656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5"/>
          <w:szCs w:val="15"/>
          <w:b w:val="1"/>
          <w:bCs w:val="1"/>
          <w:color w:val="auto"/>
        </w:rPr>
        <w:t>Number of</w:t>
      </w:r>
    </w:p>
    <w:p>
      <w:pPr>
        <w:ind w:left="2940"/>
        <w:spacing w:after="0"/>
        <w:tabs>
          <w:tab w:leader="none" w:pos="3920" w:val="left"/>
          <w:tab w:leader="none" w:pos="4800" w:val="left"/>
          <w:tab w:leader="none" w:pos="656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258" w:lineRule="exact"/>
        <w:rPr>
          <w:sz w:val="20"/>
          <w:szCs w:val="20"/>
          <w:color w:val="auto"/>
        </w:rPr>
      </w:pPr>
    </w:p>
    <w:p>
      <w:pPr>
        <w:sectPr>
          <w:pgSz w:w="11900" w:h="16838" w:orient="portrait"/>
          <w:cols w:equalWidth="0" w:num="2">
            <w:col w:w="7340" w:space="280"/>
            <w:col w:w="3320"/>
          </w:cols>
          <w:pgMar w:left="480" w:top="230" w:right="479" w:bottom="32" w:gutter="0" w:footer="0" w:header="0"/>
          <w:type w:val="continuous"/>
        </w:sectPr>
      </w:pPr>
    </w:p>
    <w:tbl>
      <w:tblPr>
        <w:tblLayout w:type="fixed"/>
        <w:tblInd w:w="20" w:type="dxa"/>
        <w:tblCellMar>
          <w:top w:w="0" w:type="dxa"/>
          <w:left w:w="0" w:type="dxa"/>
          <w:bottom w:w="0" w:type="dxa"/>
          <w:right w:w="0" w:type="dxa"/>
        </w:tblCellMar>
      </w:tblPr>
      <w:tr>
        <w:trPr>
          <w:trHeight w:val="240"/>
        </w:trPr>
        <w:tc>
          <w:tcPr>
            <w:tcW w:w="2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255,244</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96"/>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7"/>
                <w:szCs w:val="17"/>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201,306</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tcPr>
          <w:p>
            <w:pPr>
              <w:ind w:left="240"/>
              <w:spacing w:after="0" w:line="196" w:lineRule="exact"/>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33"/>
        </w:trPr>
        <w:tc>
          <w:tcPr>
            <w:tcW w:w="2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vMerge w:val="restart"/>
          </w:tcPr>
          <w:p>
            <w:pPr>
              <w:ind w:left="240"/>
              <w:spacing w:after="0" w:line="280" w:lineRule="exact"/>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47"/>
        </w:trPr>
        <w:tc>
          <w:tcPr>
            <w:tcW w:w="2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13"/>
                <w:szCs w:val="13"/>
                <w:color w:val="008000"/>
              </w:rPr>
              <w:t>(4)</w:t>
            </w:r>
          </w:p>
        </w:tc>
        <w:tc>
          <w:tcPr>
            <w:tcW w:w="0" w:type="dxa"/>
            <w:vAlign w:val="bottom"/>
          </w:tcPr>
          <w:p>
            <w:pPr>
              <w:spacing w:after="0"/>
              <w:rPr>
                <w:sz w:val="1"/>
                <w:szCs w:val="1"/>
                <w:color w:val="auto"/>
              </w:rPr>
            </w:pPr>
          </w:p>
        </w:tc>
      </w:tr>
      <w:tr>
        <w:trPr>
          <w:trHeight w:val="92"/>
        </w:trPr>
        <w:tc>
          <w:tcPr>
            <w:tcW w:w="2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2,081,772</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Fund</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V, L.P.</w:t>
            </w:r>
            <w:r>
              <w:rPr>
                <w:rFonts w:ascii="Times New Roman" w:cs="Times New Roman" w:eastAsia="Times New Roman" w:hAnsi="Times New Roman"/>
                <w:sz w:val="25"/>
                <w:szCs w:val="25"/>
                <w:color w:val="008000"/>
                <w:vertAlign w:val="superscript"/>
              </w:rPr>
              <w:t>(5)</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10,408,860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AH Parallel</w:t>
            </w:r>
          </w:p>
        </w:tc>
        <w:tc>
          <w:tcPr>
            <w:tcW w:w="0" w:type="dxa"/>
            <w:vAlign w:val="bottom"/>
          </w:tcPr>
          <w:p>
            <w:pPr>
              <w:spacing w:after="0"/>
              <w:rPr>
                <w:sz w:val="1"/>
                <w:szCs w:val="1"/>
                <w:color w:val="auto"/>
              </w:rPr>
            </w:pPr>
          </w:p>
        </w:tc>
      </w:tr>
      <w:tr>
        <w:trPr>
          <w:trHeight w:val="134"/>
        </w:trPr>
        <w:tc>
          <w:tcPr>
            <w:tcW w:w="2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w w:val="95"/>
              </w:rPr>
              <w:t>Fund V, L.P.</w:t>
            </w:r>
            <w:r>
              <w:rPr>
                <w:rFonts w:ascii="Times New Roman" w:cs="Times New Roman" w:eastAsia="Times New Roman" w:hAnsi="Times New Roman"/>
                <w:sz w:val="25"/>
                <w:szCs w:val="25"/>
                <w:color w:val="008000"/>
                <w:w w:val="95"/>
                <w:vertAlign w:val="superscript"/>
              </w:rPr>
              <w:t>(6)(7)</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vMerge w:val="continue"/>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8"/>
              </w:rPr>
              <w:t>13,878</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vMerge w:val="continue"/>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6,757,090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 L.P.</w:t>
            </w:r>
            <w:r>
              <w:rPr>
                <w:rFonts w:ascii="Times New Roman" w:cs="Times New Roman" w:eastAsia="Times New Roman" w:hAnsi="Times New Roman"/>
                <w:sz w:val="25"/>
                <w:szCs w:val="25"/>
                <w:color w:val="008000"/>
                <w:vertAlign w:val="superscript"/>
              </w:rPr>
              <w:t>(9)</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3,272,830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82"/>
        </w:trPr>
        <w:tc>
          <w:tcPr>
            <w:tcW w:w="276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180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1620" w:type="dxa"/>
            <w:vAlign w:val="bottom"/>
            <w:tcBorders>
              <w:bottom w:val="single" w:sz="8" w:color="808080"/>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7"/>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7"/>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gridSpan w:val="7"/>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gridSpan w:val="5"/>
          </w:tcPr>
          <w:p>
            <w:pPr>
              <w:jc w:val="center"/>
              <w:ind w:right="6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gridSpan w:val="5"/>
          </w:tcPr>
          <w:p>
            <w:pPr>
              <w:ind w:left="2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80" w:type="dxa"/>
            <w:vAlign w:val="bottom"/>
          </w:tcPr>
          <w:p>
            <w:pPr>
              <w:spacing w:after="0"/>
              <w:rPr>
                <w:sz w:val="10"/>
                <w:szCs w:val="10"/>
                <w:color w:val="auto"/>
              </w:rPr>
            </w:pPr>
          </w:p>
        </w:tc>
        <w:tc>
          <w:tcPr>
            <w:tcW w:w="8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777,832</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80" w:type="dxa"/>
            <w:vAlign w:val="bottom"/>
          </w:tcPr>
          <w:p>
            <w:pPr>
              <w:spacing w:after="0"/>
              <w:rPr>
                <w:sz w:val="24"/>
                <w:szCs w:val="24"/>
                <w:color w:val="auto"/>
              </w:rPr>
            </w:pPr>
          </w:p>
        </w:tc>
        <w:tc>
          <w:tcPr>
            <w:tcW w:w="8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3,123</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gridSpan w:val="4"/>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80" w:type="dxa"/>
            <w:vAlign w:val="bottom"/>
          </w:tcPr>
          <w:p>
            <w:pPr>
              <w:spacing w:after="0"/>
              <w:rPr>
                <w:sz w:val="10"/>
                <w:szCs w:val="10"/>
                <w:color w:val="auto"/>
              </w:rPr>
            </w:pPr>
          </w:p>
        </w:tc>
        <w:tc>
          <w:tcPr>
            <w:tcW w:w="8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405,855</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4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7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6"/>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tcBorders>
              <w:bottom w:val="single" w:sz="8" w:color="0000EE"/>
            </w:tcBorders>
            <w:gridSpan w:val="4"/>
          </w:tcPr>
          <w:p>
            <w:pPr>
              <w:spacing w:after="0" w:line="255"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Andreessen Horowitz LSV Fund I, L.P.</w:t>
              </w:r>
            </w:hyperlink>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gridSpan w:val="9"/>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Andreessen Horowitz LSV Fund I-B, L.P.</w:t>
              </w:r>
            </w:hyperlink>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gridSpan w:val="9"/>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Andreessen Horowitz LSV Fund I-Q, L.P.</w:t>
              </w:r>
            </w:hyperlink>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6"/>
              </w:rPr>
              <w:t>C/O ANDREESSEN HOROWITZ</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2865 SAND HILL ROAD, SUITE 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94025</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gridSpan w:val="4"/>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AH Equity Partners LSV I, L.L.C.</w:t>
              </w:r>
            </w:hyperlink>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5"/>
                <w:szCs w:val="15"/>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198" w:right="479" w:bottom="0" w:gutter="0" w:footer="0" w:header="0"/>
        </w:sectPr>
      </w:pPr>
    </w:p>
    <w:p>
      <w:pPr>
        <w:spacing w:after="0" w:line="37" w:lineRule="exact"/>
        <w:rPr>
          <w:sz w:val="20"/>
          <w:szCs w:val="20"/>
          <w:color w:val="auto"/>
        </w:rPr>
      </w:pPr>
    </w:p>
    <w:p>
      <w:pPr>
        <w:ind w:left="140"/>
        <w:spacing w:after="0"/>
        <w:tabs>
          <w:tab w:leader="none" w:pos="2880" w:val="left"/>
        </w:tabs>
        <w:rPr>
          <w:sz w:val="20"/>
          <w:szCs w:val="20"/>
          <w:color w:val="auto"/>
        </w:rPr>
      </w:pPr>
      <w:r>
        <w:rPr>
          <w:rFonts w:ascii="Times New Roman" w:cs="Times New Roman" w:eastAsia="Times New Roman" w:hAnsi="Times New Roman"/>
          <w:sz w:val="20"/>
          <w:szCs w:val="20"/>
          <w:color w:val="0000FF"/>
        </w:rPr>
        <w:t>MENLO PARK  CA</w:t>
      </w:r>
      <w:r>
        <w:rPr>
          <w:sz w:val="20"/>
          <w:szCs w:val="20"/>
          <w:color w:val="auto"/>
        </w:rPr>
        <w:tab/>
      </w:r>
      <w:r>
        <w:rPr>
          <w:rFonts w:ascii="Times New Roman" w:cs="Times New Roman" w:eastAsia="Times New Roman" w:hAnsi="Times New Roman"/>
          <w:sz w:val="18"/>
          <w:szCs w:val="18"/>
          <w:color w:val="0000FF"/>
        </w:rPr>
        <w:t>94025</w:t>
      </w:r>
    </w:p>
    <w:p>
      <w:pPr>
        <w:sectPr>
          <w:pgSz w:w="11900" w:h="16838" w:orient="portrait"/>
          <w:cols w:equalWidth="0" w:num="1">
            <w:col w:w="10940"/>
          </w:cols>
          <w:pgMar w:left="480" w:top="198" w:right="479" w:bottom="0" w:gutter="0" w:footer="0" w:header="0"/>
          <w:type w:val="continuous"/>
        </w:sectPr>
      </w:pPr>
    </w:p>
    <w:bookmarkStart w:id="2" w:name="page3"/>
    <w:bookmarkEnd w:id="2"/>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Andreessen Horowitz LSV Fund II, 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Andreessen Horowitz LSV Fund II-B,</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Andreessen Horowitz LSV Fund II-Q,</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7"/>
              </w:rPr>
              <w:t>C/O ANDREESSEN HOROWITZ</w:t>
            </w:r>
          </w:p>
        </w:tc>
        <w:tc>
          <w:tcPr>
            <w:tcW w:w="13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2865 SAND HILL ROAD, SUITE 101</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03"/>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AH Equity Partners LSV II,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78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94025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900" w:type="dxa"/>
            <w:vAlign w:val="bottom"/>
            <w:gridSpan w:val="2"/>
          </w:tcPr>
          <w:p>
            <w:pPr>
              <w:ind w:left="4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gridSpan w:val="3"/>
          </w:tcPr>
          <w:p>
            <w:pPr>
              <w:spacing w:after="0" w:line="255" w:lineRule="exact"/>
              <w:rPr>
                <w:rFonts w:ascii="Times New Roman" w:cs="Times New Roman" w:eastAsia="Times New Roman" w:hAnsi="Times New Roman"/>
                <w:sz w:val="24"/>
                <w:szCs w:val="24"/>
                <w:color w:val="0000EE"/>
              </w:rPr>
            </w:pPr>
            <w:hyperlink r:id="rId22">
              <w:r>
                <w:rPr>
                  <w:rFonts w:ascii="Times New Roman" w:cs="Times New Roman" w:eastAsia="Times New Roman" w:hAnsi="Times New Roman"/>
                  <w:sz w:val="24"/>
                  <w:szCs w:val="24"/>
                  <w:color w:val="0000EE"/>
                </w:rPr>
                <w:t>Andreessen Marc L</w:t>
              </w:r>
            </w:hyperlink>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900" w:type="dxa"/>
            <w:vAlign w:val="bottom"/>
            <w:gridSpan w:val="2"/>
          </w:tcPr>
          <w:p>
            <w:pPr>
              <w:ind w:left="44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ANDREESSEN HOROWITZ</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2865 SAND HILL ROAD, SUITE 101</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7"/>
                <w:szCs w:val="17"/>
                <w:color w:val="auto"/>
              </w:rPr>
            </w:pPr>
          </w:p>
        </w:tc>
      </w:tr>
      <w:tr>
        <w:trPr>
          <w:trHeight w:val="265"/>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 PARK  CA</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94025</w:t>
            </w:r>
          </w:p>
        </w:tc>
      </w:tr>
    </w:tbl>
    <w:p>
      <w:pPr>
        <w:sectPr>
          <w:pgSz w:w="11900" w:h="16838" w:orient="portrait"/>
          <w:cols w:equalWidth="0" w:num="1">
            <w:col w:w="9959"/>
          </w:cols>
          <w:pgMar w:left="500" w:top="170" w:right="1440" w:bottom="79" w:gutter="0" w:footer="0" w:header="0"/>
        </w:sectPr>
      </w:pPr>
    </w:p>
    <w:bookmarkStart w:id="3" w:name="page4"/>
    <w:bookmarkEnd w:id="3"/>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-99695</wp:posOffset>
            </wp:positionV>
            <wp:extent cx="2798445" cy="203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798445" cy="20320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8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32" w:lineRule="exact"/>
        <w:rPr>
          <w:rFonts w:ascii="Times New Roman" w:cs="Times New Roman" w:eastAsia="Times New Roman" w:hAnsi="Times New Roman"/>
          <w:sz w:val="15"/>
          <w:szCs w:val="15"/>
          <w:color w:val="008000"/>
        </w:rPr>
      </w:pPr>
    </w:p>
    <w:p>
      <w:pPr>
        <w:ind w:right="28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Seed, Series A, Series C,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Seed, Series A, Series C, Series D, Series E, Series F and Series G-1 Preferred Stock will be converted into shares of Class A Common Stock of the Issuer.</w:t>
      </w:r>
    </w:p>
    <w:p>
      <w:pPr>
        <w:spacing w:after="0" w:line="29" w:lineRule="exact"/>
        <w:rPr>
          <w:rFonts w:ascii="Times New Roman" w:cs="Times New Roman" w:eastAsia="Times New Roman" w:hAnsi="Times New Roman"/>
          <w:sz w:val="15"/>
          <w:szCs w:val="15"/>
          <w:color w:val="008000"/>
        </w:rPr>
      </w:pPr>
    </w:p>
    <w:p>
      <w:pPr>
        <w:jc w:val="both"/>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III, L.P. ("AH LSV Fund III"), for itself and as nominee for Andreessen Horowitz LSV Fund III-B, L.P., AH 2022 Annual Fund, L.P., AH 2022 Annual Fund-B, L.P.,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9" w:lineRule="exact"/>
        <w:rPr>
          <w:rFonts w:ascii="Times New Roman" w:cs="Times New Roman" w:eastAsia="Times New Roman" w:hAnsi="Times New Roman"/>
          <w:sz w:val="15"/>
          <w:szCs w:val="15"/>
          <w:color w:val="008000"/>
        </w:rPr>
      </w:pPr>
    </w:p>
    <w:p>
      <w:pPr>
        <w:ind w:right="10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33" w:lineRule="exact"/>
        <w:rPr>
          <w:rFonts w:ascii="Times New Roman" w:cs="Times New Roman" w:eastAsia="Times New Roman" w:hAnsi="Times New Roman"/>
          <w:sz w:val="15"/>
          <w:szCs w:val="15"/>
          <w:color w:val="008000"/>
        </w:rPr>
      </w:pPr>
    </w:p>
    <w:p>
      <w:pPr>
        <w:ind w:right="6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32"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managing members of AH EP V Parallel and may be deemed to have shared voting and dispositive power over the shares held by the AH Parallel Fund V Entities.</w:t>
      </w:r>
    </w:p>
    <w:p>
      <w:pPr>
        <w:spacing w:after="0" w:line="33" w:lineRule="exact"/>
        <w:rPr>
          <w:rFonts w:ascii="Times New Roman" w:cs="Times New Roman" w:eastAsia="Times New Roman" w:hAnsi="Times New Roman"/>
          <w:sz w:val="15"/>
          <w:szCs w:val="15"/>
          <w:color w:val="008000"/>
        </w:rPr>
      </w:pPr>
    </w:p>
    <w:p>
      <w:pPr>
        <w:ind w:right="1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6)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29" w:lineRule="exact"/>
        <w:rPr>
          <w:rFonts w:ascii="Times New Roman" w:cs="Times New Roman" w:eastAsia="Times New Roman" w:hAnsi="Times New Roman"/>
          <w:sz w:val="15"/>
          <w:szCs w:val="15"/>
          <w:color w:val="008000"/>
        </w:rPr>
      </w:pPr>
    </w:p>
    <w:p>
      <w:pPr>
        <w:jc w:val="both"/>
        <w:ind w:right="2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33" w:lineRule="exact"/>
        <w:rPr>
          <w:rFonts w:ascii="Times New Roman" w:cs="Times New Roman" w:eastAsia="Times New Roman" w:hAnsi="Times New Roman"/>
          <w:sz w:val="15"/>
          <w:szCs w:val="15"/>
          <w:color w:val="008000"/>
        </w:rPr>
      </w:pPr>
    </w:p>
    <w:p>
      <w:pPr>
        <w:ind w:right="10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5"/>
          <w:szCs w:val="15"/>
          <w:color w:val="008000"/>
        </w:rPr>
        <w:t>This Form 3 is the first of three Forms 3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3 has been split into three filings because there are more than 10 reporting persons in total, and the SEC's EDGAR filing system limits a single Form 3 to a maximum of 10 reporting persons.</w:t>
      </w:r>
    </w:p>
    <w:p>
      <w:pPr>
        <w:sectPr>
          <w:pgSz w:w="11900" w:h="16838" w:orient="portrait"/>
          <w:cols w:equalWidth="0" w:num="1">
            <w:col w:w="10860"/>
          </w:cols>
          <w:pgMar w:left="520" w:top="126" w:right="519" w:bottom="0" w:gutter="0" w:footer="0" w:header="0"/>
        </w:sectPr>
      </w:pPr>
    </w:p>
    <w:p>
      <w:pPr>
        <w:spacing w:after="0" w:line="6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82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998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204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22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I-Q,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903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290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AH 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556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186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11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II,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949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394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665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8660" w:space="60"/>
            <w:col w:w="2140"/>
          </w:cols>
          <w:pgMar w:left="520" w:top="126" w:right="51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 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95580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860"/>
          </w:cols>
          <w:pgMar w:left="520" w:top="126"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20"/>
          <w:szCs w:val="20"/>
          <w:color w:val="0000FF"/>
        </w:rPr>
        <w:t>Fund II-B,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6332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633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665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4175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II-Q,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030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70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665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001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50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950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79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745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AH Equity Partners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II, L.L.C.,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64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12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831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138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8660" w:space="6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Phil Hathaway,</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Marc  10/29/2025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L. Andreessen</w:t>
            </w:r>
          </w:p>
        </w:tc>
        <w:tc>
          <w:tcPr>
            <w:tcW w:w="920" w:type="dxa"/>
            <w:vAlign w:val="bottom"/>
            <w:tcBorders>
              <w:top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individual (the “</w:t>
      </w:r>
      <w:r>
        <w:rPr>
          <w:rFonts w:ascii="Times New Roman" w:cs="Times New Roman" w:eastAsia="Times New Roman" w:hAnsi="Times New Roman"/>
          <w:sz w:val="22"/>
          <w:szCs w:val="22"/>
          <w:b w:val="1"/>
          <w:bCs w:val="1"/>
          <w:i w:val="1"/>
          <w:iCs w:val="1"/>
          <w:color w:val="auto"/>
        </w:rPr>
        <w:t>Reporting Person</w:t>
      </w:r>
      <w:r>
        <w:rPr>
          <w:rFonts w:ascii="Times New Roman" w:cs="Times New Roman" w:eastAsia="Times New Roman" w:hAnsi="Times New Roman"/>
          <w:sz w:val="22"/>
          <w:szCs w:val="22"/>
          <w:color w:val="auto"/>
        </w:rPr>
        <w:t>”) hereby authorizes and designates each entity affiliated with AH Capital Management, L.L.C., or such other person or entity as is designated in writing by Marc Andreessen (the “</w:t>
      </w:r>
      <w:r>
        <w:rPr>
          <w:rFonts w:ascii="Times New Roman" w:cs="Times New Roman" w:eastAsia="Times New Roman" w:hAnsi="Times New Roman"/>
          <w:sz w:val="22"/>
          <w:szCs w:val="22"/>
          <w:b w:val="1"/>
          <w:bCs w:val="1"/>
          <w:i w:val="1"/>
          <w:iCs w:val="1"/>
          <w:color w:val="auto"/>
        </w:rPr>
        <w:t>Designated Filer</w:t>
      </w:r>
      <w:r>
        <w:rPr>
          <w:rFonts w:ascii="Times New Roman" w:cs="Times New Roman" w:eastAsia="Times New Roman" w:hAnsi="Times New Roman"/>
          <w:sz w:val="22"/>
          <w:szCs w:val="22"/>
          <w:color w:val="auto"/>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and the Securities Exchange Act of 1934, as amended (together with the implementing regulations thereto,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i w:val="1"/>
          <w:iCs w:val="1"/>
          <w:color w:val="auto"/>
        </w:rPr>
        <w:t>Reports</w:t>
      </w:r>
      <w:r>
        <w:rPr>
          <w:rFonts w:ascii="Times New Roman" w:cs="Times New Roman" w:eastAsia="Times New Roman" w:hAnsi="Times New Roman"/>
          <w:sz w:val="22"/>
          <w:szCs w:val="22"/>
          <w:color w:val="auto"/>
        </w:rPr>
        <w:t>”) with respect to the Reporting Person’s ownership of, or transactions in, securities of any entity whose securities are beneficially owned (directly or indirectly) by the Reporting Person (collectively, the “</w:t>
      </w:r>
      <w:r>
        <w:rPr>
          <w:rFonts w:ascii="Times New Roman" w:cs="Times New Roman" w:eastAsia="Times New Roman" w:hAnsi="Times New Roman"/>
          <w:sz w:val="22"/>
          <w:szCs w:val="22"/>
          <w:b w:val="1"/>
          <w:bCs w:val="1"/>
          <w:i w:val="1"/>
          <w:iCs w:val="1"/>
          <w:color w:val="auto"/>
        </w:rPr>
        <w:t>Companies</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2"/>
          <w:szCs w:val="22"/>
          <w:color w:val="auto"/>
        </w:rPr>
        <w:t>The Reporting Person hereby further authorizes and designates Phil Hathaway (the “</w:t>
      </w:r>
      <w:r>
        <w:rPr>
          <w:rFonts w:ascii="Times New Roman" w:cs="Times New Roman" w:eastAsia="Times New Roman" w:hAnsi="Times New Roman"/>
          <w:sz w:val="22"/>
          <w:szCs w:val="22"/>
          <w:b w:val="1"/>
          <w:bCs w:val="1"/>
          <w:i w:val="1"/>
          <w:iCs w:val="1"/>
          <w:color w:val="auto"/>
        </w:rPr>
        <w:t>Authorized Signatory</w:t>
      </w:r>
      <w:r>
        <w:rPr>
          <w:rFonts w:ascii="Times New Roman" w:cs="Times New Roman" w:eastAsia="Times New Roman" w:hAnsi="Times New Roman"/>
          <w:sz w:val="22"/>
          <w:szCs w:val="22"/>
          <w:color w:val="auto"/>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spacing w:after="0" w:line="22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8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June 23, 2023</w:t>
            </w:r>
          </w:p>
        </w:tc>
        <w:tc>
          <w:tcPr>
            <w:tcW w:w="2820" w:type="dxa"/>
            <w:vAlign w:val="bottom"/>
          </w:tcPr>
          <w:p>
            <w:pPr>
              <w:ind w:left="1980"/>
              <w:spacing w:after="0"/>
              <w:rPr>
                <w:sz w:val="20"/>
                <w:szCs w:val="20"/>
                <w:color w:val="auto"/>
              </w:rPr>
            </w:pPr>
            <w:r>
              <w:rPr>
                <w:rFonts w:ascii="Times New Roman" w:cs="Times New Roman" w:eastAsia="Times New Roman" w:hAnsi="Times New Roman"/>
                <w:sz w:val="22"/>
                <w:szCs w:val="22"/>
                <w:color w:val="auto"/>
              </w:rPr>
              <w:t>By:</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Marc Andreessen</w:t>
            </w:r>
          </w:p>
        </w:tc>
      </w:tr>
      <w:tr>
        <w:trPr>
          <w:trHeight w:val="281"/>
        </w:trPr>
        <w:tc>
          <w:tcPr>
            <w:tcW w:w="3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Marc Andreessen</w:t>
            </w: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7"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10" Type="http://schemas.openxmlformats.org/officeDocument/2006/relationships/hyperlink" Target="http://www.sec.gov/cgi-bin/browse-edgar?action=getcompany&amp;CIK=0001772284" TargetMode="External"/><Relationship Id="rId11" Type="http://schemas.openxmlformats.org/officeDocument/2006/relationships/hyperlink" Target="http://www.sec.gov/cgi-bin/browse-edgar?action=getcompany&amp;CIK=0001639723" TargetMode="External"/><Relationship Id="rId14" Type="http://schemas.openxmlformats.org/officeDocument/2006/relationships/hyperlink" Target="http://www.sec.gov/cgi-bin/browse-edgar?action=getcompany&amp;CIK=0001772420" TargetMode="External"/><Relationship Id="rId15" Type="http://schemas.openxmlformats.org/officeDocument/2006/relationships/hyperlink" Target="http://www.sec.gov/cgi-bin/browse-edgar?action=getcompany&amp;CIK=0001772407" TargetMode="External"/><Relationship Id="rId16" Type="http://schemas.openxmlformats.org/officeDocument/2006/relationships/hyperlink" Target="http://www.sec.gov/cgi-bin/browse-edgar?action=getcompany&amp;CIK=0001772287" TargetMode="External"/><Relationship Id="rId18" Type="http://schemas.openxmlformats.org/officeDocument/2006/relationships/hyperlink" Target="http://www.sec.gov/cgi-bin/browse-edgar?action=getcompany&amp;CIK=0001829357" TargetMode="External"/><Relationship Id="rId19" Type="http://schemas.openxmlformats.org/officeDocument/2006/relationships/hyperlink" Target="http://www.sec.gov/cgi-bin/browse-edgar?action=getcompany&amp;CIK=0001829459" TargetMode="External"/><Relationship Id="rId20" Type="http://schemas.openxmlformats.org/officeDocument/2006/relationships/hyperlink" Target="http://www.sec.gov/cgi-bin/browse-edgar?action=getcompany&amp;CIK=0001829458" TargetMode="External"/><Relationship Id="rId21" Type="http://schemas.openxmlformats.org/officeDocument/2006/relationships/hyperlink" Target="http://www.sec.gov/cgi-bin/browse-edgar?action=getcompany&amp;CIK=0001829384" TargetMode="External"/><Relationship Id="rId22" Type="http://schemas.openxmlformats.org/officeDocument/2006/relationships/hyperlink" Target="http://www.sec.gov/cgi-bin/browse-edgar?action=getcompany&amp;CIK=0001160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2025-10-29T20:54:28Z</dcterms:created>
  <dcterms:modified xsi:type="dcterms:W3CDTF">2025-10-29T20:54:28Z</dcterms:modified>
</cp:coreProperties>
</file>