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Sindicich Michael Eric</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NAVAN,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3045 PARK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Navan,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NAVN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06/22/2026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1265"/>
        <w:spacing w:after="0"/>
        <w:rPr>
          <w:sz w:val="20"/>
          <w:szCs w:val="20"/>
          <w:color w:val="auto"/>
        </w:rPr>
      </w:pPr>
      <w:r>
        <w:rPr>
          <w:rFonts w:ascii="Times New Roman" w:cs="Times New Roman" w:eastAsia="Times New Roman" w:hAnsi="Times New Roman"/>
          <w:sz w:val="17"/>
          <w:szCs w:val="17"/>
          <w:color w:val="0000FF"/>
        </w:rPr>
        <w:t>President</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80" w:type="dxa"/>
            <w:vAlign w:val="bottom"/>
            <w:gridSpan w:val="7"/>
          </w:tcPr>
          <w:p>
            <w:pPr>
              <w:ind w:left="100"/>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9"/>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gridSpan w:val="3"/>
          </w:tcPr>
          <w:p>
            <w:pPr>
              <w:ind w:left="440"/>
              <w:spacing w:after="0"/>
              <w:rPr>
                <w:sz w:val="20"/>
                <w:szCs w:val="20"/>
                <w:color w:val="auto"/>
              </w:rPr>
            </w:pPr>
            <w:r>
              <w:rPr>
                <w:rFonts w:ascii="Arial" w:cs="Arial" w:eastAsia="Arial" w:hAnsi="Arial"/>
                <w:sz w:val="13"/>
                <w:szCs w:val="13"/>
                <w:color w:val="auto"/>
              </w:rPr>
              <w:t>Line)</w:t>
            </w: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84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920" w:type="dxa"/>
            <w:vAlign w:val="bottom"/>
            <w:gridSpan w:val="6"/>
            <w:vMerge w:val="restart"/>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PALO ALTO</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94306</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92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920" w:type="dxa"/>
            <w:vAlign w:val="bottom"/>
            <w:gridSpan w:val="6"/>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84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92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840" w:type="dxa"/>
            <w:vAlign w:val="bottom"/>
          </w:tcPr>
          <w:p>
            <w:pPr>
              <w:spacing w:after="0"/>
              <w:rPr>
                <w:sz w:val="6"/>
                <w:szCs w:val="6"/>
                <w:color w:val="auto"/>
              </w:rPr>
            </w:pPr>
          </w:p>
        </w:tc>
        <w:tc>
          <w:tcPr>
            <w:tcW w:w="50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400" w:type="dxa"/>
            <w:vAlign w:val="bottom"/>
            <w:gridSpan w:val="3"/>
            <w:vMerge w:val="restart"/>
          </w:tcPr>
          <w:p>
            <w:pPr>
              <w:ind w:left="140"/>
              <w:spacing w:after="0"/>
              <w:rPr>
                <w:sz w:val="20"/>
                <w:szCs w:val="20"/>
                <w:color w:val="auto"/>
              </w:rPr>
            </w:pPr>
            <w:r>
              <w:rPr>
                <w:rFonts w:ascii="Arial" w:cs="Arial" w:eastAsia="Arial" w:hAnsi="Arial"/>
                <w:sz w:val="13"/>
                <w:szCs w:val="13"/>
                <w:color w:val="auto"/>
              </w:rPr>
              <w:t>(Zip)</w:t>
            </w: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84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400" w:type="dxa"/>
            <w:vAlign w:val="bottom"/>
            <w:gridSpan w:val="3"/>
            <w:vMerge w:val="continue"/>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380" w:type="dxa"/>
            <w:vAlign w:val="bottom"/>
            <w:tcBorders>
              <w:bottom w:val="single" w:sz="8" w:color="2C2C2C"/>
            </w:tcBorders>
            <w:gridSpan w:val="3"/>
          </w:tcPr>
          <w:p>
            <w:pPr>
              <w:spacing w:after="0"/>
              <w:rPr>
                <w:sz w:val="10"/>
                <w:szCs w:val="10"/>
                <w:color w:val="auto"/>
              </w:rPr>
            </w:pPr>
          </w:p>
        </w:tc>
        <w:tc>
          <w:tcPr>
            <w:tcW w:w="2700" w:type="dxa"/>
            <w:vAlign w:val="bottom"/>
            <w:tcBorders>
              <w:bottom w:val="single" w:sz="8" w:color="2C2C2C"/>
            </w:tcBorders>
            <w:gridSpan w:val="6"/>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6"/>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90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00" w:type="dxa"/>
            <w:vAlign w:val="bottom"/>
            <w:gridSpan w:val="3"/>
          </w:tcPr>
          <w:p>
            <w:pPr>
              <w:ind w:left="58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6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5"/>
                <w:szCs w:val="15"/>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0" w:type="dxa"/>
            <w:vAlign w:val="bottom"/>
            <w:gridSpan w:val="3"/>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180" w:type="dxa"/>
            <w:vAlign w:val="bottom"/>
            <w:gridSpan w:val="4"/>
          </w:tcPr>
          <w:p>
            <w:pPr>
              <w:ind w:left="5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180" w:type="dxa"/>
            <w:vAlign w:val="bottom"/>
            <w:tcBorders>
              <w:bottom w:val="single" w:sz="8" w:color="2C2C2C"/>
            </w:tcBorders>
            <w:gridSpan w:val="4"/>
          </w:tcPr>
          <w:p>
            <w:pPr>
              <w:ind w:left="680"/>
              <w:spacing w:after="0"/>
              <w:rPr>
                <w:sz w:val="20"/>
                <w:szCs w:val="20"/>
                <w:color w:val="auto"/>
              </w:rPr>
            </w:pPr>
            <w:r>
              <w:rPr>
                <w:rFonts w:ascii="Times New Roman" w:cs="Times New Roman" w:eastAsia="Times New Roman" w:hAnsi="Times New Roman"/>
                <w:sz w:val="17"/>
                <w:szCs w:val="17"/>
                <w:color w:val="0000FF"/>
              </w:rPr>
              <w:t>06/22/2026</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2,176</w:t>
            </w:r>
          </w:p>
        </w:tc>
        <w:tc>
          <w:tcPr>
            <w:tcW w:w="5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21.0604</w:t>
            </w:r>
            <w:r>
              <w:rPr>
                <w:rFonts w:ascii="Times New Roman" w:cs="Times New Roman" w:eastAsia="Times New Roman" w:hAnsi="Times New Roman"/>
                <w:sz w:val="22"/>
                <w:szCs w:val="22"/>
                <w:color w:val="008000"/>
                <w:vertAlign w:val="superscript"/>
              </w:rPr>
              <w:t>(2)</w:t>
            </w:r>
          </w:p>
        </w:tc>
        <w:tc>
          <w:tcPr>
            <w:tcW w:w="118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548,318</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142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60" w:type="dxa"/>
            <w:vAlign w:val="bottom"/>
          </w:tcPr>
          <w:p>
            <w:pPr>
              <w:spacing w:after="0"/>
              <w:rPr>
                <w:sz w:val="14"/>
                <w:szCs w:val="14"/>
                <w:color w:val="auto"/>
              </w:rPr>
            </w:pP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required to be sold by the Reporting Person to cover tax withholding obligations in connection with the vesting of restricted stock units (RSUs). The sale satisfies the tax withholding obligations to be funded by a mandatory "sell to cover" transaction and does not represent a discretionary trade by the Reporting Person.</w:t>
      </w:r>
    </w:p>
    <w:p>
      <w:pPr>
        <w:spacing w:after="0" w:line="7" w:lineRule="exact"/>
        <w:rPr>
          <w:rFonts w:ascii="Times New Roman" w:cs="Times New Roman" w:eastAsia="Times New Roman" w:hAnsi="Times New Roman"/>
          <w:sz w:val="13"/>
          <w:szCs w:val="13"/>
          <w:color w:val="008000"/>
        </w:rPr>
      </w:pPr>
    </w:p>
    <w:p>
      <w:pPr>
        <w:jc w:val="both"/>
        <w:ind w:left="40" w:right="4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$21.04 to $21.64, inclusive. 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280" w:firstLine="7"/>
        <w:spacing w:after="0" w:line="256"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(i) 1,243 shares acquired under the Navan, Inc. 2025 Employee Stock Purchase Plan on June 15, 2026 and (ii) 350,538 RSUs, each of which represents a contingent right to receive one share of Issuer's Class A Common Stock upon vesting.</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/s/ Howard Baik, Attorney-in-  </w:t>
      </w:r>
      <w:r>
        <w:rPr>
          <w:rFonts w:ascii="Times New Roman" w:cs="Times New Roman" w:eastAsia="Times New Roman" w:hAnsi="Times New Roman"/>
          <w:sz w:val="33"/>
          <w:szCs w:val="33"/>
          <w:color w:val="0000FF"/>
          <w:vertAlign w:val="subscript"/>
        </w:rPr>
        <w:t>06/23/2026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258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085077" TargetMode="External"/><Relationship Id="rId14" Type="http://schemas.openxmlformats.org/officeDocument/2006/relationships/hyperlink" Target="http://www.sec.gov/cgi-bin/browse-edgar?action=getcompany&amp;CIK=00016397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2026-06-23T17:11:43Z</dcterms:created>
  <dcterms:modified xsi:type="dcterms:W3CDTF">2026-06-23T17:11:43Z</dcterms:modified>
</cp:coreProperties>
</file>