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NAVAN,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001-42922</w:t>
            </w:r>
          </w:p>
        </w:tc>
        <w:tc>
          <w:tcPr>
            <w:tcW w:w="17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47-3424780</w:t>
            </w:r>
          </w:p>
        </w:tc>
      </w:tr>
      <w:tr>
        <w:trPr>
          <w:trHeight w:val="178"/>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2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3045 Park Boulevard</w:t>
            </w:r>
          </w:p>
        </w:tc>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4"/>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Palo Alto, California</w:t>
            </w:r>
          </w:p>
        </w:tc>
        <w:tc>
          <w:tcPr>
            <w:tcW w:w="4920" w:type="dxa"/>
            <w:vAlign w:val="bottom"/>
          </w:tcPr>
          <w:p>
            <w:pPr>
              <w:spacing w:after="0"/>
              <w:rPr>
                <w:sz w:val="22"/>
                <w:szCs w:val="22"/>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20" w:type="dxa"/>
            <w:vAlign w:val="bottom"/>
          </w:tcPr>
          <w:p>
            <w:pPr>
              <w:spacing w:after="0"/>
              <w:rPr>
                <w:sz w:val="16"/>
                <w:szCs w:val="16"/>
                <w:color w:val="auto"/>
              </w:rPr>
            </w:pPr>
          </w:p>
        </w:tc>
        <w:tc>
          <w:tcPr>
            <w:tcW w:w="1700" w:type="dxa"/>
            <w:vAlign w:val="bottom"/>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2720" w:type="dxa"/>
            <w:vAlign w:val="bottom"/>
          </w:tcPr>
          <w:p>
            <w:pPr>
              <w:spacing w:after="0"/>
              <w:rPr>
                <w:sz w:val="24"/>
                <w:szCs w:val="24"/>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(888) 505-8747</w:t>
            </w:r>
          </w:p>
        </w:tc>
        <w:tc>
          <w:tcPr>
            <w:tcW w:w="1700" w:type="dxa"/>
            <w:vAlign w:val="bottom"/>
          </w:tcPr>
          <w:p>
            <w:pPr>
              <w:spacing w:after="0"/>
              <w:rPr>
                <w:sz w:val="24"/>
                <w:szCs w:val="24"/>
                <w:color w:val="auto"/>
              </w:rPr>
            </w:pPr>
          </w:p>
        </w:tc>
      </w:tr>
      <w:tr>
        <w:trPr>
          <w:trHeight w:val="190"/>
        </w:trPr>
        <w:tc>
          <w:tcPr>
            <w:tcW w:w="2720" w:type="dxa"/>
            <w:vAlign w:val="bottom"/>
          </w:tcPr>
          <w:p>
            <w:pPr>
              <w:spacing w:after="0"/>
              <w:rPr>
                <w:sz w:val="16"/>
                <w:szCs w:val="16"/>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36"/>
        </w:trPr>
        <w:tc>
          <w:tcPr>
            <w:tcW w:w="2720" w:type="dxa"/>
            <w:vAlign w:val="bottom"/>
          </w:tcPr>
          <w:p>
            <w:pPr>
              <w:spacing w:after="0"/>
              <w:rPr>
                <w:sz w:val="24"/>
                <w:szCs w:val="24"/>
                <w:color w:val="auto"/>
              </w:rPr>
            </w:pPr>
          </w:p>
        </w:tc>
        <w:tc>
          <w:tcPr>
            <w:tcW w:w="49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720" w:type="dxa"/>
            <w:vAlign w:val="bottom"/>
          </w:tcPr>
          <w:p>
            <w:pPr>
              <w:spacing w:after="0"/>
              <w:rPr>
                <w:sz w:val="16"/>
                <w:szCs w:val="16"/>
                <w:color w:val="auto"/>
              </w:rPr>
            </w:pPr>
          </w:p>
        </w:tc>
        <w:tc>
          <w:tcPr>
            <w:tcW w:w="49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69"/>
        </w:trPr>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Class A Common Stock, $0.00000625 par</w:t>
            </w:r>
          </w:p>
        </w:tc>
        <w:tc>
          <w:tcPr>
            <w:tcW w:w="120" w:type="dxa"/>
            <w:vAlign w:val="bottom"/>
          </w:tcPr>
          <w:p>
            <w:pPr>
              <w:spacing w:after="0"/>
              <w:rPr>
                <w:sz w:val="14"/>
                <w:szCs w:val="14"/>
                <w:color w:val="auto"/>
              </w:rPr>
            </w:pPr>
          </w:p>
        </w:tc>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NAVN</w:t>
            </w:r>
          </w:p>
        </w:tc>
        <w:tc>
          <w:tcPr>
            <w:tcW w:w="120" w:type="dxa"/>
            <w:vAlign w:val="bottom"/>
          </w:tcPr>
          <w:p>
            <w:pPr>
              <w:spacing w:after="0"/>
              <w:rPr>
                <w:sz w:val="14"/>
                <w:szCs w:val="14"/>
                <w:color w:val="auto"/>
              </w:rPr>
            </w:pPr>
          </w:p>
        </w:tc>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29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15, 2025, Navan, Inc. (the “Company”) issued a press release announcing financial results for the fiscal quarter ended October 31, 2025 and other business highlights. A copy of the press release is being furnished as Exhibit 99.1 to this Current Report on Form 8-K and is incorporated herein by reference.</w:t>
      </w:r>
    </w:p>
    <w:p>
      <w:pPr>
        <w:spacing w:after="0" w:line="20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incorporated by specific reference in such a filing.</w:t>
      </w:r>
    </w:p>
    <w:p>
      <w:pPr>
        <w:spacing w:after="0" w:line="200" w:lineRule="exact"/>
        <w:rPr>
          <w:sz w:val="20"/>
          <w:szCs w:val="20"/>
          <w:color w:val="auto"/>
        </w:rPr>
      </w:pPr>
    </w:p>
    <w:p>
      <w:pPr>
        <w:spacing w:after="0" w:line="24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Effective January 9, 2026, Amy Butte will depart as Chief Financial Officer of the Company, and Anne Giviskos, the Company’s Senior Vice President, Strategic Finance and Chief Accounting Officer, will serve as the Company’s Interim Chief Financial Officer while the Company conducts its search for a full-time Chief Financial Officer. Ms. Butte’s departure was not the result of any disagreement with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Departure</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Ms. Butte’s departure, the Company and Ms. Butte entered into a transition agreement (the “Butte Agreement”) pursuant to which Ms. Butte will step down as Chief Financial Officer on January 9, 2026 (the “Transition Date”) and remain at the Company as an advisor through the earlier of the appointment of a full-time Chief Financial Officer and May 1, 2026 (such earlier date, the “Separation Date”). In exchange, the Company will provide certain benefits to Ms. Butte, including: (i) accelerated vesting of 100% of the unvested portion of outstanding restricted stock units and stock options held by Ms. Butte on the Separation Date, six months’ base salary, continued benefits for six months, the prorated portion of Ms. Butte’s target annual bonus amount for the fiscal year ended January 31, 2027, and an extension of the post-termination exercise period for Ms. Butte’s outstanding stock option through such stock option’s expiration date, in each case so long as Ms. Butte has not been terminated for cause or resigned without good reason prior to the Separation Date, (ii) eligibility to receive a new stock option grant to be made in the first quarter of fiscal 2027, subject to Ms. Butte’s continued service through such date and certain other conditions, in an amount to be determined by the Company’s board of directors, and (iii) a one-time cash payment of $3,700,000, less applicable tax deductions and withholding, plus a tax gross-up for a portion of such payment. The foregoing description of the Butte Agreement is qualified in its entirety by reference to the Butte Agreement, a copy of which will be filed as an exhibit to the Company’s Annual Report on Form 10-K for the fiscal year ending January 31,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Financial Officer Appointment</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Prior to her appointment as Interim Chief Financial Officer, Ms. Giviskos, age 53, served as the Company’s Senior Vice President, Strategic Finance and Chief Accounting Officer since June 2024. Ms. Giviskos previously served in multiple senior roles at Euronext, including as Chief Risk and Compliance Officer from May 2014 to September 2023. Ms. Giviskos served in multiple senior finance roles at New York Stock Exchange from September 2004 to April 2014. Ms. Giviskos also served as a member of the board of directors of Borsa Italiana from May 2021 to September 2023 and Nord Pool AS from May 2022 to September 2023. Ms. Giviskos holds a B.A. from the University of Michigan.</w:t>
      </w:r>
    </w:p>
    <w:p>
      <w:pPr>
        <w:spacing w:after="0" w:line="210"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 Company entered into a new confirmatory offer letter (the “Giviskos Offer Letter”), change in control and severance agreement, and retention agreement (the “Giviskos Retention Agreement”) with Ms. Giviskos in connection with her appointment as Interim Chief Financial Officer. Such agreements are collectively referred to in this report as the Giviskos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Giviskos Offer Letter, commencing on the Transition Date, Ms. Giviskos will receive, among other things: (i) an annual base salary of $500,000, and (ii) an annual incentive bonus under the Company’s Cash Incentive Bonus Plan, subject to the achievement of performance goals as determined from time to time by the compensation committee of the Company’s board of directors, which bonus opportunity will be for up to $250,000 for the fiscal year ending January 31, 2027 (the “Target Bonus Amount”).</w:t>
      </w:r>
    </w:p>
    <w:p>
      <w:pPr>
        <w:spacing w:after="0" w:line="20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the Giviskos Retention Agreement, Ms. Giviskos has agreed to serve as the Company’s Interim Chief Financial Officer commencing on the Transition Date and ending upon the earlier of the appointment of a full-time Chief Financial Officer and June 30, 2026 (such earlier date, the “Retention Date”). The Giviskos Retention Agreement also provides for, among other things: (i) a one-time cash payment to Ms. Giviskos of $1,500,000 on the Retention Date, less applicable tax deductions and withholding (the “Retention Bonus”), (ii) an annual bonus with a target amount of no less than the Target Bonus Amount for the fiscal year ending January 31, 2027, prorated for any partial service during such fiscal year, (iv) eligibility to receive a new equity award to be made in the first quarter of fiscal 2027, subject to Ms. Giviskos’ continued service through such date and certain other conditions, in an amount to be determined by the Company’s board of directors, and (v) accelerated vesting of 100% of the unvested portion of the equity awards held by Ms. Giviskos as of the Retention Date, subject to her continued employment at such time. Under the Retention Agreement, if Ms. Giviskos is terminated without cause or resigns for good reason prior to the Retention Date, she is entitled to receive the Retention Bonus, the prorated portion of her annual base salary, and accelerated vesting of 100% of the unvested portion of her outstanding equity awards.</w:t>
      </w:r>
    </w:p>
    <w:p>
      <w:pPr>
        <w:spacing w:after="0" w:line="2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Ms. Giviskos has also entered into a change in control and severance agreement in the form attached as Exhibit 10.8 to the Company’s Registration Statement on Form S-1, filed with the SEC on October 10, 2025 (File No. 333-290396).</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Giviskos Agreements is qualified in its entirety by reference to each Giviskos Agreement. Copies of the Giviskos Offer Letter and Giviskos Retention Agreement will be filed as exhibits to the Company’s Annual Report on Form 10-K for the fiscal year ending January 31, 2026.</w:t>
      </w:r>
    </w:p>
    <w:p>
      <w:pPr>
        <w:spacing w:after="0" w:line="20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Other than the Giviskos Agreements, there is no arrangement or understanding with any person pursuant to which Ms. Giviskos was appointed as the Company’s interim Chief Financial Officer, and there are no family relationships between Ms. Giviskos and any director or executive officer of the Company. Additionally, there are no transactions between Ms. Giviskos and the Company that would be required to be reported under Item 404 of Regulation S-K.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14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December 15, 2025</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4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December 15, 2025</w:t>
      </w:r>
    </w:p>
    <w:p>
      <w:pPr>
        <w:spacing w:after="0" w:line="23" w:lineRule="exact"/>
        <w:rPr>
          <w:sz w:val="20"/>
          <w:szCs w:val="20"/>
          <w:color w:val="auto"/>
        </w:rPr>
      </w:pPr>
    </w:p>
    <w:p>
      <w:pPr>
        <w:ind w:left="4960"/>
        <w:spacing w:after="0"/>
        <w:tabs>
          <w:tab w:leader="none" w:pos="5460" w:val="left"/>
        </w:tabs>
        <w:rPr>
          <w:sz w:val="20"/>
          <w:szCs w:val="20"/>
          <w:color w:val="auto"/>
        </w:rPr>
      </w:pPr>
      <w:r>
        <w:rPr>
          <w:rFonts w:ascii="Times New Roman" w:cs="Times New Roman" w:eastAsia="Times New Roman" w:hAnsi="Times New Roman"/>
          <w:sz w:val="18"/>
          <w:szCs w:val="18"/>
          <w:color w:val="auto"/>
        </w:rPr>
        <w:t>By:</w:t>
        <w:tab/>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14605</wp:posOffset>
            </wp:positionV>
            <wp:extent cx="3669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Ariel Cohen</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320" w:top="1413" w:right="559" w:bottom="1440" w:gutter="0" w:footer="0" w:header="0"/>
        </w:sectPr>
      </w:pPr>
    </w:p>
    <w:bookmarkStart w:id="4" w:name="page5"/>
    <w:bookmarkEnd w:id="4"/>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Navan Announces Third Quarter Fiscal Year 2026 Results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quarter revenue grew 29% year-over-year to $195 million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1F1F1F"/>
        </w:rPr>
        <w:t>Amy Butte will depart as Chief Financial Officer, effective January 9, 2026</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PALO ALTO, CA, December 15, 2025 — Navan, Inc. </w:t>
      </w:r>
      <w:r>
        <w:rPr>
          <w:rFonts w:ascii="Arial" w:cs="Arial" w:eastAsia="Arial" w:hAnsi="Arial"/>
          <w:sz w:val="18"/>
          <w:szCs w:val="18"/>
          <w:color w:val="auto"/>
        </w:rPr>
        <w:t>(NASDAQ: NAVN), the leading all-in-one business travel, payments,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platform, today reported financial results for its third quarter ended October 31, 2025.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“Q3 was a strong debut quarter as a public company for Navan. All parts of the business performed well, highlighted by continued momentum in the enterprise market and new highs in customer satisfaction, with CSAT at 97% and NPS at 45” said Navan co-founder and CEO, Ariel Cohen. “Our end-to-end AI-first platform is clearly resonating with customers in the massive business travel and expense market. With access to an extremely wide range of travel inventory, a leading consumer-grade user interface, and AI-powered booking and customer support, everyone in the travel ecosystem benefits - users, customers, and suppliers. I’m pleased with our team’s execution across product, customer success, and go-to-market. At the same time, we are making great progress on innovation, building the next generation of Navan. I’ve never been more optimistic about the opportunity ahead as we pursue our mission to make travel easy for every frequent traveler.”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“Navan delivered a strong third quarter, and we’re encouraged by the combination of revenue growth and increased operating margin that we achieved," said Amy Butte, Navan CFO. “We were able to deliver 29% revenue growth year-over-year in Q3, and 870 basis points of non-GAAP operating margin expansion. These results demonstrate our differentiated product and effective execution. We did not see a material impact to our business from travel disruptions related to the government shutdown in October and early November, and we continue to see strong demand in the corporate travel and expense market. As a reminder, we are a seasonal business. While we are reporting Q3 today, which is our seasonally strongest quarter, when we think about our business we think about it annually over an entire fiscal year.”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Fiscal Year 2026 Financial Highlights: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$195 million, an increase of 29% year-over-year.</w:t>
      </w:r>
    </w:p>
    <w:p>
      <w:pPr>
        <w:spacing w:after="0" w:line="2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Usage revenue was $180 million, an increase of 29% year-over-year.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Subscription revenue was $15 million, an increase of 26% year-over-year.</w:t>
      </w:r>
    </w:p>
    <w:p>
      <w:pPr>
        <w:spacing w:after="0" w:line="1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Booking Volume (“GBV”) grew 40% year-over-year, to $2.6 billion in the quarter.</w:t>
      </w:r>
    </w:p>
    <w:p>
      <w:pPr>
        <w:spacing w:after="0" w:line="26"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Volume grew 12% year-over-year, to $1.1 billion in the quarter.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52" w:lineRule="exact"/>
        <w:rPr>
          <w:sz w:val="20"/>
          <w:szCs w:val="20"/>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gross profit reached $138 million, representing 71% gross margin, compared to $107 million, or 71% gross margin in the third quarter of fiscal year 2025.</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gross profit was $144 million, representing 74% non-GAAP gross margin, compared to $108 million, or 72% non-GAAP gross margin in the third quarter of fiscal year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ectPr>
          <w:pgSz w:w="11900" w:h="16838" w:orient="portrait"/>
          <w:cols w:equalWidth="0" w:num="1">
            <w:col w:w="11240"/>
          </w:cols>
          <w:pgMar w:left="320" w:top="1440" w:right="339" w:bottom="1440" w:gutter="0" w:footer="0" w:header="0"/>
        </w:sectPr>
      </w:pPr>
    </w:p>
    <w:bookmarkStart w:id="5" w:name="page6"/>
    <w:bookmarkEnd w:id="5"/>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loss from operations was ($79 million) compared to a loss from operations of ($19 million) in the third quarter of fiscal year 2025; GAAP operating margin was (41%), compared to (13%) in the third quarter of fiscal year 2025.</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income from operations was $25 million, compared to non-GAAP income from operations of $6 million in the third quarter of fiscal year 2025; non-GAAP operating margin was 13% compared to 4% in the third quarter of fiscal year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net loss was ($225 million), compared to a net loss of ($42 million) in the third quarter of fiscal year 2025.</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net income was $9 million, compared to a non-GAAP net loss of ($14 million) in the third quarter of fiscal year 2025.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40" w:lineRule="exact"/>
        <w:rPr>
          <w:sz w:val="20"/>
          <w:szCs w:val="20"/>
          <w:color w:val="auto"/>
        </w:rPr>
      </w:pPr>
    </w:p>
    <w:p>
      <w:pPr>
        <w:ind w:left="660" w:right="440" w:hanging="328"/>
        <w:spacing w:after="0" w:line="27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Strong enterprise momentum </w:t>
      </w:r>
      <w:r>
        <w:rPr>
          <w:rFonts w:ascii="Arial" w:cs="Arial" w:eastAsia="Arial" w:hAnsi="Arial"/>
          <w:sz w:val="18"/>
          <w:szCs w:val="18"/>
          <w:color w:val="auto"/>
        </w:rPr>
        <w:t>including closing the second largest European deal in company history with a CAC40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alongside deals with Frasers Group and Axel Springer.</w:t>
      </w:r>
    </w:p>
    <w:p>
      <w:pPr>
        <w:spacing w:after="0" w:line="1" w:lineRule="exact"/>
        <w:rPr>
          <w:rFonts w:ascii="Arial" w:cs="Arial" w:eastAsia="Arial" w:hAnsi="Arial"/>
          <w:sz w:val="18"/>
          <w:szCs w:val="18"/>
          <w:color w:val="auto"/>
        </w:rPr>
      </w:pPr>
    </w:p>
    <w:p>
      <w:pPr>
        <w:ind w:left="660" w:right="320" w:hanging="328"/>
        <w:spacing w:after="0" w:line="28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Forrester released a </w:t>
      </w:r>
      <w:r>
        <w:rPr>
          <w:rFonts w:ascii="Arial" w:cs="Arial" w:eastAsia="Arial" w:hAnsi="Arial"/>
          <w:sz w:val="18"/>
          <w:szCs w:val="18"/>
          <w:b w:val="1"/>
          <w:bCs w:val="1"/>
          <w:u w:val="single" w:color="auto"/>
          <w:color w:val="1155CC"/>
        </w:rPr>
        <w:t>Total Economic Impact™ study</w:t>
      </w:r>
      <w:r>
        <w:rPr>
          <w:rFonts w:ascii="Arial" w:cs="Arial" w:eastAsia="Arial" w:hAnsi="Arial"/>
          <w:sz w:val="18"/>
          <w:szCs w:val="18"/>
          <w:b w:val="1"/>
          <w:bCs w:val="1"/>
          <w:color w:val="auto"/>
        </w:rPr>
        <w:t xml:space="preserve"> on Navan with some incredible results: </w:t>
      </w:r>
      <w:r>
        <w:rPr>
          <w:rFonts w:ascii="Arial" w:cs="Arial" w:eastAsia="Arial" w:hAnsi="Arial"/>
          <w:sz w:val="18"/>
          <w:szCs w:val="18"/>
          <w:color w:val="auto"/>
        </w:rPr>
        <w:t>16% saved on travel spend</w:t>
      </w:r>
      <w:r>
        <w:rPr>
          <w:rFonts w:ascii="Arial" w:cs="Arial" w:eastAsia="Arial" w:hAnsi="Arial"/>
          <w:sz w:val="18"/>
          <w:szCs w:val="18"/>
          <w:b w:val="1"/>
          <w:bCs w:val="1"/>
          <w:color w:val="auto"/>
        </w:rPr>
        <w:t xml:space="preserve"> </w:t>
      </w:r>
      <w:r>
        <w:rPr>
          <w:rFonts w:ascii="Arial" w:cs="Arial" w:eastAsia="Arial" w:hAnsi="Arial"/>
          <w:sz w:val="18"/>
          <w:szCs w:val="18"/>
          <w:color w:val="auto"/>
        </w:rPr>
        <w:t>annually, 70% less time spent by employees on travel booking, 5 minutes average travel booking time and 376% ROI with Navan over three years.</w:t>
      </w:r>
    </w:p>
    <w:p>
      <w:pPr>
        <w:ind w:left="660" w:right="200" w:hanging="328"/>
        <w:spacing w:after="0" w:line="27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Upgraded Ava model </w:t>
      </w:r>
      <w:r>
        <w:rPr>
          <w:rFonts w:ascii="Arial" w:cs="Arial" w:eastAsia="Arial" w:hAnsi="Arial"/>
          <w:sz w:val="18"/>
          <w:szCs w:val="18"/>
          <w:color w:val="auto"/>
        </w:rPr>
        <w:t>including new reasoning for FAQs and general travel knowledge, now deflecting over 54% of all interactions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November 2025.</w:t>
      </w:r>
    </w:p>
    <w:p>
      <w:pPr>
        <w:ind w:left="660" w:right="48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Continued NDC leadership: </w:t>
      </w:r>
      <w:r>
        <w:rPr>
          <w:rFonts w:ascii="Arial" w:cs="Arial" w:eastAsia="Arial" w:hAnsi="Arial"/>
          <w:sz w:val="18"/>
          <w:szCs w:val="18"/>
          <w:color w:val="auto"/>
        </w:rPr>
        <w:t>Emirates NDC is now live and Qantas NDC has moved to a direct connect while upgrading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newest standards in the industry.</w:t>
      </w:r>
    </w:p>
    <w:p>
      <w:pPr>
        <w:spacing w:after="0" w:line="1" w:lineRule="exact"/>
        <w:rPr>
          <w:rFonts w:ascii="Arial" w:cs="Arial" w:eastAsia="Arial" w:hAnsi="Arial"/>
          <w:sz w:val="18"/>
          <w:szCs w:val="18"/>
          <w:color w:val="auto"/>
        </w:rPr>
      </w:pPr>
    </w:p>
    <w:p>
      <w:pPr>
        <w:ind w:left="660" w:right="100" w:hanging="328"/>
        <w:spacing w:after="0" w:line="31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Launched innovative new guided multi-city flight itinerary shopping flow </w:t>
      </w:r>
      <w:r>
        <w:rPr>
          <w:rFonts w:ascii="Arial" w:cs="Arial" w:eastAsia="Arial" w:hAnsi="Arial"/>
          <w:sz w:val="18"/>
          <w:szCs w:val="18"/>
          <w:color w:val="auto"/>
        </w:rPr>
        <w:t>with better pricing through Navan Fare Choice, mixed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capabilities, and guideposts for shoppers to select optimal fare combinations.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Chief Financial Officer Transition:</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also announced that Amy Butte will depart as Chief Financial Officer, effective January 9, 2026. Ms. Butte will help support a seamless leadership transition and will continue to serve as a strategic advisor to Navan while the Board conducts its search for the company’s next CFO. Anne Giviskos, the current SVP, Strategic Finance and Chief Accounting Officer, will assume the role of Interim CFO.</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want to thank Amy for her contributions to Navan during an important chapter in our company’s history. As she did for the New York Stock Exchange, Amy played a critical role in building out our finance organization and readying our company for the public markets. With our listing now complete and momentum underway across the business, it was the right time for her to move on to her next opportunity. We wish her the best,” said Ariel Cohen, co-founder and CEO of Navan.</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 am pleased to have achieved my goals at Navan, including helping to complete Navan’s IPO, and wish the company and its leadership team continued success,” Ms. Butte said.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fiscal year 2026 (ending January 31, 2026), Navan currently expects:</w:t>
      </w:r>
    </w:p>
    <w:p>
      <w:pPr>
        <w:spacing w:after="0" w:line="2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 in the range of $161 - $163 million, representing year-over-year growth of 23% at the midpoint.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loss from operations in the range of ($15.5) - ($14.5) million and non-GAAP operating margin of (9%) at the midpoint.</w:t>
      </w:r>
    </w:p>
    <w:p>
      <w:pPr>
        <w:sectPr>
          <w:pgSz w:w="11900" w:h="16838" w:orient="portrait"/>
          <w:cols w:equalWidth="0" w:num="1">
            <w:col w:w="11240"/>
          </w:cols>
          <w:pgMar w:left="320" w:top="1417" w:right="339" w:bottom="1440" w:gutter="0" w:footer="0" w:header="0"/>
        </w:sectPr>
      </w:pPr>
    </w:p>
    <w:bookmarkStart w:id="6" w:name="page7"/>
    <w:bookmarkEnd w:id="6"/>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2026 (ending January 31, 2026), Navan currently expects:</w:t>
      </w:r>
    </w:p>
    <w:p>
      <w:pPr>
        <w:spacing w:after="0" w:line="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in the range of $685 - $687 million, representing year-over-year growth of 28% at the midpoint.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Non-GAAP income from operations of $21 - $22 million and non-GAAP operating margin of 3% at the midpoint.</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Navan's results computed in accordance with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Webcast: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Navan will host a conference call on Monday December 15, 2025 at 4:30 p.m. Eastern Time (ET) to discuss the company’s third quarter fiscal 2026 financial results and its business outlook. To register for this conference call, please use this </w:t>
      </w:r>
      <w:r>
        <w:rPr>
          <w:rFonts w:ascii="Arial" w:cs="Arial" w:eastAsia="Arial" w:hAnsi="Arial"/>
          <w:sz w:val="18"/>
          <w:szCs w:val="18"/>
          <w:u w:val="single" w:color="auto"/>
          <w:color w:val="1155CC"/>
        </w:rPr>
        <w:t>dial in registration link</w:t>
      </w:r>
      <w:r>
        <w:rPr>
          <w:rFonts w:ascii="Arial" w:cs="Arial" w:eastAsia="Arial" w:hAnsi="Arial"/>
          <w:sz w:val="18"/>
          <w:szCs w:val="18"/>
          <w:color w:val="auto"/>
        </w:rPr>
        <w:t xml:space="preserve"> or visit Navan's Investor Relations website at </w:t>
      </w:r>
      <w:r>
        <w:rPr>
          <w:rFonts w:ascii="Arial" w:cs="Arial" w:eastAsia="Arial" w:hAnsi="Arial"/>
          <w:sz w:val="18"/>
          <w:szCs w:val="18"/>
          <w:u w:val="single" w:color="auto"/>
          <w:color w:val="1155CC"/>
        </w:rPr>
        <w:t>investors.navan.com</w:t>
      </w:r>
      <w:r>
        <w:rPr>
          <w:rFonts w:ascii="Arial" w:cs="Arial" w:eastAsia="Arial" w:hAnsi="Arial"/>
          <w:sz w:val="18"/>
          <w:szCs w:val="18"/>
          <w:color w:val="auto"/>
        </w:rPr>
        <w:t xml:space="preserve">. After registering, a confirmation email will be sent, including dial-in details and a unique code for entry. Participants who wish to register for the conference call webcast please use </w:t>
      </w:r>
      <w:r>
        <w:rPr>
          <w:rFonts w:ascii="Arial" w:cs="Arial" w:eastAsia="Arial" w:hAnsi="Arial"/>
          <w:sz w:val="18"/>
          <w:szCs w:val="18"/>
          <w:u w:val="single" w:color="auto"/>
          <w:color w:val="1155CC"/>
        </w:rPr>
        <w:t>this link</w:t>
      </w:r>
      <w:r>
        <w:rPr>
          <w:rFonts w:ascii="Arial" w:cs="Arial" w:eastAsia="Arial" w:hAnsi="Arial"/>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-420370</wp:posOffset>
            </wp:positionV>
            <wp:extent cx="39433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4335" cy="12890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archived webcast of this conference call will also be available on Navan's Investor Relations website at </w:t>
      </w:r>
      <w:r>
        <w:rPr>
          <w:rFonts w:ascii="Arial" w:cs="Arial" w:eastAsia="Arial" w:hAnsi="Arial"/>
          <w:sz w:val="18"/>
          <w:szCs w:val="18"/>
          <w:u w:val="single" w:color="auto"/>
          <w:color w:val="1155CC"/>
        </w:rPr>
        <w:t>investors.navan.com</w:t>
      </w:r>
      <w:r>
        <w:rPr>
          <w:rFonts w:ascii="Arial" w:cs="Arial" w:eastAsia="Arial" w:hAnsi="Arial"/>
          <w:sz w:val="18"/>
          <w:szCs w:val="18"/>
          <w:color w:val="auto"/>
        </w:rPr>
        <w: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used, and intends to continue to use, the investor relations portion of its website as a means of disclosing material non-public information and for complying with disclosure obligations under Regulation FD.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Navan has provided in this press release supplemental financial information that has not been prepared in accordance with accounting principles generally accepted in the United States (GAAP), including references to non-GAAP gross profit, non-GAAP gross margin, non-GAAP income (loss) from operations, non-GAAP operating margin, non -GAAP net income (loss), non-GAAP net income (loss) per share, and free cash flow. Navan uses these non-GAAP financial measures internally in analyzing its financial results and believes that the disclosure of these non-GAAP financial measures is useful to investors as an additional tool to evaluate ongoing operating results and trends and because it allows for greater transparency with respect to key measures used by senior management in our financial and operational decision making.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include these non-GAAP financial measures because they are important measures upon which our management assesses our operating performance and the 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Non-GAAP financial measures have limitations in their usefulness to investors and should not be considered in isolation or as substitutes for financial information presented under GAAP. Non-GAAP</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18"/>
          <w:szCs w:val="18"/>
          <w:color w:val="auto"/>
        </w:rPr>
        <w:t>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reconciliation of Navan’s historical non-GAAP financial measures presented in this press release to their most directly comparable GAAP measures has been provided in the financial statement tables included herein, and investors are encouraged to review the reconciliations.</w:t>
      </w:r>
    </w:p>
    <w:p>
      <w:pPr>
        <w:spacing w:after="0" w:line="180" w:lineRule="exact"/>
        <w:rPr>
          <w:sz w:val="20"/>
          <w:szCs w:val="20"/>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Non-GAAP Gross Profit and Non-GAAP Gross Margin. </w:t>
      </w:r>
      <w:r>
        <w:rPr>
          <w:rFonts w:ascii="Arial" w:cs="Arial" w:eastAsia="Arial" w:hAnsi="Arial"/>
          <w:sz w:val="18"/>
          <w:szCs w:val="18"/>
          <w:color w:val="auto"/>
        </w:rPr>
        <w:t>Navan defines non-GAAP gross profit as GAAP gross profit,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compensation-related charges and amortization of intangible assets. Navan defines non-GAAP gross margin as non-GAAP gross profit divided by revenue.</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232426"/>
        </w:rPr>
      </w:pPr>
      <w:r>
        <w:rPr>
          <w:rFonts w:ascii="Arial" w:cs="Arial" w:eastAsia="Arial" w:hAnsi="Arial"/>
          <w:sz w:val="18"/>
          <w:szCs w:val="18"/>
          <w:b w:val="1"/>
          <w:bCs w:val="1"/>
          <w:color w:val="auto"/>
        </w:rPr>
        <w:t xml:space="preserve">Non-GAAP Income (Loss) from Operations and Non-GAAP Operating Margin. </w:t>
      </w:r>
      <w:r>
        <w:rPr>
          <w:rFonts w:ascii="Arial" w:cs="Arial" w:eastAsia="Arial" w:hAnsi="Arial"/>
          <w:sz w:val="18"/>
          <w:szCs w:val="18"/>
          <w:color w:val="auto"/>
        </w:rPr>
        <w:t>Navan defines non-GAAP income (loss) from</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as GAAP loss from operations, excluding stock-based compensation-related charges and amortization of intangible assets. Navan defines non-GAAP</w:t>
      </w:r>
    </w:p>
    <w:p>
      <w:pPr>
        <w:spacing w:after="0" w:line="1" w:lineRule="exact"/>
        <w:rPr>
          <w:rFonts w:ascii="Arial" w:cs="Arial" w:eastAsia="Arial" w:hAnsi="Arial"/>
          <w:sz w:val="18"/>
          <w:szCs w:val="18"/>
          <w:color w:val="232426"/>
        </w:rPr>
      </w:pPr>
    </w:p>
    <w:p>
      <w:pPr>
        <w:ind w:left="660" w:hanging="328"/>
        <w:spacing w:after="0"/>
        <w:tabs>
          <w:tab w:leader="none" w:pos="660" w:val="left"/>
        </w:tabs>
        <w:numPr>
          <w:ilvl w:val="0"/>
          <w:numId w:val="10"/>
        </w:numPr>
        <w:rPr>
          <w:rFonts w:ascii="Arial" w:cs="Arial" w:eastAsia="Arial" w:hAnsi="Arial"/>
          <w:sz w:val="18"/>
          <w:szCs w:val="18"/>
          <w:color w:val="232426"/>
        </w:rPr>
      </w:pPr>
      <w:r>
        <w:rPr>
          <w:rFonts w:ascii="Arial" w:cs="Arial" w:eastAsia="Arial" w:hAnsi="Arial"/>
          <w:sz w:val="18"/>
          <w:szCs w:val="18"/>
          <w:color w:val="auto"/>
        </w:rPr>
        <w:t>operating margin as non-GAAP income (loss) from operations divided by revenue.</w:t>
      </w:r>
    </w:p>
    <w:p>
      <w:pPr>
        <w:spacing w:after="0" w:line="234" w:lineRule="exact"/>
        <w:rPr>
          <w:rFonts w:ascii="Arial" w:cs="Arial" w:eastAsia="Arial" w:hAnsi="Arial"/>
          <w:sz w:val="18"/>
          <w:szCs w:val="18"/>
          <w:color w:val="232426"/>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(Loss). </w:t>
      </w:r>
      <w:r>
        <w:rPr>
          <w:rFonts w:ascii="Arial" w:cs="Arial" w:eastAsia="Arial" w:hAnsi="Arial"/>
          <w:sz w:val="18"/>
          <w:szCs w:val="18"/>
          <w:color w:val="auto"/>
        </w:rPr>
        <w:t>Navan defines non-GAAP net income (loss) as GAAP net loss, excluding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compensation-related charges, amortization of intangible assets, amortization of debt discount and debt issuance costs, loss (gain) on fair value adjustments, SAFE debt issuance costs expensed, and loss on extinguishment of debt, and adjusted to reflect the income tax effects of the non-GAAP adjustments to GAAP loss before income tax expense.</w:t>
      </w:r>
    </w:p>
    <w:p>
      <w:pPr>
        <w:spacing w:after="0" w:line="20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Non-GAAP Net Income (Loss) Per Share. </w:t>
      </w:r>
      <w:r>
        <w:rPr>
          <w:rFonts w:ascii="Arial" w:cs="Arial" w:eastAsia="Arial" w:hAnsi="Arial"/>
          <w:sz w:val="18"/>
          <w:szCs w:val="18"/>
          <w:color w:val="auto"/>
        </w:rPr>
        <w:t>Navan defines non-GAAP basic income (loss) per share as non-GAAP net income (loss)</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weighted-average shares outstanding used in computing net loss per share attributable to common stockholders, basic. We define non-GAAP diluted income (loss) per share as non-GAAP net income (loss) divided by weighted-average shares outstanding giving effect to the weighted average of all potentially dilutive common stock equivalents outstanding for the period including options to purchase common stock, restricted stock units, and unexercised warrants to purchase common stock. The dilutive effect of outstanding stock awards is reflected in non-GAAP diluted income per share by application of the treasury method.</w:t>
      </w:r>
    </w:p>
    <w:p>
      <w:pPr>
        <w:spacing w:after="0" w:line="20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Navan defines free cash flow as GAAP net cash used in operating activities reduced by cash used for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for capitalized software development costs and purchases of property and equipment. We believe that free cash flow is a meaningful indicator of our sources of liquidity and capital requirements that provides information to management and investors in evaluating the cash flow trends of our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Business Metrics: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Booking Volume (GBV)</w:t>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Volume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and the related conference call contain express and implied “forward-looking statements” within the meaning of the Private Securities Litigation Reform Act of 1995, including, but not limited to, statements regarding Navan’s anticipated total revenue, non-GAAP income (loss) from operations, and non-GAAP operating margin for the fiscal quarter and year ending January 31, 2026, the size of Navan’s market opportunity, market trends, and the company’s business strategy and plans. In some cases, you can identify forward-looking statements by terms such as “anticipate,” “believe,” “estimate,” “expect,” “intend,” “may,” “plan,” “project,” “will,” or similar expressions. Such statements are subject to risks, uncertainties and other factors that may cause actual results to be materially different from any future results expressed or implied by the forward-looking statements. These include, but are not limited to: Navan’s limited operating history; the growth rate of the markets in which Navan competes; Navan’s ability to effectively manage and sustain its growth; Navan’s ability to compete with existing competitors and new market entrants; Navan’s ability to attract new and retain existing customers, or to renew and expand its relationships with current customers; adverse changes in relationships with third parties on which Navan depends; Navan’s ability to utilize AI successfully in its current and future products; disruptions or other business interruptions that affect the availability of Navan’s platform, including cybersecurity incidents; and general global market, political, economic, and business conditions, including those related to global macroeconomic conditions, actual or perceived instability in the banking sector, supply chain disruptions, a potential recession, inflation, interest rate volatility, and geopolitical uncertainty, including ongoing conflicts around the world. Additional risks and uncertainties that could cause actual outcomes and results to differ materially from those contemplated by the forward-looking statements contained herein are included in the “Risk Factors” and “Management’s Discussion and Analysis of Financial Condition and Results of Operations” sections of Navan’s prospectus dated October 29, 2025 filed with the Securities and Exchange Commission (SEC) pursuant to Rule 424(b) of the Securities Act of 1933, as amended, on October 31, 2025, as they may be updated by Navan’s subsequent filings with the SEC. Except as required by law, Navan undertakes no obligation, and does not intend, to update these forward-looking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Navan, Inc.:</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Navan is the leading all-in-one business travel, payments, and expense management solution that makes travel easy for frequent travelers. From finding flights and hotels, to automating expense reconciliation, with 24/7 support along the way, Navan delivers an intuitive experience travelers love and finance teams rely on. See how Navan customers benefit and learn more at navan.com.</w:t>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investors@navan.com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 Relations: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1155CC"/>
        </w:rPr>
        <w:t>press@navan.com</w:t>
      </w:r>
    </w:p>
    <w:p>
      <w:pPr>
        <w:sectPr>
          <w:pgSz w:w="11900" w:h="16838" w:orient="portrait"/>
          <w:cols w:equalWidth="0" w:num="1">
            <w:col w:w="10139"/>
          </w:cols>
          <w:pgMar w:left="320" w:top="1417" w:right="1440" w:bottom="1440" w:gutter="0" w:footer="0" w:header="0"/>
        </w:sectPr>
      </w:pPr>
    </w:p>
    <w:bookmarkStart w:id="10" w:name="page11"/>
    <w:bookmarkEnd w:id="10"/>
    <w:p>
      <w:pPr>
        <w:ind w:left="4200"/>
        <w:spacing w:after="0"/>
        <w:rPr>
          <w:sz w:val="20"/>
          <w:szCs w:val="20"/>
          <w:color w:val="auto"/>
        </w:rPr>
      </w:pPr>
      <w:r>
        <w:rPr>
          <w:rFonts w:ascii="Arial" w:cs="Arial" w:eastAsia="Arial" w:hAnsi="Arial"/>
          <w:sz w:val="18"/>
          <w:szCs w:val="18"/>
          <w:b w:val="1"/>
          <w:bCs w:val="1"/>
          <w:color w:val="auto"/>
        </w:rPr>
        <w:t>NAVAN, INC. AND SUBSIDIARIES</w:t>
      </w:r>
    </w:p>
    <w:p>
      <w:pPr>
        <w:spacing w:after="0" w:line="5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35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October 31,</w:t>
            </w:r>
          </w:p>
        </w:tc>
        <w:tc>
          <w:tcPr>
            <w:tcW w:w="3480" w:type="dxa"/>
            <w:vAlign w:val="bottom"/>
            <w:gridSpan w:val="5"/>
          </w:tcPr>
          <w:p>
            <w:pPr>
              <w:ind w:left="660"/>
              <w:spacing w:after="0"/>
              <w:rPr>
                <w:sz w:val="20"/>
                <w:szCs w:val="20"/>
                <w:color w:val="auto"/>
              </w:rPr>
            </w:pPr>
            <w:r>
              <w:rPr>
                <w:rFonts w:ascii="Arial" w:cs="Arial" w:eastAsia="Arial" w:hAnsi="Arial"/>
                <w:sz w:val="14"/>
                <w:szCs w:val="14"/>
                <w:b w:val="1"/>
                <w:bCs w:val="1"/>
                <w:color w:val="auto"/>
              </w:rPr>
              <w:t>Nine Months Ended October 31,</w:t>
            </w:r>
          </w:p>
        </w:tc>
      </w:tr>
      <w:tr>
        <w:trPr>
          <w:trHeight w:val="29"/>
        </w:trPr>
        <w:tc>
          <w:tcPr>
            <w:tcW w:w="41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48"/>
        </w:trPr>
        <w:tc>
          <w:tcPr>
            <w:tcW w:w="4180" w:type="dxa"/>
            <w:vAlign w:val="bottom"/>
          </w:tcPr>
          <w:p>
            <w:pPr>
              <w:spacing w:after="0"/>
              <w:rPr>
                <w:sz w:val="21"/>
                <w:szCs w:val="21"/>
                <w:color w:val="auto"/>
              </w:rPr>
            </w:pPr>
          </w:p>
        </w:tc>
        <w:tc>
          <w:tcPr>
            <w:tcW w:w="1680" w:type="dxa"/>
            <w:vAlign w:val="bottom"/>
            <w:gridSpan w:val="2"/>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1"/>
                <w:szCs w:val="21"/>
                <w:color w:val="auto"/>
              </w:rPr>
            </w:pPr>
          </w:p>
        </w:tc>
        <w:tc>
          <w:tcPr>
            <w:tcW w:w="1680" w:type="dxa"/>
            <w:vAlign w:val="bottom"/>
            <w:gridSpan w:val="2"/>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1"/>
                <w:szCs w:val="21"/>
                <w:color w:val="auto"/>
              </w:rPr>
            </w:pPr>
          </w:p>
        </w:tc>
        <w:tc>
          <w:tcPr>
            <w:tcW w:w="1680" w:type="dxa"/>
            <w:vAlign w:val="bottom"/>
            <w:gridSpan w:val="2"/>
          </w:tcPr>
          <w:p>
            <w:pPr>
              <w:ind w:left="68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1"/>
                <w:szCs w:val="21"/>
                <w:color w:val="auto"/>
              </w:rPr>
            </w:pPr>
          </w:p>
        </w:tc>
        <w:tc>
          <w:tcPr>
            <w:tcW w:w="1680" w:type="dxa"/>
            <w:vAlign w:val="bottom"/>
            <w:gridSpan w:val="2"/>
          </w:tcPr>
          <w:p>
            <w:pPr>
              <w:jc w:val="right"/>
              <w:ind w:right="595"/>
              <w:spacing w:after="0"/>
              <w:rPr>
                <w:sz w:val="20"/>
                <w:szCs w:val="20"/>
                <w:color w:val="auto"/>
              </w:rPr>
            </w:pPr>
            <w:r>
              <w:rPr>
                <w:rFonts w:ascii="Arial" w:cs="Arial" w:eastAsia="Arial" w:hAnsi="Arial"/>
                <w:sz w:val="14"/>
                <w:szCs w:val="14"/>
                <w:b w:val="1"/>
                <w:bCs w:val="1"/>
                <w:color w:val="auto"/>
              </w:rPr>
              <w:t>2024</w:t>
            </w:r>
          </w:p>
        </w:tc>
      </w:tr>
      <w:tr>
        <w:trPr>
          <w:trHeight w:val="29"/>
        </w:trPr>
        <w:tc>
          <w:tcPr>
            <w:tcW w:w="4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194,934</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151,118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524,347</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404,845</w:t>
            </w:r>
          </w:p>
        </w:tc>
      </w:tr>
      <w:tr>
        <w:trPr>
          <w:trHeight w:val="284"/>
        </w:trPr>
        <w:tc>
          <w:tcPr>
            <w:tcW w:w="418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80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7"/>
                <w:szCs w:val="17"/>
                <w:color w:val="auto"/>
              </w:rPr>
              <w:t>57,080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44,522</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149,663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127,067</w:t>
            </w:r>
          </w:p>
        </w:tc>
      </w:tr>
      <w:tr>
        <w:trPr>
          <w:trHeight w:val="54"/>
        </w:trPr>
        <w:tc>
          <w:tcPr>
            <w:tcW w:w="41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137,854</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106,596</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374,684</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277,778</w:t>
            </w:r>
          </w:p>
        </w:tc>
      </w:tr>
      <w:tr>
        <w:trPr>
          <w:trHeight w:val="250"/>
        </w:trPr>
        <w:tc>
          <w:tcPr>
            <w:tcW w:w="41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8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54"/>
        </w:trPr>
        <w:tc>
          <w:tcPr>
            <w:tcW w:w="4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18"/>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51,195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33,000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115,955</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90,784</w:t>
            </w:r>
          </w:p>
        </w:tc>
      </w:tr>
      <w:tr>
        <w:trPr>
          <w:trHeight w:val="283"/>
        </w:trPr>
        <w:tc>
          <w:tcPr>
            <w:tcW w:w="418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800" w:type="dxa"/>
            <w:vAlign w:val="bottom"/>
          </w:tcPr>
          <w:p>
            <w:pPr>
              <w:spacing w:after="0"/>
              <w:rPr>
                <w:sz w:val="24"/>
                <w:szCs w:val="24"/>
                <w:color w:val="auto"/>
              </w:rPr>
            </w:pPr>
          </w:p>
        </w:tc>
        <w:tc>
          <w:tcPr>
            <w:tcW w:w="880" w:type="dxa"/>
            <w:vAlign w:val="bottom"/>
          </w:tcPr>
          <w:p>
            <w:pPr>
              <w:jc w:val="right"/>
              <w:ind w:right="135"/>
              <w:spacing w:after="0"/>
              <w:rPr>
                <w:sz w:val="20"/>
                <w:szCs w:val="20"/>
                <w:color w:val="auto"/>
              </w:rPr>
            </w:pPr>
            <w:r>
              <w:rPr>
                <w:rFonts w:ascii="Arial" w:cs="Arial" w:eastAsia="Arial" w:hAnsi="Arial"/>
                <w:sz w:val="17"/>
                <w:szCs w:val="17"/>
                <w:color w:val="auto"/>
              </w:rPr>
              <w:t>94,949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58,086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225,325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161,616</w:t>
            </w:r>
          </w:p>
        </w:tc>
      </w:tr>
      <w:tr>
        <w:trPr>
          <w:trHeight w:val="54"/>
        </w:trPr>
        <w:tc>
          <w:tcPr>
            <w:tcW w:w="4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38"/>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70,946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34,968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140,791</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100,206</w:t>
            </w:r>
          </w:p>
        </w:tc>
      </w:tr>
      <w:tr>
        <w:trPr>
          <w:trHeight w:val="263"/>
        </w:trPr>
        <w:tc>
          <w:tcPr>
            <w:tcW w:w="418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8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217,090</w:t>
            </w: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126,054</w:t>
            </w:r>
          </w:p>
        </w:tc>
        <w:tc>
          <w:tcPr>
            <w:tcW w:w="1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482,071</w:t>
            </w:r>
          </w:p>
        </w:tc>
        <w:tc>
          <w:tcPr>
            <w:tcW w:w="12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352,606</w:t>
            </w:r>
          </w:p>
        </w:tc>
      </w:tr>
      <w:tr>
        <w:trPr>
          <w:trHeight w:val="54"/>
        </w:trPr>
        <w:tc>
          <w:tcPr>
            <w:tcW w:w="41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9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(79,236)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(19,458)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(107,387)</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(74,828)</w:t>
            </w:r>
          </w:p>
        </w:tc>
      </w:tr>
      <w:tr>
        <w:trPr>
          <w:trHeight w:val="283"/>
        </w:trPr>
        <w:tc>
          <w:tcPr>
            <w:tcW w:w="4180" w:type="dxa"/>
            <w:vAlign w:val="bottom"/>
          </w:tcPr>
          <w:p>
            <w:pPr>
              <w:ind w:left="260"/>
              <w:spacing w:after="0"/>
              <w:rPr>
                <w:sz w:val="20"/>
                <w:szCs w:val="20"/>
                <w:color w:val="auto"/>
              </w:rPr>
            </w:pPr>
            <w:r>
              <w:rPr>
                <w:rFonts w:ascii="Arial" w:cs="Arial" w:eastAsia="Arial" w:hAnsi="Arial"/>
                <w:sz w:val="17"/>
                <w:szCs w:val="17"/>
                <w:color w:val="auto"/>
              </w:rPr>
              <w:t>Interest expense</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(15,539)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(19,658)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(47,510)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(57,509)</w:t>
            </w:r>
          </w:p>
        </w:tc>
      </w:tr>
      <w:tr>
        <w:trPr>
          <w:trHeight w:val="54"/>
        </w:trPr>
        <w:tc>
          <w:tcPr>
            <w:tcW w:w="4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17"/>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income (expense), net</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1,022</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6,155</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2,975</w:t>
            </w:r>
          </w:p>
        </w:tc>
      </w:tr>
      <w:tr>
        <w:trPr>
          <w:trHeight w:val="284"/>
        </w:trPr>
        <w:tc>
          <w:tcPr>
            <w:tcW w:w="4180" w:type="dxa"/>
            <w:vAlign w:val="bottom"/>
          </w:tcPr>
          <w:p>
            <w:pPr>
              <w:ind w:left="260"/>
              <w:spacing w:after="0"/>
              <w:rPr>
                <w:sz w:val="20"/>
                <w:szCs w:val="20"/>
                <w:color w:val="auto"/>
              </w:rPr>
            </w:pPr>
            <w:r>
              <w:rPr>
                <w:rFonts w:ascii="Arial" w:cs="Arial" w:eastAsia="Arial" w:hAnsi="Arial"/>
                <w:sz w:val="17"/>
                <w:szCs w:val="17"/>
                <w:color w:val="auto"/>
              </w:rPr>
              <w:t>Loss on extinguishment of debt</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(97,450)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(117,978)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54"/>
        </w:trPr>
        <w:tc>
          <w:tcPr>
            <w:tcW w:w="4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38"/>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Gain (loss) on fair value adjustments</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(29,155)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1,381</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(47,041)</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4,401</w:t>
            </w:r>
          </w:p>
        </w:tc>
      </w:tr>
      <w:tr>
        <w:trPr>
          <w:trHeight w:val="264"/>
        </w:trPr>
        <w:tc>
          <w:tcPr>
            <w:tcW w:w="4180" w:type="dxa"/>
            <w:vAlign w:val="bottom"/>
          </w:tcPr>
          <w:p>
            <w:pPr>
              <w:ind w:left="20"/>
              <w:spacing w:after="0"/>
              <w:rPr>
                <w:sz w:val="20"/>
                <w:szCs w:val="20"/>
                <w:color w:val="auto"/>
              </w:rPr>
            </w:pPr>
            <w:r>
              <w:rPr>
                <w:rFonts w:ascii="Arial" w:cs="Arial" w:eastAsia="Arial" w:hAnsi="Arial"/>
                <w:sz w:val="17"/>
                <w:szCs w:val="17"/>
                <w:color w:val="auto"/>
              </w:rPr>
              <w:t>Loss before income tax expense</w:t>
            </w:r>
          </w:p>
        </w:tc>
        <w:tc>
          <w:tcPr>
            <w:tcW w:w="8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(221,924)</w:t>
            </w: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(36,713)</w:t>
            </w:r>
          </w:p>
        </w:tc>
        <w:tc>
          <w:tcPr>
            <w:tcW w:w="1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(313,761)</w:t>
            </w: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(124,961)</w:t>
            </w:r>
          </w:p>
        </w:tc>
      </w:tr>
      <w:tr>
        <w:trPr>
          <w:trHeight w:val="54"/>
        </w:trPr>
        <w:tc>
          <w:tcPr>
            <w:tcW w:w="4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3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3,465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5,169</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11,508</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9,465</w:t>
            </w:r>
          </w:p>
        </w:tc>
      </w:tr>
      <w:tr>
        <w:trPr>
          <w:trHeight w:val="291"/>
        </w:trPr>
        <w:tc>
          <w:tcPr>
            <w:tcW w:w="4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(225,389)</w:t>
            </w:r>
          </w:p>
        </w:tc>
        <w:tc>
          <w:tcPr>
            <w:tcW w:w="12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(41,882)</w:t>
            </w:r>
          </w:p>
        </w:tc>
        <w:tc>
          <w:tcPr>
            <w:tcW w:w="100" w:type="dxa"/>
            <w:vAlign w:val="bottom"/>
          </w:tcPr>
          <w:p>
            <w:pPr>
              <w:spacing w:after="0"/>
              <w:rPr>
                <w:sz w:val="24"/>
                <w:szCs w:val="24"/>
                <w:color w:val="auto"/>
              </w:rPr>
            </w:pPr>
          </w:p>
        </w:tc>
        <w:tc>
          <w:tcPr>
            <w:tcW w:w="780" w:type="dxa"/>
            <w:vAlign w:val="bottom"/>
            <w:tcBorders>
              <w:top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(325,269)</w:t>
            </w:r>
          </w:p>
        </w:tc>
        <w:tc>
          <w:tcPr>
            <w:tcW w:w="12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(134,426)</w:t>
            </w:r>
          </w:p>
        </w:tc>
      </w:tr>
      <w:tr>
        <w:trPr>
          <w:trHeight w:val="27"/>
        </w:trPr>
        <w:tc>
          <w:tcPr>
            <w:tcW w:w="4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w:t>
            </w: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54"/>
        </w:trPr>
        <w:tc>
          <w:tcPr>
            <w:tcW w:w="41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59" w:lineRule="exact"/>
        <w:rPr>
          <w:sz w:val="20"/>
          <w:szCs w:val="20"/>
          <w:color w:val="auto"/>
        </w:rPr>
      </w:pPr>
    </w:p>
    <w:p>
      <w:pPr>
        <w:sectPr>
          <w:pgSz w:w="11900" w:h="16838" w:orient="portrait"/>
          <w:cols w:equalWidth="0" w:num="1">
            <w:col w:w="11240"/>
          </w:cols>
          <w:pgMar w:left="320" w:top="1430"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and diluted net loss per share</w:t>
      </w:r>
    </w:p>
    <w:p>
      <w:pPr>
        <w:spacing w:after="0" w:line="200" w:lineRule="exact"/>
        <w:rPr>
          <w:sz w:val="20"/>
          <w:szCs w:val="20"/>
          <w:color w:val="auto"/>
        </w:rPr>
      </w:pPr>
    </w:p>
    <w:p>
      <w:pPr>
        <w:spacing w:after="0" w:line="226" w:lineRule="exact"/>
        <w:rPr>
          <w:sz w:val="20"/>
          <w:szCs w:val="20"/>
          <w:color w:val="auto"/>
        </w:rPr>
      </w:pPr>
    </w:p>
    <w:p>
      <w:pPr>
        <w:ind w:left="180" w:right="40" w:hanging="161"/>
        <w:spacing w:after="0" w:line="299" w:lineRule="auto"/>
        <w:rPr>
          <w:sz w:val="20"/>
          <w:szCs w:val="20"/>
          <w:color w:val="auto"/>
        </w:rPr>
      </w:pPr>
      <w:r>
        <w:rPr>
          <w:rFonts w:ascii="Arial" w:cs="Arial" w:eastAsia="Arial" w:hAnsi="Arial"/>
          <w:sz w:val="17"/>
          <w:szCs w:val="17"/>
          <w:color w:val="auto"/>
        </w:rPr>
        <w:t>Weighted-average shares outstanding used to compute net loss per share attributable to common stockholders</w:t>
      </w:r>
    </w:p>
    <w:p>
      <w:pPr>
        <w:spacing w:after="0" w:line="20" w:lineRule="exact"/>
        <w:rPr>
          <w:sz w:val="20"/>
          <w:szCs w:val="20"/>
          <w:color w:val="auto"/>
        </w:rPr>
      </w:pPr>
      <w:r>
        <w:rPr>
          <w:sz w:val="20"/>
          <w:szCs w:val="20"/>
          <w:color w:val="auto"/>
        </w:rPr>
        <w:br w:type="column"/>
      </w:r>
    </w:p>
    <w:p>
      <w:pPr>
        <w:ind w:left="300"/>
        <w:spacing w:after="0"/>
        <w:tabs>
          <w:tab w:leader="none" w:pos="560" w:val="left"/>
          <w:tab w:leader="none" w:pos="2100" w:val="left"/>
          <w:tab w:leader="none" w:pos="2380" w:val="left"/>
          <w:tab w:leader="none" w:pos="3860" w:val="left"/>
          <w:tab w:leader="none" w:pos="4140" w:val="left"/>
          <w:tab w:leader="none" w:pos="5680" w:val="left"/>
          <w:tab w:leader="none" w:pos="5960" w:val="left"/>
        </w:tabs>
        <w:rPr>
          <w:sz w:val="20"/>
          <w:szCs w:val="20"/>
          <w:color w:val="auto"/>
        </w:rPr>
      </w:pPr>
      <w:r>
        <w:rPr>
          <w:rFonts w:ascii="Arial" w:cs="Arial" w:eastAsia="Arial" w:hAnsi="Arial"/>
          <w:sz w:val="17"/>
          <w:szCs w:val="17"/>
          <w:color w:val="auto"/>
        </w:rPr>
        <w:t>$</w:t>
        <w:tab/>
        <w:t>(4.58)</w:t>
      </w:r>
      <w:r>
        <w:rPr>
          <w:sz w:val="20"/>
          <w:szCs w:val="20"/>
          <w:color w:val="auto"/>
        </w:rPr>
        <w:tab/>
      </w:r>
      <w:r>
        <w:rPr>
          <w:rFonts w:ascii="Arial" w:cs="Arial" w:eastAsia="Arial" w:hAnsi="Arial"/>
          <w:sz w:val="17"/>
          <w:szCs w:val="17"/>
          <w:color w:val="auto"/>
        </w:rPr>
        <w:t>$</w:t>
        <w:tab/>
        <w:t>(0.92)</w:t>
      </w:r>
      <w:r>
        <w:rPr>
          <w:sz w:val="20"/>
          <w:szCs w:val="20"/>
          <w:color w:val="auto"/>
        </w:rPr>
        <w:tab/>
      </w:r>
      <w:r>
        <w:rPr>
          <w:rFonts w:ascii="Arial" w:cs="Arial" w:eastAsia="Arial" w:hAnsi="Arial"/>
          <w:sz w:val="17"/>
          <w:szCs w:val="17"/>
          <w:color w:val="auto"/>
        </w:rPr>
        <w:t>$</w:t>
        <w:tab/>
        <w:t>(6.94)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52705</wp:posOffset>
            </wp:positionV>
            <wp:extent cx="71323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780" w:val="left"/>
          <w:tab w:leader="none" w:pos="3540" w:val="left"/>
          <w:tab w:leader="none" w:pos="5360" w:val="left"/>
        </w:tabs>
        <w:rPr>
          <w:sz w:val="20"/>
          <w:szCs w:val="20"/>
          <w:color w:val="auto"/>
        </w:rPr>
      </w:pPr>
      <w:r>
        <w:rPr>
          <w:rFonts w:ascii="Arial" w:cs="Arial" w:eastAsia="Arial" w:hAnsi="Arial"/>
          <w:sz w:val="17"/>
          <w:szCs w:val="17"/>
          <w:color w:val="auto"/>
        </w:rPr>
        <w:t>49,258,348</w:t>
      </w:r>
      <w:r>
        <w:rPr>
          <w:sz w:val="20"/>
          <w:szCs w:val="20"/>
          <w:color w:val="auto"/>
        </w:rPr>
        <w:tab/>
      </w:r>
      <w:r>
        <w:rPr>
          <w:rFonts w:ascii="Arial" w:cs="Arial" w:eastAsia="Arial" w:hAnsi="Arial"/>
          <w:sz w:val="17"/>
          <w:szCs w:val="17"/>
          <w:color w:val="auto"/>
        </w:rPr>
        <w:t>45,324,084</w:t>
      </w:r>
      <w:r>
        <w:rPr>
          <w:sz w:val="20"/>
          <w:szCs w:val="20"/>
          <w:color w:val="auto"/>
        </w:rPr>
        <w:tab/>
      </w:r>
      <w:r>
        <w:rPr>
          <w:rFonts w:ascii="Arial" w:cs="Arial" w:eastAsia="Arial" w:hAnsi="Arial"/>
          <w:sz w:val="17"/>
          <w:szCs w:val="17"/>
          <w:color w:val="auto"/>
        </w:rPr>
        <w:t>46,884,867</w:t>
      </w:r>
      <w:r>
        <w:rPr>
          <w:sz w:val="20"/>
          <w:szCs w:val="20"/>
          <w:color w:val="auto"/>
        </w:rPr>
        <w:tab/>
      </w:r>
      <w:r>
        <w:rPr>
          <w:rFonts w:ascii="Arial" w:cs="Arial" w:eastAsia="Arial" w:hAnsi="Arial"/>
          <w:sz w:val="17"/>
          <w:szCs w:val="17"/>
          <w:color w:val="auto"/>
        </w:rPr>
        <w:t>45,210,172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52705</wp:posOffset>
            </wp:positionV>
            <wp:extent cx="448310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83100" cy="34290"/>
                    </a:xfrm>
                    <a:prstGeom prst="rect">
                      <a:avLst/>
                    </a:prstGeom>
                    <a:noFill/>
                  </pic:spPr>
                </pic:pic>
              </a:graphicData>
            </a:graphic>
          </wp:anchor>
        </w:drawing>
      </w:r>
    </w:p>
    <w:p>
      <w:pPr>
        <w:sectPr>
          <w:pgSz w:w="11900" w:h="16838" w:orient="portrait"/>
          <w:cols w:equalWidth="0" w:num="2">
            <w:col w:w="4080" w:space="720"/>
            <w:col w:w="6440"/>
          </w:cols>
          <w:pgMar w:left="320" w:top="1430" w:right="339" w:bottom="1440" w:gutter="0" w:footer="0" w:header="0"/>
          <w:type w:val="continuous"/>
        </w:sectPr>
      </w:pPr>
    </w:p>
    <w:bookmarkStart w:id="11" w:name="page12"/>
    <w:bookmarkEnd w:id="11"/>
    <w:p>
      <w:pPr>
        <w:ind w:left="4200"/>
        <w:spacing w:after="0"/>
        <w:rPr>
          <w:sz w:val="20"/>
          <w:szCs w:val="20"/>
          <w:color w:val="auto"/>
        </w:rPr>
      </w:pPr>
      <w:r>
        <w:rPr>
          <w:rFonts w:ascii="Arial" w:cs="Arial" w:eastAsia="Arial" w:hAnsi="Arial"/>
          <w:sz w:val="18"/>
          <w:szCs w:val="18"/>
          <w:b w:val="1"/>
          <w:bCs w:val="1"/>
          <w:color w:val="auto"/>
        </w:rPr>
        <w:t>NAVAN, INC. AND SUBSIDIARIES</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As of</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76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760" w:type="dxa"/>
            <w:vAlign w:val="bottom"/>
          </w:tcPr>
          <w:p>
            <w:pPr>
              <w:spacing w:after="0"/>
              <w:rPr>
                <w:sz w:val="21"/>
                <w:szCs w:val="21"/>
                <w:color w:val="auto"/>
              </w:rPr>
            </w:pPr>
          </w:p>
        </w:tc>
        <w:tc>
          <w:tcPr>
            <w:tcW w:w="15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October 31, 2025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29"/>
        </w:trPr>
        <w:tc>
          <w:tcPr>
            <w:tcW w:w="77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809,080</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157,672</w:t>
            </w:r>
          </w:p>
        </w:tc>
        <w:tc>
          <w:tcPr>
            <w:tcW w:w="0" w:type="dxa"/>
            <w:vAlign w:val="bottom"/>
          </w:tcPr>
          <w:p>
            <w:pPr>
              <w:spacing w:after="0"/>
              <w:rPr>
                <w:sz w:val="1"/>
                <w:szCs w:val="1"/>
                <w:color w:val="auto"/>
              </w:rPr>
            </w:pPr>
          </w:p>
        </w:tc>
      </w:tr>
      <w:tr>
        <w:trPr>
          <w:trHeight w:val="283"/>
        </w:trPr>
        <w:tc>
          <w:tcPr>
            <w:tcW w:w="7760" w:type="dxa"/>
            <w:vAlign w:val="bottom"/>
          </w:tcPr>
          <w:p>
            <w:pPr>
              <w:ind w:left="260"/>
              <w:spacing w:after="0"/>
              <w:rPr>
                <w:sz w:val="20"/>
                <w:szCs w:val="20"/>
                <w:color w:val="auto"/>
              </w:rPr>
            </w:pPr>
            <w:r>
              <w:rPr>
                <w:rFonts w:ascii="Arial" w:cs="Arial" w:eastAsia="Arial" w:hAnsi="Arial"/>
                <w:sz w:val="17"/>
                <w:szCs w:val="17"/>
                <w:color w:val="auto"/>
              </w:rPr>
              <w:t>Restricted cash, current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81,469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148,157</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 net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220,038</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184,856</w:t>
            </w:r>
          </w:p>
        </w:tc>
        <w:tc>
          <w:tcPr>
            <w:tcW w:w="0" w:type="dxa"/>
            <w:vAlign w:val="bottom"/>
          </w:tcPr>
          <w:p>
            <w:pPr>
              <w:spacing w:after="0"/>
              <w:rPr>
                <w:sz w:val="1"/>
                <w:szCs w:val="1"/>
                <w:color w:val="auto"/>
              </w:rPr>
            </w:pPr>
          </w:p>
        </w:tc>
      </w:tr>
      <w:tr>
        <w:trPr>
          <w:trHeight w:val="283"/>
        </w:trPr>
        <w:tc>
          <w:tcPr>
            <w:tcW w:w="7760" w:type="dxa"/>
            <w:vAlign w:val="bottom"/>
          </w:tcPr>
          <w:p>
            <w:pPr>
              <w:ind w:left="260"/>
              <w:spacing w:after="0"/>
              <w:rPr>
                <w:sz w:val="20"/>
                <w:szCs w:val="20"/>
                <w:color w:val="auto"/>
              </w:rPr>
            </w:pPr>
            <w:r>
              <w:rPr>
                <w:rFonts w:ascii="Arial" w:cs="Arial" w:eastAsia="Arial" w:hAnsi="Arial"/>
                <w:sz w:val="17"/>
                <w:szCs w:val="17"/>
                <w:color w:val="auto"/>
              </w:rPr>
              <w:t>Corporate card receivables, net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200,323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157,755</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Contract acquisition costs, current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7,389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4,784</w:t>
            </w:r>
          </w:p>
        </w:tc>
        <w:tc>
          <w:tcPr>
            <w:tcW w:w="0" w:type="dxa"/>
            <w:vAlign w:val="bottom"/>
          </w:tcPr>
          <w:p>
            <w:pPr>
              <w:spacing w:after="0"/>
              <w:rPr>
                <w:sz w:val="1"/>
                <w:szCs w:val="1"/>
                <w:color w:val="auto"/>
              </w:rPr>
            </w:pPr>
          </w:p>
        </w:tc>
      </w:tr>
      <w:tr>
        <w:trPr>
          <w:trHeight w:val="283"/>
        </w:trPr>
        <w:tc>
          <w:tcPr>
            <w:tcW w:w="776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60,061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35,628</w:t>
            </w:r>
          </w:p>
        </w:tc>
        <w:tc>
          <w:tcPr>
            <w:tcW w:w="0" w:type="dxa"/>
            <w:vAlign w:val="bottom"/>
          </w:tcPr>
          <w:p>
            <w:pPr>
              <w:spacing w:after="0"/>
              <w:rPr>
                <w:sz w:val="1"/>
                <w:szCs w:val="1"/>
                <w:color w:val="auto"/>
              </w:rPr>
            </w:pPr>
          </w:p>
        </w:tc>
      </w:tr>
      <w:tr>
        <w:trPr>
          <w:trHeight w:val="54"/>
        </w:trPr>
        <w:tc>
          <w:tcPr>
            <w:tcW w:w="77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1,378,360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688,852</w:t>
            </w:r>
          </w:p>
        </w:tc>
        <w:tc>
          <w:tcPr>
            <w:tcW w:w="0" w:type="dxa"/>
            <w:vAlign w:val="bottom"/>
          </w:tcPr>
          <w:p>
            <w:pPr>
              <w:spacing w:after="0"/>
              <w:rPr>
                <w:sz w:val="1"/>
                <w:szCs w:val="1"/>
                <w:color w:val="auto"/>
              </w:rPr>
            </w:pPr>
          </w:p>
        </w:tc>
      </w:tr>
      <w:tr>
        <w:trPr>
          <w:trHeight w:val="283"/>
        </w:trPr>
        <w:tc>
          <w:tcPr>
            <w:tcW w:w="7760" w:type="dxa"/>
            <w:vAlign w:val="bottom"/>
          </w:tcPr>
          <w:p>
            <w:pPr>
              <w:ind w:left="20"/>
              <w:spacing w:after="0"/>
              <w:rPr>
                <w:sz w:val="20"/>
                <w:szCs w:val="20"/>
                <w:color w:val="auto"/>
              </w:rPr>
            </w:pPr>
            <w:r>
              <w:rPr>
                <w:rFonts w:ascii="Arial" w:cs="Arial" w:eastAsia="Arial" w:hAnsi="Arial"/>
                <w:sz w:val="17"/>
                <w:szCs w:val="17"/>
                <w:color w:val="auto"/>
              </w:rPr>
              <w:t>Restricted cash, non-current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4,705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4,766</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 acquisition costs, non-current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22,715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16,185</w:t>
            </w:r>
          </w:p>
        </w:tc>
        <w:tc>
          <w:tcPr>
            <w:tcW w:w="0" w:type="dxa"/>
            <w:vAlign w:val="bottom"/>
          </w:tcPr>
          <w:p>
            <w:pPr>
              <w:spacing w:after="0"/>
              <w:rPr>
                <w:sz w:val="1"/>
                <w:szCs w:val="1"/>
                <w:color w:val="auto"/>
              </w:rPr>
            </w:pPr>
          </w:p>
        </w:tc>
      </w:tr>
      <w:tr>
        <w:trPr>
          <w:trHeight w:val="283"/>
        </w:trPr>
        <w:tc>
          <w:tcPr>
            <w:tcW w:w="776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41,624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48,006</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32,735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29,538</w:t>
            </w:r>
          </w:p>
        </w:tc>
        <w:tc>
          <w:tcPr>
            <w:tcW w:w="0" w:type="dxa"/>
            <w:vAlign w:val="bottom"/>
          </w:tcPr>
          <w:p>
            <w:pPr>
              <w:spacing w:after="0"/>
              <w:rPr>
                <w:sz w:val="1"/>
                <w:szCs w:val="1"/>
                <w:color w:val="auto"/>
              </w:rPr>
            </w:pPr>
          </w:p>
        </w:tc>
      </w:tr>
      <w:tr>
        <w:trPr>
          <w:trHeight w:val="284"/>
        </w:trPr>
        <w:tc>
          <w:tcPr>
            <w:tcW w:w="77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54,599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55,633</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232,883</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219,728</w:t>
            </w:r>
          </w:p>
        </w:tc>
        <w:tc>
          <w:tcPr>
            <w:tcW w:w="0" w:type="dxa"/>
            <w:vAlign w:val="bottom"/>
          </w:tcPr>
          <w:p>
            <w:pPr>
              <w:spacing w:after="0"/>
              <w:rPr>
                <w:sz w:val="1"/>
                <w:szCs w:val="1"/>
                <w:color w:val="auto"/>
              </w:rPr>
            </w:pPr>
          </w:p>
        </w:tc>
      </w:tr>
      <w:tr>
        <w:trPr>
          <w:trHeight w:val="284"/>
        </w:trPr>
        <w:tc>
          <w:tcPr>
            <w:tcW w:w="776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25,036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21,246</w:t>
            </w:r>
          </w:p>
        </w:tc>
        <w:tc>
          <w:tcPr>
            <w:tcW w:w="0" w:type="dxa"/>
            <w:vAlign w:val="bottom"/>
          </w:tcPr>
          <w:p>
            <w:pPr>
              <w:spacing w:after="0"/>
              <w:rPr>
                <w:sz w:val="1"/>
                <w:szCs w:val="1"/>
                <w:color w:val="auto"/>
              </w:rPr>
            </w:pPr>
          </w:p>
        </w:tc>
      </w:tr>
      <w:tr>
        <w:trPr>
          <w:trHeight w:val="54"/>
        </w:trPr>
        <w:tc>
          <w:tcPr>
            <w:tcW w:w="77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1,792,657</w:t>
            </w:r>
          </w:p>
        </w:tc>
        <w:tc>
          <w:tcPr>
            <w:tcW w:w="9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1,083,954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 stockholders’ equity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7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  62,325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  42,829</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194,814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136,798</w:t>
            </w:r>
          </w:p>
        </w:tc>
        <w:tc>
          <w:tcPr>
            <w:tcW w:w="0" w:type="dxa"/>
            <w:vAlign w:val="bottom"/>
          </w:tcPr>
          <w:p>
            <w:pPr>
              <w:spacing w:after="0"/>
              <w:rPr>
                <w:sz w:val="1"/>
                <w:szCs w:val="1"/>
                <w:color w:val="auto"/>
              </w:rPr>
            </w:pPr>
          </w:p>
        </w:tc>
      </w:tr>
      <w:tr>
        <w:trPr>
          <w:trHeight w:val="283"/>
        </w:trPr>
        <w:tc>
          <w:tcPr>
            <w:tcW w:w="7760" w:type="dxa"/>
            <w:vAlign w:val="bottom"/>
          </w:tcPr>
          <w:p>
            <w:pPr>
              <w:ind w:left="260"/>
              <w:spacing w:after="0"/>
              <w:rPr>
                <w:sz w:val="20"/>
                <w:szCs w:val="20"/>
                <w:color w:val="auto"/>
              </w:rPr>
            </w:pPr>
            <w:r>
              <w:rPr>
                <w:rFonts w:ascii="Arial" w:cs="Arial" w:eastAsia="Arial" w:hAnsi="Arial"/>
                <w:sz w:val="17"/>
                <w:szCs w:val="17"/>
                <w:color w:val="auto"/>
              </w:rPr>
              <w:t>Notes payable, current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175,913</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Trade loan facility</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284"/>
        </w:trPr>
        <w:tc>
          <w:tcPr>
            <w:tcW w:w="7760" w:type="dxa"/>
            <w:vAlign w:val="bottom"/>
          </w:tcPr>
          <w:p>
            <w:pPr>
              <w:ind w:left="260"/>
              <w:spacing w:after="0"/>
              <w:rPr>
                <w:sz w:val="20"/>
                <w:szCs w:val="20"/>
                <w:color w:val="auto"/>
              </w:rPr>
            </w:pPr>
            <w:r>
              <w:rPr>
                <w:rFonts w:ascii="Arial" w:cs="Arial" w:eastAsia="Arial" w:hAnsi="Arial"/>
                <w:sz w:val="17"/>
                <w:szCs w:val="17"/>
                <w:color w:val="auto"/>
              </w:rPr>
              <w:t>Operating lease liabilities, current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11,389</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revenue, current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38,457</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34,097</w:t>
            </w:r>
          </w:p>
        </w:tc>
        <w:tc>
          <w:tcPr>
            <w:tcW w:w="0" w:type="dxa"/>
            <w:vAlign w:val="bottom"/>
          </w:tcPr>
          <w:p>
            <w:pPr>
              <w:spacing w:after="0"/>
              <w:rPr>
                <w:sz w:val="1"/>
                <w:szCs w:val="1"/>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6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307,099</w:t>
            </w:r>
          </w:p>
        </w:tc>
        <w:tc>
          <w:tcPr>
            <w:tcW w:w="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446,026</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37,476</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43,098</w:t>
            </w:r>
          </w:p>
        </w:tc>
        <w:tc>
          <w:tcPr>
            <w:tcW w:w="0" w:type="dxa"/>
            <w:vAlign w:val="bottom"/>
          </w:tcPr>
          <w:p>
            <w:pPr>
              <w:spacing w:after="0"/>
              <w:rPr>
                <w:sz w:val="1"/>
                <w:szCs w:val="1"/>
                <w:color w:val="auto"/>
              </w:rPr>
            </w:pPr>
          </w:p>
        </w:tc>
      </w:tr>
      <w:tr>
        <w:trPr>
          <w:trHeight w:val="284"/>
        </w:trPr>
        <w:tc>
          <w:tcPr>
            <w:tcW w:w="7760" w:type="dxa"/>
            <w:vAlign w:val="bottom"/>
          </w:tcPr>
          <w:p>
            <w:pPr>
              <w:ind w:left="20"/>
              <w:spacing w:after="0"/>
              <w:rPr>
                <w:sz w:val="20"/>
                <w:szCs w:val="20"/>
                <w:color w:val="auto"/>
              </w:rPr>
            </w:pPr>
            <w:r>
              <w:rPr>
                <w:rFonts w:ascii="Arial" w:cs="Arial" w:eastAsia="Arial" w:hAnsi="Arial"/>
                <w:sz w:val="17"/>
                <w:szCs w:val="17"/>
                <w:color w:val="auto"/>
              </w:rPr>
              <w:t>Convertible notes</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182,394</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Embedded derivative liability</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59,820</w:t>
            </w:r>
          </w:p>
        </w:tc>
        <w:tc>
          <w:tcPr>
            <w:tcW w:w="0" w:type="dxa"/>
            <w:vAlign w:val="bottom"/>
          </w:tcPr>
          <w:p>
            <w:pPr>
              <w:spacing w:after="0"/>
              <w:rPr>
                <w:sz w:val="1"/>
                <w:szCs w:val="1"/>
                <w:color w:val="auto"/>
              </w:rPr>
            </w:pPr>
          </w:p>
        </w:tc>
      </w:tr>
      <w:tr>
        <w:trPr>
          <w:trHeight w:val="284"/>
        </w:trPr>
        <w:tc>
          <w:tcPr>
            <w:tcW w:w="776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37,000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Warehouse credit facility</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168,174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214,238</w:t>
            </w:r>
          </w:p>
        </w:tc>
        <w:tc>
          <w:tcPr>
            <w:tcW w:w="0" w:type="dxa"/>
            <w:vAlign w:val="bottom"/>
          </w:tcPr>
          <w:p>
            <w:pPr>
              <w:spacing w:after="0"/>
              <w:rPr>
                <w:sz w:val="1"/>
                <w:szCs w:val="1"/>
                <w:color w:val="auto"/>
              </w:rPr>
            </w:pPr>
          </w:p>
        </w:tc>
      </w:tr>
      <w:tr>
        <w:trPr>
          <w:trHeight w:val="283"/>
        </w:trPr>
        <w:tc>
          <w:tcPr>
            <w:tcW w:w="7760" w:type="dxa"/>
            <w:vAlign w:val="bottom"/>
          </w:tcPr>
          <w:p>
            <w:pPr>
              <w:ind w:left="20"/>
              <w:spacing w:after="0"/>
              <w:rPr>
                <w:sz w:val="20"/>
                <w:szCs w:val="20"/>
                <w:color w:val="auto"/>
              </w:rPr>
            </w:pPr>
            <w:r>
              <w:rPr>
                <w:rFonts w:ascii="Arial" w:cs="Arial" w:eastAsia="Arial" w:hAnsi="Arial"/>
                <w:sz w:val="17"/>
                <w:szCs w:val="17"/>
                <w:color w:val="auto"/>
              </w:rPr>
              <w:t>Notes payable, non-current</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54"/>
        </w:trPr>
        <w:tc>
          <w:tcPr>
            <w:tcW w:w="7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83"/>
        </w:trPr>
        <w:tc>
          <w:tcPr>
            <w:tcW w:w="776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23,957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22,949</w:t>
            </w:r>
          </w:p>
        </w:tc>
        <w:tc>
          <w:tcPr>
            <w:tcW w:w="0" w:type="dxa"/>
            <w:vAlign w:val="bottom"/>
          </w:tcPr>
          <w:p>
            <w:pPr>
              <w:spacing w:after="0"/>
              <w:rPr>
                <w:sz w:val="1"/>
                <w:szCs w:val="1"/>
                <w:color w:val="auto"/>
              </w:rPr>
            </w:pPr>
          </w:p>
        </w:tc>
      </w:tr>
      <w:tr>
        <w:trPr>
          <w:trHeight w:val="54"/>
        </w:trPr>
        <w:tc>
          <w:tcPr>
            <w:tcW w:w="77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573,836</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969,732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-7680325</wp:posOffset>
            </wp:positionV>
            <wp:extent cx="8255"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9748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-7680325</wp:posOffset>
            </wp:positionV>
            <wp:extent cx="889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9748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2" w:name="page13"/>
    <w:bookmarkEnd w:id="12"/>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5128895</wp:posOffset>
            </wp:positionH>
            <wp:positionV relativeFrom="page">
              <wp:posOffset>929005</wp:posOffset>
            </wp:positionV>
            <wp:extent cx="2211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7760" w:type="dxa"/>
            <w:vAlign w:val="bottom"/>
          </w:tcPr>
          <w:p>
            <w:pPr>
              <w:ind w:left="20"/>
              <w:spacing w:after="0"/>
              <w:rPr>
                <w:sz w:val="20"/>
                <w:szCs w:val="20"/>
                <w:color w:val="auto"/>
              </w:rPr>
            </w:pPr>
            <w:r>
              <w:rPr>
                <w:rFonts w:ascii="Arial" w:cs="Arial" w:eastAsia="Arial" w:hAnsi="Arial"/>
                <w:sz w:val="17"/>
                <w:szCs w:val="17"/>
                <w:color w:val="auto"/>
              </w:rPr>
              <w:t>Redeemable convertible preferred stock</w:t>
            </w:r>
          </w:p>
        </w:tc>
        <w:tc>
          <w:tcPr>
            <w:tcW w:w="18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16"/>
              <w:spacing w:after="0"/>
              <w:rPr>
                <w:sz w:val="20"/>
                <w:szCs w:val="20"/>
                <w:color w:val="auto"/>
              </w:rPr>
            </w:pPr>
            <w:r>
              <w:rPr>
                <w:rFonts w:ascii="Arial" w:cs="Arial" w:eastAsia="Arial" w:hAnsi="Arial"/>
                <w:sz w:val="17"/>
                <w:szCs w:val="17"/>
                <w:color w:val="auto"/>
              </w:rPr>
              <w:t>1,301,121</w:t>
            </w:r>
          </w:p>
        </w:tc>
      </w:tr>
      <w:tr>
        <w:trPr>
          <w:trHeight w:val="54"/>
        </w:trPr>
        <w:tc>
          <w:tcPr>
            <w:tcW w:w="7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1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 (deficit)</w:t>
            </w:r>
          </w:p>
        </w:tc>
        <w:tc>
          <w:tcPr>
            <w:tcW w:w="1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r>
      <w:tr>
        <w:trPr>
          <w:trHeight w:val="283"/>
        </w:trPr>
        <w:tc>
          <w:tcPr>
            <w:tcW w:w="7760" w:type="dxa"/>
            <w:vAlign w:val="bottom"/>
          </w:tcPr>
          <w:p>
            <w:pPr>
              <w:ind w:left="180"/>
              <w:spacing w:after="0"/>
              <w:rPr>
                <w:sz w:val="20"/>
                <w:szCs w:val="20"/>
                <w:color w:val="auto"/>
              </w:rPr>
            </w:pPr>
            <w:r>
              <w:rPr>
                <w:rFonts w:ascii="Arial" w:cs="Arial" w:eastAsia="Arial" w:hAnsi="Arial"/>
                <w:sz w:val="17"/>
                <w:szCs w:val="17"/>
                <w:color w:val="auto"/>
              </w:rPr>
              <w:t>Preferred stock</w:t>
            </w:r>
          </w:p>
        </w:tc>
        <w:tc>
          <w:tcPr>
            <w:tcW w:w="1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6"/>
              <w:spacing w:after="0"/>
              <w:rPr>
                <w:sz w:val="20"/>
                <w:szCs w:val="20"/>
                <w:color w:val="auto"/>
              </w:rPr>
            </w:pPr>
            <w:r>
              <w:rPr>
                <w:rFonts w:ascii="Arial" w:cs="Arial" w:eastAsia="Arial" w:hAnsi="Arial"/>
                <w:sz w:val="16"/>
                <w:szCs w:val="16"/>
                <w:color w:val="auto"/>
              </w:rPr>
              <w:t>—</w:t>
            </w:r>
          </w:p>
        </w:tc>
      </w:tr>
      <w:tr>
        <w:trPr>
          <w:trHeight w:val="54"/>
        </w:trPr>
        <w:tc>
          <w:tcPr>
            <w:tcW w:w="7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18"/>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Class A common stock</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6"/>
                <w:szCs w:val="16"/>
                <w:color w:val="auto"/>
              </w:rPr>
              <w:t>1</w:t>
            </w:r>
          </w:p>
        </w:tc>
      </w:tr>
      <w:tr>
        <w:trPr>
          <w:trHeight w:val="283"/>
        </w:trPr>
        <w:tc>
          <w:tcPr>
            <w:tcW w:w="7760" w:type="dxa"/>
            <w:vAlign w:val="bottom"/>
          </w:tcPr>
          <w:p>
            <w:pPr>
              <w:ind w:left="180"/>
              <w:spacing w:after="0"/>
              <w:rPr>
                <w:sz w:val="20"/>
                <w:szCs w:val="20"/>
                <w:color w:val="auto"/>
              </w:rPr>
            </w:pPr>
            <w:r>
              <w:rPr>
                <w:rFonts w:ascii="Arial" w:cs="Arial" w:eastAsia="Arial" w:hAnsi="Arial"/>
                <w:sz w:val="17"/>
                <w:szCs w:val="17"/>
                <w:color w:val="auto"/>
              </w:rPr>
              <w:t>Class B common stock</w:t>
            </w:r>
          </w:p>
        </w:tc>
        <w:tc>
          <w:tcPr>
            <w:tcW w:w="1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6"/>
              <w:spacing w:after="0"/>
              <w:rPr>
                <w:sz w:val="20"/>
                <w:szCs w:val="20"/>
                <w:color w:val="auto"/>
              </w:rPr>
            </w:pPr>
            <w:r>
              <w:rPr>
                <w:rFonts w:ascii="Arial" w:cs="Arial" w:eastAsia="Arial" w:hAnsi="Arial"/>
                <w:sz w:val="16"/>
                <w:szCs w:val="16"/>
                <w:color w:val="auto"/>
              </w:rPr>
              <w:t>—</w:t>
            </w:r>
          </w:p>
        </w:tc>
      </w:tr>
      <w:tr>
        <w:trPr>
          <w:trHeight w:val="54"/>
        </w:trPr>
        <w:tc>
          <w:tcPr>
            <w:tcW w:w="7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18"/>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3,177,712</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467,835</w:t>
            </w:r>
          </w:p>
        </w:tc>
      </w:tr>
      <w:tr>
        <w:trPr>
          <w:trHeight w:val="283"/>
        </w:trPr>
        <w:tc>
          <w:tcPr>
            <w:tcW w:w="776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80" w:type="dxa"/>
            <w:vAlign w:val="bottom"/>
          </w:tcPr>
          <w:p>
            <w:pPr>
              <w:jc w:val="right"/>
              <w:spacing w:after="0"/>
              <w:rPr>
                <w:sz w:val="20"/>
                <w:szCs w:val="20"/>
                <w:color w:val="auto"/>
              </w:rPr>
            </w:pPr>
            <w:r>
              <w:rPr>
                <w:rFonts w:ascii="Arial" w:cs="Arial" w:eastAsia="Arial" w:hAnsi="Arial"/>
                <w:sz w:val="17"/>
                <w:szCs w:val="17"/>
                <w:color w:val="auto"/>
              </w:rPr>
              <w:t>(1,942,382)</w:t>
            </w:r>
          </w:p>
        </w:tc>
        <w:tc>
          <w:tcPr>
            <w:tcW w:w="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(1,617,113)</w:t>
            </w:r>
          </w:p>
        </w:tc>
      </w:tr>
      <w:tr>
        <w:trPr>
          <w:trHeight w:val="54"/>
        </w:trPr>
        <w:tc>
          <w:tcPr>
            <w:tcW w:w="7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38"/>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(16,511)</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(37,622)</w:t>
            </w:r>
          </w:p>
        </w:tc>
      </w:tr>
      <w:tr>
        <w:trPr>
          <w:trHeight w:val="263"/>
        </w:trPr>
        <w:tc>
          <w:tcPr>
            <w:tcW w:w="7760" w:type="dxa"/>
            <w:vAlign w:val="bottom"/>
          </w:tcPr>
          <w:p>
            <w:pPr>
              <w:ind w:left="20"/>
              <w:spacing w:after="0"/>
              <w:rPr>
                <w:sz w:val="20"/>
                <w:szCs w:val="20"/>
                <w:color w:val="auto"/>
              </w:rPr>
            </w:pPr>
            <w:r>
              <w:rPr>
                <w:rFonts w:ascii="Arial" w:cs="Arial" w:eastAsia="Arial" w:hAnsi="Arial"/>
                <w:sz w:val="17"/>
                <w:szCs w:val="17"/>
                <w:color w:val="auto"/>
              </w:rPr>
              <w:t>Total stockholders’ equity (deficit)</w:t>
            </w:r>
          </w:p>
        </w:tc>
        <w:tc>
          <w:tcPr>
            <w:tcW w:w="168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rPr>
              <w:t>1,218,821</w:t>
            </w:r>
          </w:p>
        </w:tc>
        <w:tc>
          <w:tcPr>
            <w:tcW w:w="120" w:type="dxa"/>
            <w:vAlign w:val="bottom"/>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(1,186,899)</w:t>
            </w:r>
          </w:p>
        </w:tc>
      </w:tr>
      <w:tr>
        <w:trPr>
          <w:trHeight w:val="54"/>
        </w:trPr>
        <w:tc>
          <w:tcPr>
            <w:tcW w:w="776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3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redeemable convertible preferred stock and stockholders’ equity (deficit)</w:t>
            </w:r>
          </w:p>
        </w:tc>
        <w:tc>
          <w:tcPr>
            <w:tcW w:w="16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  1,792,657</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  1,083,954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ind w:left="4200"/>
        <w:spacing w:after="0"/>
        <w:rPr>
          <w:sz w:val="20"/>
          <w:szCs w:val="20"/>
          <w:color w:val="auto"/>
        </w:rPr>
      </w:pPr>
      <w:r>
        <w:rPr>
          <w:rFonts w:ascii="Arial" w:cs="Arial" w:eastAsia="Arial" w:hAnsi="Arial"/>
          <w:sz w:val="18"/>
          <w:szCs w:val="18"/>
          <w:b w:val="1"/>
          <w:bCs w:val="1"/>
          <w:color w:val="auto"/>
        </w:rPr>
        <w:t>NAVAN, INC. AND SUBSIDIARIES</w:t>
      </w:r>
    </w:p>
    <w:p>
      <w:pPr>
        <w:spacing w:after="0" w:line="5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31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October 31,</w:t>
            </w:r>
          </w:p>
        </w:tc>
        <w:tc>
          <w:tcPr>
            <w:tcW w:w="304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Nine Months Ended October 31,</w:t>
            </w:r>
          </w:p>
        </w:tc>
      </w:tr>
      <w:tr>
        <w:trPr>
          <w:trHeight w:val="29"/>
        </w:trPr>
        <w:tc>
          <w:tcPr>
            <w:tcW w:w="50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8"/>
        </w:trPr>
        <w:tc>
          <w:tcPr>
            <w:tcW w:w="5080" w:type="dxa"/>
            <w:vAlign w:val="bottom"/>
          </w:tcPr>
          <w:p>
            <w:pPr>
              <w:spacing w:after="0"/>
              <w:rPr>
                <w:sz w:val="21"/>
                <w:szCs w:val="21"/>
                <w:color w:val="auto"/>
              </w:rPr>
            </w:pPr>
          </w:p>
        </w:tc>
        <w:tc>
          <w:tcPr>
            <w:tcW w:w="14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1"/>
                <w:szCs w:val="21"/>
                <w:color w:val="auto"/>
              </w:rPr>
            </w:pPr>
          </w:p>
        </w:tc>
        <w:tc>
          <w:tcPr>
            <w:tcW w:w="14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21"/>
                <w:szCs w:val="21"/>
                <w:color w:val="auto"/>
              </w:rPr>
            </w:pPr>
          </w:p>
        </w:tc>
        <w:tc>
          <w:tcPr>
            <w:tcW w:w="14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1"/>
                <w:szCs w:val="21"/>
                <w:color w:val="auto"/>
              </w:rPr>
            </w:pPr>
          </w:p>
        </w:tc>
        <w:tc>
          <w:tcPr>
            <w:tcW w:w="14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9"/>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9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301"/>
        </w:trPr>
        <w:tc>
          <w:tcPr>
            <w:tcW w:w="5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60" w:type="dxa"/>
            <w:vAlign w:val="bottom"/>
          </w:tcPr>
          <w:p>
            <w:pPr>
              <w:jc w:val="right"/>
              <w:spacing w:after="0"/>
              <w:rPr>
                <w:sz w:val="20"/>
                <w:szCs w:val="20"/>
                <w:color w:val="auto"/>
              </w:rPr>
            </w:pPr>
            <w:r>
              <w:rPr>
                <w:rFonts w:ascii="Arial" w:cs="Arial" w:eastAsia="Arial" w:hAnsi="Arial"/>
                <w:sz w:val="18"/>
                <w:szCs w:val="18"/>
                <w:color w:val="auto"/>
              </w:rPr>
              <w:t>$  (225,389)</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(41,882)</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(325,269)</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(134,426)</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01"/>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w:t>
            </w: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73"/>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301"/>
        </w:trPr>
        <w:tc>
          <w:tcPr>
            <w:tcW w:w="5080" w:type="dxa"/>
            <w:vAlign w:val="bottom"/>
          </w:tcPr>
          <w:p>
            <w:pPr>
              <w:ind w:left="360"/>
              <w:spacing w:after="0"/>
              <w:rPr>
                <w:sz w:val="20"/>
                <w:szCs w:val="20"/>
                <w:color w:val="auto"/>
              </w:rPr>
            </w:pPr>
            <w:r>
              <w:rPr>
                <w:rFonts w:ascii="Arial" w:cs="Arial" w:eastAsia="Arial" w:hAnsi="Arial"/>
                <w:sz w:val="18"/>
                <w:szCs w:val="18"/>
                <w:color w:val="auto"/>
              </w:rPr>
              <w:t>Stock-based compensation, net of amounts capitalized</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99,182</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24,574</w:t>
            </w:r>
          </w:p>
        </w:tc>
        <w:tc>
          <w:tcPr>
            <w:tcW w:w="8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135,091</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59,487</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8,179</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11,765</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25,813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35,817</w:t>
            </w: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5,916</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6,005</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18,125</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18,832</w:t>
            </w: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Amortization of contract acquisition costs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4,172</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3,676</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doubtful accounts</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2,248</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1,531</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6,633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4,439</w:t>
            </w: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Loss (gain) on fair value adjustments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29,155</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47,041</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 expensed related to SAFEs</w:t>
            </w: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97,450</w:t>
            </w:r>
          </w:p>
        </w:tc>
        <w:tc>
          <w:tcPr>
            <w:tcW w:w="12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117,978</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202</w:t>
            </w:r>
          </w:p>
        </w:tc>
      </w:tr>
      <w:tr>
        <w:trPr>
          <w:trHeight w:val="301"/>
        </w:trPr>
        <w:tc>
          <w:tcPr>
            <w:tcW w:w="50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effect of</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business acquisitions: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(31,326)</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r>
      <w:tr>
        <w:trPr>
          <w:trHeight w:val="301"/>
        </w:trPr>
        <w:tc>
          <w:tcPr>
            <w:tcW w:w="508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(3,814)</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(22,290)</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(14,015)</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Contract acquisition costs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(16,648)</w:t>
            </w:r>
          </w:p>
        </w:tc>
      </w:tr>
      <w:tr>
        <w:trPr>
          <w:trHeight w:val="301"/>
        </w:trPr>
        <w:tc>
          <w:tcPr>
            <w:tcW w:w="5080" w:type="dxa"/>
            <w:vAlign w:val="bottom"/>
          </w:tcPr>
          <w:p>
            <w:pPr>
              <w:ind w:left="600"/>
              <w:spacing w:after="0"/>
              <w:rPr>
                <w:sz w:val="20"/>
                <w:szCs w:val="20"/>
                <w:color w:val="auto"/>
              </w:rPr>
            </w:pPr>
            <w:r>
              <w:rPr>
                <w:rFonts w:ascii="Arial" w:cs="Arial" w:eastAsia="Arial" w:hAnsi="Arial"/>
                <w:sz w:val="18"/>
                <w:szCs w:val="18"/>
                <w:color w:val="auto"/>
              </w:rPr>
              <w:t>Other non-current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3,793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10,599</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6,726</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31,096</w:t>
            </w:r>
          </w:p>
        </w:tc>
      </w:tr>
      <w:tr>
        <w:trPr>
          <w:trHeight w:val="301"/>
        </w:trPr>
        <w:tc>
          <w:tcPr>
            <w:tcW w:w="508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17,825</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13,346</w:t>
            </w:r>
          </w:p>
        </w:tc>
        <w:tc>
          <w:tcPr>
            <w:tcW w:w="8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24,669</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3,533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1,196</w:t>
            </w:r>
          </w:p>
        </w:tc>
      </w:tr>
      <w:tr>
        <w:trPr>
          <w:trHeight w:val="301"/>
        </w:trPr>
        <w:tc>
          <w:tcPr>
            <w:tcW w:w="5080" w:type="dxa"/>
            <w:vAlign w:val="bottom"/>
          </w:tcPr>
          <w:p>
            <w:pPr>
              <w:ind w:left="600"/>
              <w:spacing w:after="0"/>
              <w:rPr>
                <w:sz w:val="20"/>
                <w:szCs w:val="20"/>
                <w:color w:val="auto"/>
              </w:rPr>
            </w:pPr>
            <w:r>
              <w:rPr>
                <w:rFonts w:ascii="Arial" w:cs="Arial" w:eastAsia="Arial" w:hAnsi="Arial"/>
                <w:sz w:val="18"/>
                <w:szCs w:val="18"/>
                <w:color w:val="auto"/>
              </w:rPr>
              <w:t>Operating lease right-of-use asset and operating lease</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3"/>
        </w:trPr>
        <w:tc>
          <w:tcPr>
            <w:tcW w:w="5080" w:type="dxa"/>
            <w:vAlign w:val="bottom"/>
          </w:tcPr>
          <w:p>
            <w:pPr>
              <w:ind w:left="840"/>
              <w:spacing w:after="0"/>
              <w:rPr>
                <w:sz w:val="20"/>
                <w:szCs w:val="20"/>
                <w:color w:val="auto"/>
              </w:rPr>
            </w:pPr>
            <w:r>
              <w:rPr>
                <w:rFonts w:ascii="Arial" w:cs="Arial" w:eastAsia="Arial" w:hAnsi="Arial"/>
                <w:sz w:val="18"/>
                <w:szCs w:val="18"/>
                <w:color w:val="auto"/>
              </w:rPr>
              <w:t>liabilities, net</w:t>
            </w:r>
          </w:p>
        </w:tc>
        <w:tc>
          <w:tcPr>
            <w:tcW w:w="146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2,491</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51"/>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757</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759</w:t>
            </w:r>
          </w:p>
        </w:tc>
      </w:tr>
      <w:tr>
        <w:trPr>
          <w:trHeight w:val="281"/>
        </w:trPr>
        <w:tc>
          <w:tcPr>
            <w:tcW w:w="5080" w:type="dxa"/>
            <w:vAlign w:val="bottom"/>
          </w:tcPr>
          <w:p>
            <w:pPr>
              <w:ind w:left="840"/>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(12,435)</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(41,468)</w:t>
            </w:r>
          </w:p>
        </w:tc>
      </w:tr>
      <w:tr>
        <w:trPr>
          <w:trHeight w:val="50"/>
        </w:trPr>
        <w:tc>
          <w:tcPr>
            <w:tcW w:w="50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9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460" w:type="dxa"/>
            <w:vAlign w:val="bottom"/>
          </w:tcPr>
          <w:p>
            <w:pPr>
              <w:jc w:val="right"/>
              <w:spacing w:after="0"/>
              <w:rPr>
                <w:sz w:val="20"/>
                <w:szCs w:val="20"/>
                <w:color w:val="auto"/>
              </w:rPr>
            </w:pPr>
            <w:r>
              <w:rPr>
                <w:rFonts w:ascii="Arial" w:cs="Arial" w:eastAsia="Arial" w:hAnsi="Arial"/>
                <w:sz w:val="18"/>
                <w:szCs w:val="18"/>
                <w:color w:val="auto"/>
              </w:rPr>
              <w:t>(4,865)</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(11,567)</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Proceeds from sale of subsidiary, net of cash sold</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4"/>
                <w:szCs w:val="24"/>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50"/>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30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corporate card receivables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(33,227)</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(35,533)</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19,126</w:t>
            </w:r>
          </w:p>
        </w:tc>
      </w:tr>
      <w:tr>
        <w:trPr>
          <w:trHeight w:val="50"/>
        </w:trPr>
        <w:tc>
          <w:tcPr>
            <w:tcW w:w="508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r>
    </w:tbl>
    <w:p>
      <w:pPr>
        <w:sectPr>
          <w:pgSz w:w="11900" w:h="16838" w:orient="portrait"/>
          <w:cols w:equalWidth="0" w:num="1">
            <w:col w:w="11240"/>
          </w:cols>
          <w:pgMar w:left="320" w:top="782"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80" w:type="dxa"/>
            <w:vAlign w:val="bottom"/>
          </w:tcPr>
          <w:p>
            <w:pPr>
              <w:ind w:left="360"/>
              <w:spacing w:after="0"/>
              <w:rPr>
                <w:sz w:val="20"/>
                <w:szCs w:val="20"/>
                <w:color w:val="auto"/>
              </w:rPr>
            </w:pPr>
            <w:r>
              <w:rPr>
                <w:rFonts w:ascii="Arial" w:cs="Arial" w:eastAsia="Arial" w:hAnsi="Arial"/>
                <w:sz w:val="18"/>
                <w:szCs w:val="18"/>
                <w:color w:val="auto"/>
              </w:rPr>
              <w:t>Cash consideration for business acquisition, net of cash</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600"/>
              <w:spacing w:after="0"/>
              <w:rPr>
                <w:sz w:val="20"/>
                <w:szCs w:val="20"/>
                <w:color w:val="auto"/>
              </w:rPr>
            </w:pPr>
            <w:r>
              <w:rPr>
                <w:rFonts w:ascii="Arial" w:cs="Arial" w:eastAsia="Arial" w:hAnsi="Arial"/>
                <w:sz w:val="18"/>
                <w:szCs w:val="18"/>
                <w:color w:val="auto"/>
              </w:rPr>
              <w:t>acquired</w:t>
            </w:r>
          </w:p>
        </w:tc>
        <w:tc>
          <w:tcPr>
            <w:tcW w:w="5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0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(38,493)</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(49,548)</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68"/>
        </w:trPr>
        <w:tc>
          <w:tcPr>
            <w:tcW w:w="50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17,528</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23,682</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301"/>
        </w:trPr>
        <w:tc>
          <w:tcPr>
            <w:tcW w:w="5080" w:type="dxa"/>
            <w:vAlign w:val="bottom"/>
          </w:tcPr>
          <w:p>
            <w:pPr>
              <w:ind w:left="360"/>
              <w:spacing w:after="0"/>
              <w:rPr>
                <w:sz w:val="20"/>
                <w:szCs w:val="20"/>
                <w:color w:val="auto"/>
              </w:rPr>
            </w:pPr>
            <w:r>
              <w:rPr>
                <w:rFonts w:ascii="Arial" w:cs="Arial" w:eastAsia="Arial" w:hAnsi="Arial"/>
                <w:sz w:val="18"/>
                <w:szCs w:val="18"/>
                <w:color w:val="auto"/>
              </w:rPr>
              <w:t>Proceeds from borrowings of debt</w:t>
            </w:r>
          </w:p>
        </w:tc>
        <w:tc>
          <w:tcPr>
            <w:tcW w:w="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24,965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33,082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215,932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84,800</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issuance of SAFEs</w:t>
            </w:r>
          </w:p>
        </w:tc>
        <w:tc>
          <w:tcPr>
            <w:tcW w:w="5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155,000</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1"/>
        </w:trPr>
        <w:tc>
          <w:tcPr>
            <w:tcW w:w="5080" w:type="dxa"/>
            <w:vAlign w:val="bottom"/>
          </w:tcPr>
          <w:p>
            <w:pPr>
              <w:ind w:left="20"/>
              <w:spacing w:after="0"/>
              <w:rPr>
                <w:sz w:val="20"/>
                <w:szCs w:val="20"/>
                <w:color w:val="auto"/>
              </w:rPr>
            </w:pPr>
            <w:r>
              <w:rPr>
                <w:rFonts w:ascii="Arial" w:cs="Arial" w:eastAsia="Arial" w:hAnsi="Arial"/>
                <w:sz w:val="18"/>
                <w:szCs w:val="18"/>
                <w:color w:val="auto"/>
              </w:rPr>
              <w:t>Payments of borrowings of debt</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(134,349)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(468,124)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for debt issuance costs</w:t>
            </w:r>
          </w:p>
        </w:tc>
        <w:tc>
          <w:tcPr>
            <w:tcW w:w="5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301"/>
        </w:trPr>
        <w:tc>
          <w:tcPr>
            <w:tcW w:w="5080" w:type="dxa"/>
            <w:vAlign w:val="bottom"/>
          </w:tcPr>
          <w:p>
            <w:pPr>
              <w:ind w:left="360"/>
              <w:spacing w:after="0"/>
              <w:rPr>
                <w:sz w:val="20"/>
                <w:szCs w:val="20"/>
                <w:color w:val="auto"/>
              </w:rPr>
            </w:pPr>
            <w:r>
              <w:rPr>
                <w:rFonts w:ascii="Arial" w:cs="Arial" w:eastAsia="Arial" w:hAnsi="Arial"/>
                <w:sz w:val="18"/>
                <w:szCs w:val="18"/>
                <w:color w:val="auto"/>
              </w:rPr>
              <w:t>Payments of deferred offering costs</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deferred consideration in business</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combinations</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301"/>
        </w:trPr>
        <w:tc>
          <w:tcPr>
            <w:tcW w:w="508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in IPO, net of</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600"/>
              <w:spacing w:after="0"/>
              <w:rPr>
                <w:sz w:val="20"/>
                <w:szCs w:val="20"/>
                <w:color w:val="auto"/>
              </w:rPr>
            </w:pPr>
            <w:r>
              <w:rPr>
                <w:rFonts w:ascii="Arial" w:cs="Arial" w:eastAsia="Arial" w:hAnsi="Arial"/>
                <w:sz w:val="18"/>
                <w:szCs w:val="18"/>
                <w:color w:val="auto"/>
              </w:rPr>
              <w:t>underwriting costs</w:t>
            </w: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713,302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713,302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collected from selling shareholders stock option</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exercises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14,281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14,281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1"/>
        </w:trPr>
        <w:tc>
          <w:tcPr>
            <w:tcW w:w="5080" w:type="dxa"/>
            <w:vAlign w:val="bottom"/>
          </w:tcPr>
          <w:p>
            <w:pPr>
              <w:ind w:left="360"/>
              <w:spacing w:after="0"/>
              <w:rPr>
                <w:sz w:val="20"/>
                <w:szCs w:val="20"/>
                <w:color w:val="auto"/>
              </w:rPr>
            </w:pPr>
            <w:r>
              <w:rPr>
                <w:rFonts w:ascii="Arial" w:cs="Arial" w:eastAsia="Arial" w:hAnsi="Arial"/>
                <w:sz w:val="18"/>
                <w:szCs w:val="18"/>
                <w:color w:val="auto"/>
              </w:rPr>
              <w:t>Payment of tax withholdings on settlement of RSUs</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exercise of warrants</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1"/>
        </w:trPr>
        <w:tc>
          <w:tcPr>
            <w:tcW w:w="5080" w:type="dxa"/>
            <w:vAlign w:val="bottom"/>
          </w:tcPr>
          <w:p>
            <w:pPr>
              <w:ind w:left="84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624,019</w:t>
            </w: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26,271</w:t>
            </w: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630,625</w:t>
            </w: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77,686</w:t>
            </w: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5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Effect of exchange rate changes on cash, cash</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equivalents and restricted cash</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4,893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301"/>
        </w:trPr>
        <w:tc>
          <w:tcPr>
            <w:tcW w:w="5080" w:type="dxa"/>
            <w:vAlign w:val="bottom"/>
          </w:tcPr>
          <w:p>
            <w:pPr>
              <w:ind w:left="840"/>
              <w:spacing w:after="0"/>
              <w:rPr>
                <w:sz w:val="20"/>
                <w:szCs w:val="20"/>
                <w:color w:val="auto"/>
              </w:rPr>
            </w:pPr>
            <w:r>
              <w:rPr>
                <w:rFonts w:ascii="Arial" w:cs="Arial" w:eastAsia="Arial" w:hAnsi="Arial"/>
                <w:sz w:val="18"/>
                <w:szCs w:val="18"/>
                <w:color w:val="auto"/>
              </w:rPr>
              <w:t>Net increase (decrease) in cash, cash equivalents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000"/>
              <w:spacing w:after="0"/>
              <w:rPr>
                <w:sz w:val="20"/>
                <w:szCs w:val="20"/>
                <w:color w:val="auto"/>
              </w:rPr>
            </w:pPr>
            <w:r>
              <w:rPr>
                <w:rFonts w:ascii="Arial" w:cs="Arial" w:eastAsia="Arial" w:hAnsi="Arial"/>
                <w:sz w:val="18"/>
                <w:szCs w:val="18"/>
                <w:color w:val="auto"/>
              </w:rPr>
              <w:t>and restricted cash</w:t>
            </w: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579,716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(9,447)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584,659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38,508</w:t>
            </w: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315,538</w:t>
            </w:r>
          </w:p>
        </w:tc>
        <w:tc>
          <w:tcPr>
            <w:tcW w:w="120" w:type="dxa"/>
            <w:vAlign w:val="bottom"/>
            <w:shd w:val="clear" w:color="auto" w:fill="CCEEFF"/>
          </w:tcPr>
          <w:p>
            <w:pPr>
              <w:spacing w:after="0"/>
              <w:rPr>
                <w:sz w:val="22"/>
                <w:szCs w:val="22"/>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315,337</w:t>
            </w:r>
          </w:p>
        </w:tc>
        <w:tc>
          <w:tcPr>
            <w:tcW w:w="80" w:type="dxa"/>
            <w:vAlign w:val="bottom"/>
            <w:shd w:val="clear" w:color="auto" w:fill="CCEEFF"/>
          </w:tcPr>
          <w:p>
            <w:pPr>
              <w:spacing w:after="0"/>
              <w:rPr>
                <w:sz w:val="22"/>
                <w:szCs w:val="22"/>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310,595</w:t>
            </w:r>
          </w:p>
        </w:tc>
        <w:tc>
          <w:tcPr>
            <w:tcW w:w="120" w:type="dxa"/>
            <w:vAlign w:val="bottom"/>
            <w:shd w:val="clear" w:color="auto" w:fill="CCEEFF"/>
          </w:tcPr>
          <w:p>
            <w:pPr>
              <w:spacing w:after="0"/>
              <w:rPr>
                <w:sz w:val="22"/>
                <w:szCs w:val="22"/>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267,382</w:t>
            </w:r>
          </w:p>
        </w:tc>
        <w:tc>
          <w:tcPr>
            <w:tcW w:w="0" w:type="dxa"/>
            <w:vAlign w:val="bottom"/>
          </w:tcPr>
          <w:p>
            <w:pPr>
              <w:spacing w:after="0"/>
              <w:rPr>
                <w:sz w:val="1"/>
                <w:szCs w:val="1"/>
                <w:color w:val="auto"/>
              </w:rPr>
            </w:pPr>
          </w:p>
        </w:tc>
      </w:tr>
      <w:tr>
        <w:trPr>
          <w:trHeight w:val="282"/>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period</w:t>
            </w:r>
          </w:p>
        </w:tc>
        <w:tc>
          <w:tcPr>
            <w:tcW w:w="500" w:type="dxa"/>
            <w:vAlign w:val="bottom"/>
            <w:tcBorders>
              <w:bottom w:val="single" w:sz="8" w:color="CCEEFF"/>
            </w:tcBorders>
            <w:vMerge w:val="continue"/>
            <w:shd w:val="clear" w:color="auto" w:fill="CCEEFF"/>
          </w:tcPr>
          <w:p>
            <w:pPr>
              <w:spacing w:after="0"/>
              <w:rPr>
                <w:sz w:val="24"/>
                <w:szCs w:val="24"/>
                <w:color w:val="auto"/>
              </w:rPr>
            </w:pPr>
          </w:p>
        </w:tc>
        <w:tc>
          <w:tcPr>
            <w:tcW w:w="960" w:type="dxa"/>
            <w:vAlign w:val="bottom"/>
            <w:tcBorders>
              <w:bottom w:val="single" w:sz="8" w:color="CCEEFF"/>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vMerge w:val="continue"/>
            <w:shd w:val="clear" w:color="auto" w:fill="CCEEFF"/>
          </w:tcPr>
          <w:p>
            <w:pPr>
              <w:spacing w:after="0"/>
              <w:rPr>
                <w:sz w:val="24"/>
                <w:szCs w:val="24"/>
                <w:color w:val="auto"/>
              </w:rPr>
            </w:pPr>
          </w:p>
        </w:tc>
        <w:tc>
          <w:tcPr>
            <w:tcW w:w="960" w:type="dxa"/>
            <w:vAlign w:val="bottom"/>
            <w:tcBorders>
              <w:bottom w:val="single" w:sz="8" w:color="CCEEFF"/>
            </w:tcBorders>
            <w:vMerge w:val="continue"/>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vMerge w:val="continue"/>
            <w:shd w:val="clear" w:color="auto" w:fill="CCEEFF"/>
          </w:tcPr>
          <w:p>
            <w:pPr>
              <w:spacing w:after="0"/>
              <w:rPr>
                <w:sz w:val="24"/>
                <w:szCs w:val="24"/>
                <w:color w:val="auto"/>
              </w:rPr>
            </w:pPr>
          </w:p>
        </w:tc>
        <w:tc>
          <w:tcPr>
            <w:tcW w:w="960" w:type="dxa"/>
            <w:vAlign w:val="bottom"/>
            <w:tcBorders>
              <w:bottom w:val="single" w:sz="8" w:color="CCEEFF"/>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vMerge w:val="continue"/>
            <w:shd w:val="clear" w:color="auto" w:fill="CCEEFF"/>
          </w:tcPr>
          <w:p>
            <w:pPr>
              <w:spacing w:after="0"/>
              <w:rPr>
                <w:sz w:val="24"/>
                <w:szCs w:val="24"/>
                <w:color w:val="auto"/>
              </w:rPr>
            </w:pPr>
          </w:p>
        </w:tc>
        <w:tc>
          <w:tcPr>
            <w:tcW w:w="960" w:type="dxa"/>
            <w:vAlign w:val="bottom"/>
            <w:tcBorders>
              <w:bottom w:val="single" w:sz="8" w:color="CCEEFF"/>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895,254</w:t>
            </w:r>
          </w:p>
        </w:tc>
        <w:tc>
          <w:tcPr>
            <w:tcW w:w="12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305,890</w:t>
            </w:r>
          </w:p>
        </w:tc>
        <w:tc>
          <w:tcPr>
            <w:tcW w:w="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895,254</w:t>
            </w:r>
          </w:p>
        </w:tc>
        <w:tc>
          <w:tcPr>
            <w:tcW w:w="12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305,890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92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 October 31,</w:t>
            </w:r>
          </w:p>
        </w:tc>
        <w:tc>
          <w:tcPr>
            <w:tcW w:w="320" w:type="dxa"/>
            <w:vAlign w:val="bottom"/>
          </w:tcPr>
          <w:p>
            <w:pPr>
              <w:spacing w:after="0"/>
              <w:rPr>
                <w:sz w:val="17"/>
                <w:szCs w:val="17"/>
                <w:color w:val="auto"/>
              </w:rPr>
            </w:pPr>
          </w:p>
        </w:tc>
      </w:tr>
      <w:tr>
        <w:trPr>
          <w:trHeight w:val="43"/>
        </w:trPr>
        <w:tc>
          <w:tcPr>
            <w:tcW w:w="46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34"/>
        </w:trPr>
        <w:tc>
          <w:tcPr>
            <w:tcW w:w="4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2025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Pr>
          <w:p>
            <w:pPr>
              <w:spacing w:after="0"/>
              <w:rPr>
                <w:sz w:val="20"/>
                <w:szCs w:val="20"/>
                <w:color w:val="auto"/>
              </w:rPr>
            </w:pPr>
          </w:p>
        </w:tc>
      </w:tr>
      <w:tr>
        <w:trPr>
          <w:trHeight w:val="43"/>
        </w:trPr>
        <w:tc>
          <w:tcPr>
            <w:tcW w:w="46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4"/>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34"/>
        </w:trPr>
        <w:tc>
          <w:tcPr>
            <w:tcW w:w="4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
        </w:trPr>
        <w:tc>
          <w:tcPr>
            <w:tcW w:w="46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r>
      <w:tr>
        <w:trPr>
          <w:trHeight w:val="26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gross profit</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137,854</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106,596</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374,684</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277,778</w:t>
            </w:r>
          </w:p>
        </w:tc>
      </w:tr>
      <w:tr>
        <w:trPr>
          <w:trHeight w:val="63"/>
        </w:trPr>
        <w:tc>
          <w:tcPr>
            <w:tcW w:w="4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620" w:type="dxa"/>
            <w:vAlign w:val="bottom"/>
          </w:tcPr>
          <w:p>
            <w:pPr>
              <w:spacing w:after="0"/>
              <w:rPr>
                <w:sz w:val="24"/>
                <w:szCs w:val="24"/>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69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3"/>
        </w:trPr>
        <w:tc>
          <w:tcPr>
            <w:tcW w:w="4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gridSpan w:val="2"/>
          </w:tcPr>
          <w:p>
            <w:pPr>
              <w:spacing w:after="0"/>
              <w:rPr>
                <w:sz w:val="5"/>
                <w:szCs w:val="5"/>
                <w:color w:val="auto"/>
              </w:rPr>
            </w:pPr>
          </w:p>
        </w:tc>
      </w:tr>
      <w:tr>
        <w:trPr>
          <w:trHeight w:val="28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compensation-related charges</w:t>
            </w:r>
          </w:p>
        </w:tc>
        <w:tc>
          <w:tcPr>
            <w:tcW w:w="6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6,632</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8,742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3,525</w:t>
            </w:r>
          </w:p>
        </w:tc>
      </w:tr>
      <w:tr>
        <w:trPr>
          <w:trHeight w:val="63"/>
        </w:trPr>
        <w:tc>
          <w:tcPr>
            <w:tcW w:w="4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40" w:type="dxa"/>
            <w:vAlign w:val="bottom"/>
            <w:gridSpan w:val="2"/>
            <w:shd w:val="clear" w:color="auto" w:fill="CCEEFF"/>
          </w:tcPr>
          <w:p>
            <w:pPr>
              <w:spacing w:after="0"/>
              <w:rPr>
                <w:sz w:val="5"/>
                <w:szCs w:val="5"/>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192</w:t>
            </w:r>
          </w:p>
        </w:tc>
      </w:tr>
      <w:tr>
        <w:trPr>
          <w:trHeight w:val="63"/>
        </w:trPr>
        <w:tc>
          <w:tcPr>
            <w:tcW w:w="46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r>
      <w:tr>
        <w:trPr>
          <w:trHeight w:val="3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144,486</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108,343</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383,511</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281,495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46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620" w:type="dxa"/>
            <w:vAlign w:val="bottom"/>
          </w:tcPr>
          <w:p>
            <w:pPr>
              <w:spacing w:after="0"/>
              <w:rPr>
                <w:sz w:val="20"/>
                <w:szCs w:val="20"/>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15"/>
        </w:trPr>
        <w:tc>
          <w:tcPr>
            <w:tcW w:w="66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3"/>
        </w:trPr>
        <w:tc>
          <w:tcPr>
            <w:tcW w:w="4620" w:type="dxa"/>
            <w:vAlign w:val="bottom"/>
          </w:tcPr>
          <w:p>
            <w:pPr>
              <w:spacing w:after="0"/>
              <w:rPr>
                <w:sz w:val="24"/>
                <w:szCs w:val="24"/>
                <w:color w:val="auto"/>
              </w:rPr>
            </w:pPr>
          </w:p>
        </w:tc>
        <w:tc>
          <w:tcPr>
            <w:tcW w:w="292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 October 31,</w:t>
            </w:r>
          </w:p>
        </w:tc>
        <w:tc>
          <w:tcPr>
            <w:tcW w:w="320" w:type="dxa"/>
            <w:vAlign w:val="bottom"/>
          </w:tcPr>
          <w:p>
            <w:pPr>
              <w:spacing w:after="0"/>
              <w:rPr>
                <w:sz w:val="24"/>
                <w:szCs w:val="24"/>
                <w:color w:val="auto"/>
              </w:rPr>
            </w:pPr>
          </w:p>
        </w:tc>
      </w:tr>
      <w:tr>
        <w:trPr>
          <w:trHeight w:val="29"/>
        </w:trPr>
        <w:tc>
          <w:tcPr>
            <w:tcW w:w="46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5"/>
        </w:trPr>
        <w:tc>
          <w:tcPr>
            <w:tcW w:w="4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2025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Pr>
          <w:p>
            <w:pPr>
              <w:spacing w:after="0"/>
              <w:rPr>
                <w:sz w:val="20"/>
                <w:szCs w:val="20"/>
                <w:color w:val="auto"/>
              </w:rPr>
            </w:pPr>
          </w:p>
        </w:tc>
      </w:tr>
      <w:tr>
        <w:trPr>
          <w:trHeight w:val="42"/>
        </w:trPr>
        <w:tc>
          <w:tcPr>
            <w:tcW w:w="46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4"/>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35"/>
        </w:trPr>
        <w:tc>
          <w:tcPr>
            <w:tcW w:w="4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
        </w:trPr>
        <w:tc>
          <w:tcPr>
            <w:tcW w:w="46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r>
      <w:tr>
        <w:trPr>
          <w:trHeight w:val="26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loss from operations</w:t>
            </w:r>
          </w:p>
        </w:tc>
        <w:tc>
          <w:tcPr>
            <w:tcW w:w="6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(79,236)</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(19,458)</w:t>
            </w:r>
          </w:p>
        </w:tc>
        <w:tc>
          <w:tcPr>
            <w:tcW w:w="14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(107,387)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(74,828)</w:t>
            </w:r>
          </w:p>
        </w:tc>
      </w:tr>
      <w:tr>
        <w:trPr>
          <w:trHeight w:val="63"/>
        </w:trPr>
        <w:tc>
          <w:tcPr>
            <w:tcW w:w="4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r>
      <w:tr>
        <w:trPr>
          <w:trHeight w:val="301"/>
        </w:trPr>
        <w:tc>
          <w:tcPr>
            <w:tcW w:w="4620" w:type="dxa"/>
            <w:vAlign w:val="bottom"/>
          </w:tcPr>
          <w:p>
            <w:pPr>
              <w:ind w:left="20"/>
              <w:spacing w:after="0"/>
              <w:rPr>
                <w:sz w:val="20"/>
                <w:szCs w:val="20"/>
                <w:color w:val="auto"/>
              </w:rPr>
            </w:pPr>
            <w:r>
              <w:rPr>
                <w:rFonts w:ascii="Arial" w:cs="Arial" w:eastAsia="Arial" w:hAnsi="Arial"/>
                <w:sz w:val="18"/>
                <w:szCs w:val="18"/>
                <w:color w:val="auto"/>
              </w:rPr>
              <w:t>GAAP operating margin</w:t>
            </w: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
        </w:trPr>
        <w:tc>
          <w:tcPr>
            <w:tcW w:w="4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gridSpan w:val="2"/>
          </w:tcPr>
          <w:p>
            <w:pPr>
              <w:spacing w:after="0"/>
              <w:rPr>
                <w:sz w:val="4"/>
                <w:szCs w:val="4"/>
                <w:color w:val="auto"/>
              </w:rPr>
            </w:pPr>
          </w:p>
        </w:tc>
      </w:tr>
      <w:tr>
        <w:trPr>
          <w:trHeight w:val="33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103,363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24,576</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8"/>
              </w:rPr>
              <w:t>139,960</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59,868</w:t>
            </w:r>
          </w:p>
        </w:tc>
      </w:tr>
      <w:tr>
        <w:trPr>
          <w:trHeight w:val="301"/>
        </w:trPr>
        <w:tc>
          <w:tcPr>
            <w:tcW w:w="46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Pr>
          <w:p>
            <w:pPr>
              <w:spacing w:after="0"/>
              <w:rPr>
                <w:sz w:val="24"/>
                <w:szCs w:val="24"/>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3,941</w:t>
            </w:r>
          </w:p>
        </w:tc>
      </w:tr>
      <w:tr>
        <w:trPr>
          <w:trHeight w:val="50"/>
        </w:trPr>
        <w:tc>
          <w:tcPr>
            <w:tcW w:w="4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r>
      <w:tr>
        <w:trPr>
          <w:trHeight w:val="3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(loss) from operations</w:t>
            </w:r>
          </w:p>
        </w:tc>
        <w:tc>
          <w:tcPr>
            <w:tcW w:w="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25,416</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6,466</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36,492</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(11,019)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462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Non-GAAP Net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and Non-GAAP Net Income (Loss) Per Share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38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October 31,</w:t>
            </w:r>
          </w:p>
        </w:tc>
        <w:tc>
          <w:tcPr>
            <w:tcW w:w="3240" w:type="dxa"/>
            <w:vAlign w:val="bottom"/>
            <w:gridSpan w:val="6"/>
          </w:tcPr>
          <w:p>
            <w:pPr>
              <w:jc w:val="right"/>
              <w:ind w:right="45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5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20"/>
                <w:szCs w:val="20"/>
                <w:color w:val="auto"/>
              </w:rPr>
            </w:pPr>
          </w:p>
        </w:tc>
        <w:tc>
          <w:tcPr>
            <w:tcW w:w="15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20"/>
                <w:szCs w:val="20"/>
                <w:color w:val="auto"/>
              </w:rPr>
            </w:pPr>
          </w:p>
        </w:tc>
        <w:tc>
          <w:tcPr>
            <w:tcW w:w="156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gridSpan w:val="9"/>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20" w:type="dxa"/>
            <w:vAlign w:val="bottom"/>
            <w:gridSpan w:val="9"/>
          </w:tcPr>
          <w:p>
            <w:pPr>
              <w:ind w:left="64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46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(225,389)</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(41,882)</w:t>
            </w: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(325,269)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(134,426)</w:t>
            </w:r>
          </w:p>
        </w:tc>
        <w:tc>
          <w:tcPr>
            <w:tcW w:w="0" w:type="dxa"/>
            <w:vAlign w:val="bottom"/>
          </w:tcPr>
          <w:p>
            <w:pPr>
              <w:spacing w:after="0"/>
              <w:rPr>
                <w:sz w:val="1"/>
                <w:szCs w:val="1"/>
                <w:color w:val="auto"/>
              </w:rPr>
            </w:pPr>
          </w:p>
        </w:tc>
      </w:tr>
      <w:tr>
        <w:trPr>
          <w:trHeight w:val="63"/>
        </w:trPr>
        <w:tc>
          <w:tcPr>
            <w:tcW w:w="4620" w:type="dxa"/>
            <w:vAlign w:val="bottom"/>
            <w:shd w:val="clear" w:color="auto" w:fill="CCEEFF"/>
          </w:tcPr>
          <w:p>
            <w:pPr>
              <w:spacing w:after="0"/>
              <w:rPr>
                <w:sz w:val="5"/>
                <w:szCs w:val="5"/>
                <w:color w:val="auto"/>
              </w:rPr>
            </w:pPr>
          </w:p>
        </w:tc>
        <w:tc>
          <w:tcPr>
            <w:tcW w:w="1560" w:type="dxa"/>
            <w:vAlign w:val="bottom"/>
            <w:gridSpan w:val="2"/>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gridSpan w:val="2"/>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6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20" w:type="dxa"/>
            <w:vAlign w:val="bottom"/>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Stock-based compensation expense-related charges</w:t>
            </w:r>
          </w:p>
        </w:tc>
        <w:tc>
          <w:tcPr>
            <w:tcW w:w="1560" w:type="dxa"/>
            <w:vAlign w:val="bottom"/>
            <w:gridSpan w:val="2"/>
          </w:tcPr>
          <w:p>
            <w:pPr>
              <w:jc w:val="right"/>
              <w:ind w:right="132"/>
              <w:spacing w:after="0"/>
              <w:rPr>
                <w:sz w:val="20"/>
                <w:szCs w:val="20"/>
                <w:color w:val="auto"/>
              </w:rPr>
            </w:pPr>
            <w:r>
              <w:rPr>
                <w:rFonts w:ascii="Arial" w:cs="Arial" w:eastAsia="Arial" w:hAnsi="Arial"/>
                <w:sz w:val="18"/>
                <w:szCs w:val="18"/>
                <w:color w:val="auto"/>
              </w:rPr>
              <w:t>103,363</w:t>
            </w:r>
          </w:p>
        </w:tc>
        <w:tc>
          <w:tcPr>
            <w:tcW w:w="140" w:type="dxa"/>
            <w:vAlign w:val="bottom"/>
          </w:tcPr>
          <w:p>
            <w:pPr>
              <w:spacing w:after="0"/>
              <w:rPr>
                <w:sz w:val="24"/>
                <w:szCs w:val="24"/>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24,576</w:t>
            </w:r>
          </w:p>
        </w:tc>
        <w:tc>
          <w:tcPr>
            <w:tcW w:w="140" w:type="dxa"/>
            <w:vAlign w:val="bottom"/>
          </w:tcPr>
          <w:p>
            <w:pPr>
              <w:spacing w:after="0"/>
              <w:rPr>
                <w:sz w:val="24"/>
                <w:szCs w:val="24"/>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139,960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59,868</w:t>
            </w:r>
          </w:p>
        </w:tc>
        <w:tc>
          <w:tcPr>
            <w:tcW w:w="0" w:type="dxa"/>
            <w:vAlign w:val="bottom"/>
          </w:tcPr>
          <w:p>
            <w:pPr>
              <w:spacing w:after="0"/>
              <w:rPr>
                <w:sz w:val="1"/>
                <w:szCs w:val="1"/>
                <w:color w:val="auto"/>
              </w:rPr>
            </w:pPr>
          </w:p>
        </w:tc>
      </w:tr>
      <w:tr>
        <w:trPr>
          <w:trHeight w:val="63"/>
        </w:trPr>
        <w:tc>
          <w:tcPr>
            <w:tcW w:w="4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1,289</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1,348</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3,919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3,941</w:t>
            </w:r>
          </w:p>
        </w:tc>
        <w:tc>
          <w:tcPr>
            <w:tcW w:w="0" w:type="dxa"/>
            <w:vAlign w:val="bottom"/>
          </w:tcPr>
          <w:p>
            <w:pPr>
              <w:spacing w:after="0"/>
              <w:rPr>
                <w:sz w:val="1"/>
                <w:szCs w:val="1"/>
                <w:color w:val="auto"/>
              </w:rPr>
            </w:pPr>
          </w:p>
        </w:tc>
      </w:tr>
      <w:tr>
        <w:trPr>
          <w:trHeight w:val="63"/>
        </w:trPr>
        <w:tc>
          <w:tcPr>
            <w:tcW w:w="4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20" w:type="dxa"/>
            <w:vAlign w:val="bottom"/>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Amortization of debt discount and debt issuance costs</w:t>
            </w:r>
          </w:p>
        </w:tc>
        <w:tc>
          <w:tcPr>
            <w:tcW w:w="88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1,600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2,735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4,584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10,245</w:t>
            </w:r>
          </w:p>
        </w:tc>
        <w:tc>
          <w:tcPr>
            <w:tcW w:w="0" w:type="dxa"/>
            <w:vAlign w:val="bottom"/>
          </w:tcPr>
          <w:p>
            <w:pPr>
              <w:spacing w:after="0"/>
              <w:rPr>
                <w:sz w:val="1"/>
                <w:szCs w:val="1"/>
                <w:color w:val="auto"/>
              </w:rPr>
            </w:pPr>
          </w:p>
        </w:tc>
      </w:tr>
      <w:tr>
        <w:trPr>
          <w:trHeight w:val="63"/>
        </w:trPr>
        <w:tc>
          <w:tcPr>
            <w:tcW w:w="462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fair value adjustments</w:t>
            </w:r>
          </w:p>
        </w:tc>
        <w:tc>
          <w:tcPr>
            <w:tcW w:w="1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29,155</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47,041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63"/>
        </w:trPr>
        <w:tc>
          <w:tcPr>
            <w:tcW w:w="4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SAFE debt issuance costs expensed</w:t>
            </w:r>
          </w:p>
        </w:tc>
        <w:tc>
          <w:tcPr>
            <w:tcW w:w="88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2,913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462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5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97,450</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117,978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46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Non-GAAP provision for income taxes</w:t>
            </w:r>
          </w:p>
        </w:tc>
        <w:tc>
          <w:tcPr>
            <w:tcW w:w="88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1,731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3,298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1,438</w:t>
            </w:r>
          </w:p>
        </w:tc>
        <w:tc>
          <w:tcPr>
            <w:tcW w:w="0" w:type="dxa"/>
            <w:vAlign w:val="bottom"/>
          </w:tcPr>
          <w:p>
            <w:pPr>
              <w:spacing w:after="0"/>
              <w:rPr>
                <w:sz w:val="1"/>
                <w:szCs w:val="1"/>
                <w:color w:val="auto"/>
              </w:rPr>
            </w:pPr>
          </w:p>
        </w:tc>
      </w:tr>
      <w:tr>
        <w:trPr>
          <w:trHeight w:val="63"/>
        </w:trPr>
        <w:tc>
          <w:tcPr>
            <w:tcW w:w="46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7"/>
              </w:rPr>
              <w:t>9,199</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(13,922)</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(63,335)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net loss per share attributable to common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stockholders, basic and diluted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(0.92)</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50"/>
        </w:trPr>
        <w:tc>
          <w:tcPr>
            <w:tcW w:w="46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used to compute</w:t>
            </w: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 per share attributable to common</w:t>
            </w:r>
          </w:p>
        </w:tc>
        <w:tc>
          <w:tcPr>
            <w:tcW w:w="156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49,258,348</w:t>
            </w:r>
          </w:p>
        </w:tc>
        <w:tc>
          <w:tcPr>
            <w:tcW w:w="140" w:type="dxa"/>
            <w:vAlign w:val="bottom"/>
            <w:shd w:val="clear" w:color="auto" w:fill="CCEEFF"/>
          </w:tcPr>
          <w:p>
            <w:pPr>
              <w:spacing w:after="0"/>
              <w:rPr>
                <w:sz w:val="21"/>
                <w:szCs w:val="21"/>
                <w:color w:val="auto"/>
              </w:rPr>
            </w:pPr>
          </w:p>
        </w:tc>
        <w:tc>
          <w:tcPr>
            <w:tcW w:w="15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45,324,084</w:t>
            </w:r>
          </w:p>
        </w:tc>
        <w:tc>
          <w:tcPr>
            <w:tcW w:w="140" w:type="dxa"/>
            <w:vAlign w:val="bottom"/>
            <w:shd w:val="clear" w:color="auto" w:fill="CCEEFF"/>
          </w:tcPr>
          <w:p>
            <w:pPr>
              <w:spacing w:after="0"/>
              <w:rPr>
                <w:sz w:val="21"/>
                <w:szCs w:val="21"/>
                <w:color w:val="auto"/>
              </w:rPr>
            </w:pPr>
          </w:p>
        </w:tc>
        <w:tc>
          <w:tcPr>
            <w:tcW w:w="15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46,884,867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45,210,172</w:t>
            </w:r>
          </w:p>
        </w:tc>
        <w:tc>
          <w:tcPr>
            <w:tcW w:w="0" w:type="dxa"/>
            <w:vAlign w:val="bottom"/>
          </w:tcPr>
          <w:p>
            <w:pPr>
              <w:spacing w:after="0"/>
              <w:rPr>
                <w:sz w:val="1"/>
                <w:szCs w:val="1"/>
                <w:color w:val="auto"/>
              </w:rPr>
            </w:pPr>
          </w:p>
        </w:tc>
      </w:tr>
      <w:tr>
        <w:trPr>
          <w:trHeight w:val="28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1560" w:type="dxa"/>
            <w:vAlign w:val="bottom"/>
            <w:tcBorders>
              <w:bottom w:val="single" w:sz="8" w:color="CCEEFF"/>
            </w:tcBorders>
            <w:gridSpan w:val="2"/>
            <w:vMerge w:val="continue"/>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vMerge w:val="continue"/>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net income (loss) per share attributable to</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common stockholders, basic</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50"/>
        </w:trPr>
        <w:tc>
          <w:tcPr>
            <w:tcW w:w="46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used to compute</w:t>
            </w: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 per share attributable to</w:t>
            </w:r>
          </w:p>
        </w:tc>
        <w:tc>
          <w:tcPr>
            <w:tcW w:w="156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49,258,348</w:t>
            </w:r>
          </w:p>
        </w:tc>
        <w:tc>
          <w:tcPr>
            <w:tcW w:w="140" w:type="dxa"/>
            <w:vAlign w:val="bottom"/>
            <w:shd w:val="clear" w:color="auto" w:fill="CCEEFF"/>
          </w:tcPr>
          <w:p>
            <w:pPr>
              <w:spacing w:after="0"/>
              <w:rPr>
                <w:sz w:val="21"/>
                <w:szCs w:val="21"/>
                <w:color w:val="auto"/>
              </w:rPr>
            </w:pPr>
          </w:p>
        </w:tc>
        <w:tc>
          <w:tcPr>
            <w:tcW w:w="15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45,324,084</w:t>
            </w:r>
          </w:p>
        </w:tc>
        <w:tc>
          <w:tcPr>
            <w:tcW w:w="140" w:type="dxa"/>
            <w:vAlign w:val="bottom"/>
            <w:shd w:val="clear" w:color="auto" w:fill="CCEEFF"/>
          </w:tcPr>
          <w:p>
            <w:pPr>
              <w:spacing w:after="0"/>
              <w:rPr>
                <w:sz w:val="21"/>
                <w:szCs w:val="21"/>
                <w:color w:val="auto"/>
              </w:rPr>
            </w:pPr>
          </w:p>
        </w:tc>
        <w:tc>
          <w:tcPr>
            <w:tcW w:w="15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46,884,867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45,210,172</w:t>
            </w:r>
          </w:p>
        </w:tc>
        <w:tc>
          <w:tcPr>
            <w:tcW w:w="0" w:type="dxa"/>
            <w:vAlign w:val="bottom"/>
          </w:tcPr>
          <w:p>
            <w:pPr>
              <w:spacing w:after="0"/>
              <w:rPr>
                <w:sz w:val="1"/>
                <w:szCs w:val="1"/>
                <w:color w:val="auto"/>
              </w:rPr>
            </w:pPr>
          </w:p>
        </w:tc>
      </w:tr>
      <w:tr>
        <w:trPr>
          <w:trHeight w:val="28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stockholders, basic</w:t>
            </w:r>
          </w:p>
        </w:tc>
        <w:tc>
          <w:tcPr>
            <w:tcW w:w="1560" w:type="dxa"/>
            <w:vAlign w:val="bottom"/>
            <w:tcBorders>
              <w:bottom w:val="single" w:sz="8" w:color="CCEEFF"/>
            </w:tcBorders>
            <w:gridSpan w:val="2"/>
            <w:vMerge w:val="continue"/>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vMerge w:val="continue"/>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net income (loss) per share attributable to</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620" w:type="dxa"/>
            <w:vAlign w:val="bottom"/>
          </w:tcPr>
          <w:p>
            <w:pPr>
              <w:ind w:left="20"/>
              <w:spacing w:after="0"/>
              <w:rPr>
                <w:sz w:val="20"/>
                <w:szCs w:val="20"/>
                <w:color w:val="auto"/>
              </w:rPr>
            </w:pPr>
            <w:r>
              <w:rPr>
                <w:rFonts w:ascii="Arial" w:cs="Arial" w:eastAsia="Arial" w:hAnsi="Arial"/>
                <w:sz w:val="18"/>
                <w:szCs w:val="18"/>
                <w:color w:val="auto"/>
              </w:rPr>
              <w:t>common stockholders, diluted</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50"/>
        </w:trPr>
        <w:tc>
          <w:tcPr>
            <w:tcW w:w="46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used to compute</w:t>
            </w: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loss per share attributable to common</w:t>
            </w:r>
          </w:p>
        </w:tc>
        <w:tc>
          <w:tcPr>
            <w:tcW w:w="156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49,258,348</w:t>
            </w:r>
          </w:p>
        </w:tc>
        <w:tc>
          <w:tcPr>
            <w:tcW w:w="140" w:type="dxa"/>
            <w:vAlign w:val="bottom"/>
            <w:shd w:val="clear" w:color="auto" w:fill="CCEEFF"/>
          </w:tcPr>
          <w:p>
            <w:pPr>
              <w:spacing w:after="0"/>
              <w:rPr>
                <w:sz w:val="21"/>
                <w:szCs w:val="21"/>
                <w:color w:val="auto"/>
              </w:rPr>
            </w:pPr>
          </w:p>
        </w:tc>
        <w:tc>
          <w:tcPr>
            <w:tcW w:w="15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45,324,084</w:t>
            </w:r>
          </w:p>
        </w:tc>
        <w:tc>
          <w:tcPr>
            <w:tcW w:w="140" w:type="dxa"/>
            <w:vAlign w:val="bottom"/>
            <w:shd w:val="clear" w:color="auto" w:fill="CCEEFF"/>
          </w:tcPr>
          <w:p>
            <w:pPr>
              <w:spacing w:after="0"/>
              <w:rPr>
                <w:sz w:val="21"/>
                <w:szCs w:val="21"/>
                <w:color w:val="auto"/>
              </w:rPr>
            </w:pPr>
          </w:p>
        </w:tc>
        <w:tc>
          <w:tcPr>
            <w:tcW w:w="15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46,884,867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45,210,172</w:t>
            </w:r>
          </w:p>
        </w:tc>
        <w:tc>
          <w:tcPr>
            <w:tcW w:w="0" w:type="dxa"/>
            <w:vAlign w:val="bottom"/>
          </w:tcPr>
          <w:p>
            <w:pPr>
              <w:spacing w:after="0"/>
              <w:rPr>
                <w:sz w:val="1"/>
                <w:szCs w:val="1"/>
                <w:color w:val="auto"/>
              </w:rPr>
            </w:pPr>
          </w:p>
        </w:tc>
      </w:tr>
      <w:tr>
        <w:trPr>
          <w:trHeight w:val="27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w:t>
            </w:r>
          </w:p>
        </w:tc>
        <w:tc>
          <w:tcPr>
            <w:tcW w:w="1560" w:type="dxa"/>
            <w:vAlign w:val="bottom"/>
            <w:tcBorders>
              <w:bottom w:val="single" w:sz="8" w:color="CCEEFF"/>
            </w:tcBorders>
            <w:gridSpan w:val="2"/>
            <w:vMerge w:val="continue"/>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vMerge w:val="continue"/>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620" w:type="dxa"/>
            <w:vAlign w:val="bottom"/>
          </w:tcPr>
          <w:p>
            <w:pPr>
              <w:ind w:left="20"/>
              <w:spacing w:after="0"/>
              <w:rPr>
                <w:sz w:val="20"/>
                <w:szCs w:val="20"/>
                <w:color w:val="auto"/>
              </w:rPr>
            </w:pPr>
            <w:r>
              <w:rPr>
                <w:rFonts w:ascii="Arial" w:cs="Arial" w:eastAsia="Arial" w:hAnsi="Arial"/>
                <w:sz w:val="18"/>
                <w:szCs w:val="18"/>
                <w:color w:val="auto"/>
              </w:rPr>
              <w:t>Add: Effect of potentially dilutive common stock</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1560" w:type="dxa"/>
            <w:vAlign w:val="bottom"/>
            <w:gridSpan w:val="2"/>
          </w:tcPr>
          <w:p>
            <w:pPr>
              <w:jc w:val="right"/>
              <w:ind w:right="132"/>
              <w:spacing w:after="0"/>
              <w:rPr>
                <w:sz w:val="20"/>
                <w:szCs w:val="20"/>
                <w:color w:val="auto"/>
              </w:rPr>
            </w:pPr>
            <w:r>
              <w:rPr>
                <w:rFonts w:ascii="Arial" w:cs="Arial" w:eastAsia="Arial" w:hAnsi="Arial"/>
                <w:sz w:val="18"/>
                <w:szCs w:val="18"/>
                <w:color w:val="auto"/>
              </w:rPr>
              <w:t>18,503,077</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
        </w:trPr>
        <w:tc>
          <w:tcPr>
            <w:tcW w:w="462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used to compute</w:t>
            </w: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 per share attributable to</w:t>
            </w:r>
          </w:p>
        </w:tc>
        <w:tc>
          <w:tcPr>
            <w:tcW w:w="1560" w:type="dxa"/>
            <w:vAlign w:val="bottom"/>
            <w:gridSpan w:val="2"/>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67,761,425</w:t>
            </w:r>
          </w:p>
        </w:tc>
        <w:tc>
          <w:tcPr>
            <w:tcW w:w="140" w:type="dxa"/>
            <w:vAlign w:val="bottom"/>
            <w:shd w:val="clear" w:color="auto" w:fill="CCEEFF"/>
          </w:tcPr>
          <w:p>
            <w:pPr>
              <w:spacing w:after="0"/>
              <w:rPr>
                <w:sz w:val="21"/>
                <w:szCs w:val="21"/>
                <w:color w:val="auto"/>
              </w:rPr>
            </w:pPr>
          </w:p>
        </w:tc>
        <w:tc>
          <w:tcPr>
            <w:tcW w:w="154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45,324,084</w:t>
            </w:r>
          </w:p>
        </w:tc>
        <w:tc>
          <w:tcPr>
            <w:tcW w:w="140" w:type="dxa"/>
            <w:vAlign w:val="bottom"/>
            <w:shd w:val="clear" w:color="auto" w:fill="CCEEFF"/>
          </w:tcPr>
          <w:p>
            <w:pPr>
              <w:spacing w:after="0"/>
              <w:rPr>
                <w:sz w:val="21"/>
                <w:szCs w:val="21"/>
                <w:color w:val="auto"/>
              </w:rPr>
            </w:pPr>
          </w:p>
        </w:tc>
        <w:tc>
          <w:tcPr>
            <w:tcW w:w="156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46,884,867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45,210,172</w:t>
            </w:r>
          </w:p>
        </w:tc>
        <w:tc>
          <w:tcPr>
            <w:tcW w:w="0" w:type="dxa"/>
            <w:vAlign w:val="bottom"/>
          </w:tcPr>
          <w:p>
            <w:pPr>
              <w:spacing w:after="0"/>
              <w:rPr>
                <w:sz w:val="1"/>
                <w:szCs w:val="1"/>
                <w:color w:val="auto"/>
              </w:rPr>
            </w:pPr>
          </w:p>
        </w:tc>
      </w:tr>
      <w:tr>
        <w:trPr>
          <w:trHeight w:val="28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stockholders, diluted</w:t>
            </w:r>
          </w:p>
        </w:tc>
        <w:tc>
          <w:tcPr>
            <w:tcW w:w="1560" w:type="dxa"/>
            <w:vAlign w:val="bottom"/>
            <w:tcBorders>
              <w:bottom w:val="single" w:sz="8" w:color="CCEEFF"/>
            </w:tcBorders>
            <w:gridSpan w:val="2"/>
            <w:vMerge w:val="continue"/>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vMerge w:val="continue"/>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30" w:right="339" w:bottom="1440" w:gutter="0" w:footer="0" w:header="0"/>
        </w:sectPr>
      </w:pPr>
    </w:p>
    <w:bookmarkStart w:id="17" w:name="page18"/>
    <w:bookmarkEnd w:id="17"/>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30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October 31,</w:t>
            </w:r>
          </w:p>
        </w:tc>
        <w:tc>
          <w:tcPr>
            <w:tcW w:w="2920" w:type="dxa"/>
            <w:vAlign w:val="bottom"/>
            <w:gridSpan w:val="5"/>
          </w:tcPr>
          <w:p>
            <w:pPr>
              <w:jc w:val="right"/>
              <w:ind w:right="294"/>
              <w:spacing w:after="0"/>
              <w:rPr>
                <w:sz w:val="20"/>
                <w:szCs w:val="20"/>
                <w:color w:val="auto"/>
              </w:rPr>
            </w:pPr>
            <w:r>
              <w:rPr>
                <w:rFonts w:ascii="Arial" w:cs="Arial" w:eastAsia="Arial" w:hAnsi="Arial"/>
                <w:sz w:val="14"/>
                <w:szCs w:val="14"/>
                <w:b w:val="1"/>
                <w:bCs w:val="1"/>
                <w:color w:val="auto"/>
              </w:rPr>
              <w:t>Nine Months Ended October 31,</w:t>
            </w:r>
          </w:p>
        </w:tc>
      </w:tr>
      <w:tr>
        <w:trPr>
          <w:trHeight w:val="43"/>
        </w:trPr>
        <w:tc>
          <w:tcPr>
            <w:tcW w:w="5260" w:type="dxa"/>
            <w:vAlign w:val="bottom"/>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4"/>
        </w:trPr>
        <w:tc>
          <w:tcPr>
            <w:tcW w:w="5260" w:type="dxa"/>
            <w:vAlign w:val="bottom"/>
          </w:tcPr>
          <w:p>
            <w:pPr>
              <w:spacing w:after="0"/>
              <w:rPr>
                <w:sz w:val="20"/>
                <w:szCs w:val="20"/>
                <w:color w:val="auto"/>
              </w:rPr>
            </w:pPr>
          </w:p>
        </w:tc>
        <w:tc>
          <w:tcPr>
            <w:tcW w:w="140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ind w:right="456"/>
              <w:spacing w:after="0"/>
              <w:rPr>
                <w:sz w:val="20"/>
                <w:szCs w:val="20"/>
                <w:color w:val="auto"/>
              </w:rPr>
            </w:pPr>
            <w:r>
              <w:rPr>
                <w:rFonts w:ascii="Arial" w:cs="Arial" w:eastAsia="Arial" w:hAnsi="Arial"/>
                <w:sz w:val="14"/>
                <w:szCs w:val="14"/>
                <w:b w:val="1"/>
                <w:bCs w:val="1"/>
                <w:color w:val="auto"/>
                <w:w w:val="96"/>
              </w:rPr>
              <w:t>2024</w:t>
            </w:r>
          </w:p>
        </w:tc>
        <w:tc>
          <w:tcPr>
            <w:tcW w:w="14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2024</w:t>
            </w:r>
          </w:p>
        </w:tc>
      </w:tr>
      <w:tr>
        <w:trPr>
          <w:trHeight w:val="43"/>
        </w:trPr>
        <w:tc>
          <w:tcPr>
            <w:tcW w:w="52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4"/>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
        </w:trPr>
        <w:tc>
          <w:tcPr>
            <w:tcW w:w="5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(41,468)</w:t>
            </w:r>
          </w:p>
        </w:tc>
      </w:tr>
      <w:tr>
        <w:trPr>
          <w:trHeight w:val="63"/>
        </w:trPr>
        <w:tc>
          <w:tcPr>
            <w:tcW w:w="52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88"/>
        </w:trPr>
        <w:tc>
          <w:tcPr>
            <w:tcW w:w="526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(11,567)</w:t>
            </w:r>
          </w:p>
        </w:tc>
      </w:tr>
      <w:tr>
        <w:trPr>
          <w:trHeight w:val="63"/>
        </w:trPr>
        <w:tc>
          <w:tcPr>
            <w:tcW w:w="5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8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6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63"/>
        </w:trPr>
        <w:tc>
          <w:tcPr>
            <w:tcW w:w="5260" w:type="dxa"/>
            <w:vAlign w:val="bottom"/>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r>
      <w:tr>
        <w:trPr>
          <w:trHeight w:val="295"/>
        </w:trPr>
        <w:tc>
          <w:tcPr>
            <w:tcW w:w="52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6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(11,361)</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(16,335)</w:t>
            </w:r>
          </w:p>
        </w:tc>
        <w:tc>
          <w:tcPr>
            <w:tcW w:w="140" w:type="dxa"/>
            <w:vAlign w:val="bottom"/>
          </w:tcPr>
          <w:p>
            <w:pPr>
              <w:spacing w:after="0"/>
              <w:rPr>
                <w:sz w:val="24"/>
                <w:szCs w:val="24"/>
                <w:color w:val="auto"/>
              </w:rPr>
            </w:pPr>
          </w:p>
        </w:tc>
        <w:tc>
          <w:tcPr>
            <w:tcW w:w="66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(14,972)</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(53,809)</w:t>
            </w:r>
          </w:p>
        </w:tc>
      </w:tr>
      <w:tr>
        <w:trPr>
          <w:trHeight w:val="36"/>
        </w:trPr>
        <w:tc>
          <w:tcPr>
            <w:tcW w:w="52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
        </w:trPr>
        <w:tc>
          <w:tcPr>
            <w:tcW w:w="5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2025-12-15T18:28:36Z</dcterms:created>
  <dcterms:modified xsi:type="dcterms:W3CDTF">2025-12-15T18:28:36Z</dcterms:modified>
</cp:coreProperties>
</file>