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40"/>
        <w:spacing w:after="0"/>
        <w:rPr>
          <w:sz w:val="20"/>
          <w:szCs w:val="20"/>
          <w:color w:val="auto"/>
        </w:rPr>
      </w:pPr>
      <w:r>
        <w:rPr>
          <w:rFonts w:ascii="Arial" w:cs="Arial" w:eastAsia="Arial" w:hAnsi="Arial"/>
          <w:sz w:val="14"/>
          <w:szCs w:val="14"/>
          <w:b w:val="1"/>
          <w:bCs w:val="1"/>
          <w:color w:val="auto"/>
        </w:rPr>
        <w:t>Confidential draft submitted to the Securities and Exchange Commission on July 25, 2025.</w:t>
      </w:r>
    </w:p>
    <w:p>
      <w:pPr>
        <w:ind w:left="240"/>
        <w:spacing w:after="0" w:line="203" w:lineRule="auto"/>
        <w:rPr>
          <w:sz w:val="20"/>
          <w:szCs w:val="20"/>
          <w:color w:val="auto"/>
        </w:rPr>
      </w:pPr>
      <w:r>
        <w:rPr>
          <w:rFonts w:ascii="Arial" w:cs="Arial" w:eastAsia="Arial" w:hAnsi="Arial"/>
          <w:sz w:val="14"/>
          <w:szCs w:val="14"/>
          <w:b w:val="1"/>
          <w:bCs w:val="1"/>
          <w:color w:val="auto"/>
        </w:rPr>
        <w:t>This Amendment No. 1 to the draft registration statement has not been publicly filed with the Securities and Exchange Commission and all information herein</w:t>
      </w:r>
    </w:p>
    <w:p>
      <w:pPr>
        <w:jc w:val="center"/>
        <w:ind w:right="-39"/>
        <w:spacing w:after="0"/>
        <w:rPr>
          <w:sz w:val="20"/>
          <w:szCs w:val="20"/>
          <w:color w:val="auto"/>
        </w:rPr>
      </w:pPr>
      <w:r>
        <w:rPr>
          <w:rFonts w:ascii="Arial" w:cs="Arial" w:eastAsia="Arial" w:hAnsi="Arial"/>
          <w:sz w:val="14"/>
          <w:szCs w:val="14"/>
          <w:b w:val="1"/>
          <w:bCs w:val="1"/>
          <w:color w:val="auto"/>
        </w:rPr>
        <w:t>remains strictly confidential.</w:t>
      </w:r>
    </w:p>
    <w:p>
      <w:pPr>
        <w:spacing w:after="0" w:line="28" w:lineRule="exact"/>
        <w:rPr>
          <w:sz w:val="24"/>
          <w:szCs w:val="24"/>
          <w:color w:val="auto"/>
        </w:rPr>
      </w:pPr>
    </w:p>
    <w:p>
      <w:pPr>
        <w:ind w:left="93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S-1</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REGISTRATION STATEMENT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ACT OF 1933</w:t>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NAVAN, INC.</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4" w:lineRule="exact"/>
        <w:rPr>
          <w:sz w:val="24"/>
          <w:szCs w:val="24"/>
          <w:color w:val="auto"/>
        </w:rPr>
      </w:pPr>
    </w:p>
    <w:tbl>
      <w:tblPr>
        <w:tblLayout w:type="fixed"/>
        <w:tblInd w:w="980" w:type="dxa"/>
        <w:tblCellMar>
          <w:top w:w="0" w:type="dxa"/>
          <w:left w:w="0" w:type="dxa"/>
          <w:bottom w:w="0" w:type="dxa"/>
          <w:right w:w="0" w:type="dxa"/>
        </w:tblCellMar>
      </w:tblPr>
      <w:tr>
        <w:trPr>
          <w:trHeight w:val="230"/>
        </w:trPr>
        <w:tc>
          <w:tcPr>
            <w:tcW w:w="2780" w:type="dxa"/>
            <w:vAlign w:val="bottom"/>
          </w:tcPr>
          <w:p>
            <w:pPr>
              <w:jc w:val="center"/>
              <w:ind w:right="928"/>
              <w:spacing w:after="0"/>
              <w:rPr>
                <w:sz w:val="20"/>
                <w:szCs w:val="20"/>
                <w:color w:val="auto"/>
              </w:rPr>
            </w:pPr>
            <w:r>
              <w:rPr>
                <w:rFonts w:ascii="Arial" w:cs="Arial" w:eastAsia="Arial" w:hAnsi="Arial"/>
                <w:sz w:val="18"/>
                <w:szCs w:val="18"/>
                <w:b w:val="1"/>
                <w:bCs w:val="1"/>
                <w:color w:val="auto"/>
                <w:w w:val="98"/>
              </w:rPr>
              <w:t>Delaware</w:t>
            </w:r>
          </w:p>
        </w:tc>
        <w:tc>
          <w:tcPr>
            <w:tcW w:w="3820" w:type="dxa"/>
            <w:vAlign w:val="bottom"/>
          </w:tcPr>
          <w:p>
            <w:pPr>
              <w:jc w:val="center"/>
              <w:ind w:right="28"/>
              <w:spacing w:after="0"/>
              <w:rPr>
                <w:sz w:val="20"/>
                <w:szCs w:val="20"/>
                <w:color w:val="auto"/>
              </w:rPr>
            </w:pPr>
            <w:r>
              <w:rPr>
                <w:rFonts w:ascii="Arial" w:cs="Arial" w:eastAsia="Arial" w:hAnsi="Arial"/>
                <w:sz w:val="18"/>
                <w:szCs w:val="18"/>
                <w:b w:val="1"/>
                <w:bCs w:val="1"/>
                <w:color w:val="auto"/>
                <w:w w:val="99"/>
              </w:rPr>
              <w:t>7372</w:t>
            </w:r>
          </w:p>
        </w:tc>
        <w:tc>
          <w:tcPr>
            <w:tcW w:w="2460" w:type="dxa"/>
            <w:vAlign w:val="bottom"/>
          </w:tcPr>
          <w:p>
            <w:pPr>
              <w:jc w:val="center"/>
              <w:ind w:left="1028"/>
              <w:spacing w:after="0"/>
              <w:rPr>
                <w:sz w:val="20"/>
                <w:szCs w:val="20"/>
                <w:color w:val="auto"/>
              </w:rPr>
            </w:pPr>
            <w:r>
              <w:rPr>
                <w:rFonts w:ascii="Arial" w:cs="Arial" w:eastAsia="Arial" w:hAnsi="Arial"/>
                <w:sz w:val="18"/>
                <w:szCs w:val="18"/>
                <w:b w:val="1"/>
                <w:bCs w:val="1"/>
                <w:color w:val="auto"/>
                <w:w w:val="99"/>
              </w:rPr>
              <w:t>47-3424780</w:t>
            </w:r>
          </w:p>
        </w:tc>
      </w:tr>
      <w:tr>
        <w:trPr>
          <w:trHeight w:val="126"/>
        </w:trPr>
        <w:tc>
          <w:tcPr>
            <w:tcW w:w="2780" w:type="dxa"/>
            <w:vAlign w:val="bottom"/>
          </w:tcPr>
          <w:p>
            <w:pPr>
              <w:jc w:val="center"/>
              <w:ind w:right="928"/>
              <w:spacing w:after="0" w:line="126" w:lineRule="exact"/>
              <w:rPr>
                <w:sz w:val="20"/>
                <w:szCs w:val="20"/>
                <w:color w:val="auto"/>
              </w:rPr>
            </w:pPr>
            <w:r>
              <w:rPr>
                <w:rFonts w:ascii="Arial" w:cs="Arial" w:eastAsia="Arial" w:hAnsi="Arial"/>
                <w:sz w:val="13"/>
                <w:szCs w:val="13"/>
                <w:b w:val="1"/>
                <w:bCs w:val="1"/>
                <w:color w:val="auto"/>
                <w:w w:val="97"/>
              </w:rPr>
              <w:t>(State or other jurisdiction of</w:t>
            </w:r>
          </w:p>
        </w:tc>
        <w:tc>
          <w:tcPr>
            <w:tcW w:w="3820" w:type="dxa"/>
            <w:vAlign w:val="bottom"/>
          </w:tcPr>
          <w:p>
            <w:pPr>
              <w:jc w:val="center"/>
              <w:ind w:right="48"/>
              <w:spacing w:after="0" w:line="126" w:lineRule="exact"/>
              <w:rPr>
                <w:sz w:val="20"/>
                <w:szCs w:val="20"/>
                <w:color w:val="auto"/>
              </w:rPr>
            </w:pPr>
            <w:r>
              <w:rPr>
                <w:rFonts w:ascii="Arial" w:cs="Arial" w:eastAsia="Arial" w:hAnsi="Arial"/>
                <w:sz w:val="13"/>
                <w:szCs w:val="13"/>
                <w:b w:val="1"/>
                <w:bCs w:val="1"/>
                <w:color w:val="auto"/>
                <w:w w:val="97"/>
              </w:rPr>
              <w:t>(Primary Standard Industrial</w:t>
            </w:r>
          </w:p>
        </w:tc>
        <w:tc>
          <w:tcPr>
            <w:tcW w:w="2460" w:type="dxa"/>
            <w:vAlign w:val="bottom"/>
          </w:tcPr>
          <w:p>
            <w:pPr>
              <w:jc w:val="center"/>
              <w:ind w:left="1028"/>
              <w:spacing w:after="0" w:line="126"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2780" w:type="dxa"/>
            <w:vAlign w:val="bottom"/>
          </w:tcPr>
          <w:p>
            <w:pPr>
              <w:jc w:val="center"/>
              <w:ind w:right="908"/>
              <w:spacing w:after="0"/>
              <w:rPr>
                <w:sz w:val="20"/>
                <w:szCs w:val="20"/>
                <w:color w:val="auto"/>
              </w:rPr>
            </w:pPr>
            <w:r>
              <w:rPr>
                <w:rFonts w:ascii="Arial" w:cs="Arial" w:eastAsia="Arial" w:hAnsi="Arial"/>
                <w:sz w:val="13"/>
                <w:szCs w:val="13"/>
                <w:b w:val="1"/>
                <w:bCs w:val="1"/>
                <w:color w:val="auto"/>
                <w:w w:val="96"/>
              </w:rPr>
              <w:t>incorporation or organization)</w:t>
            </w:r>
          </w:p>
        </w:tc>
        <w:tc>
          <w:tcPr>
            <w:tcW w:w="3820" w:type="dxa"/>
            <w:vAlign w:val="bottom"/>
          </w:tcPr>
          <w:p>
            <w:pPr>
              <w:jc w:val="center"/>
              <w:ind w:right="48"/>
              <w:spacing w:after="0"/>
              <w:rPr>
                <w:sz w:val="20"/>
                <w:szCs w:val="20"/>
                <w:color w:val="auto"/>
              </w:rPr>
            </w:pPr>
            <w:r>
              <w:rPr>
                <w:rFonts w:ascii="Arial" w:cs="Arial" w:eastAsia="Arial" w:hAnsi="Arial"/>
                <w:sz w:val="13"/>
                <w:szCs w:val="13"/>
                <w:b w:val="1"/>
                <w:bCs w:val="1"/>
                <w:color w:val="auto"/>
                <w:w w:val="97"/>
              </w:rPr>
              <w:t>Classification Code Number)</w:t>
            </w:r>
          </w:p>
        </w:tc>
        <w:tc>
          <w:tcPr>
            <w:tcW w:w="2460" w:type="dxa"/>
            <w:vAlign w:val="bottom"/>
          </w:tcPr>
          <w:p>
            <w:pPr>
              <w:jc w:val="center"/>
              <w:ind w:left="1048"/>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19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3045 Park Boulevard</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Palo Alto, California 94306</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(888) 505-8747</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104"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Ariel Cohen</w:t>
      </w:r>
    </w:p>
    <w:p>
      <w:pPr>
        <w:spacing w:after="0" w:line="29"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Chairperson of the Board of Directors and Chief Executive Officer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Navan, Inc.</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3045 Park Boulevard</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Palo Alto, California 94306</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(888) 505-8747</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182" w:lineRule="exact"/>
        <w:rPr>
          <w:sz w:val="24"/>
          <w:szCs w:val="24"/>
          <w:color w:val="auto"/>
        </w:rPr>
      </w:pPr>
    </w:p>
    <w:tbl>
      <w:tblPr>
        <w:tblLayout w:type="fixed"/>
        <w:tblInd w:w="960" w:type="dxa"/>
        <w:tblCellMar>
          <w:top w:w="0" w:type="dxa"/>
          <w:left w:w="0" w:type="dxa"/>
          <w:bottom w:w="0" w:type="dxa"/>
          <w:right w:w="0" w:type="dxa"/>
        </w:tblCellMar>
      </w:tblPr>
      <w:tr>
        <w:trPr>
          <w:trHeight w:val="161"/>
        </w:trPr>
        <w:tc>
          <w:tcPr>
            <w:tcW w:w="2100" w:type="dxa"/>
            <w:vAlign w:val="bottom"/>
          </w:tcPr>
          <w:p>
            <w:pPr>
              <w:jc w:val="center"/>
              <w:ind w:right="208"/>
              <w:spacing w:after="0"/>
              <w:rPr>
                <w:sz w:val="20"/>
                <w:szCs w:val="20"/>
                <w:color w:val="auto"/>
              </w:rPr>
            </w:pPr>
            <w:r>
              <w:rPr>
                <w:rFonts w:ascii="Arial" w:cs="Arial" w:eastAsia="Arial" w:hAnsi="Arial"/>
                <w:sz w:val="14"/>
                <w:szCs w:val="14"/>
                <w:b w:val="1"/>
                <w:bCs w:val="1"/>
                <w:color w:val="auto"/>
              </w:rPr>
              <w:t>John T. McKenna</w:t>
            </w:r>
          </w:p>
        </w:tc>
        <w:tc>
          <w:tcPr>
            <w:tcW w:w="5020" w:type="dxa"/>
            <w:vAlign w:val="bottom"/>
          </w:tcPr>
          <w:p>
            <w:pPr>
              <w:jc w:val="center"/>
              <w:ind w:left="10"/>
              <w:spacing w:after="0"/>
              <w:rPr>
                <w:sz w:val="20"/>
                <w:szCs w:val="20"/>
                <w:color w:val="auto"/>
              </w:rPr>
            </w:pPr>
            <w:r>
              <w:rPr>
                <w:rFonts w:ascii="Arial" w:cs="Arial" w:eastAsia="Arial" w:hAnsi="Arial"/>
                <w:sz w:val="14"/>
                <w:szCs w:val="14"/>
                <w:b w:val="1"/>
                <w:bCs w:val="1"/>
                <w:color w:val="auto"/>
              </w:rPr>
              <w:t>Howard Baik</w:t>
            </w:r>
          </w:p>
        </w:tc>
        <w:tc>
          <w:tcPr>
            <w:tcW w:w="2380" w:type="dxa"/>
            <w:vAlign w:val="bottom"/>
          </w:tcPr>
          <w:p>
            <w:pPr>
              <w:jc w:val="center"/>
              <w:ind w:left="108"/>
              <w:spacing w:after="0"/>
              <w:rPr>
                <w:sz w:val="20"/>
                <w:szCs w:val="20"/>
                <w:color w:val="auto"/>
              </w:rPr>
            </w:pPr>
            <w:r>
              <w:rPr>
                <w:rFonts w:ascii="Arial" w:cs="Arial" w:eastAsia="Arial" w:hAnsi="Arial"/>
                <w:sz w:val="14"/>
                <w:szCs w:val="14"/>
                <w:b w:val="1"/>
                <w:bCs w:val="1"/>
                <w:color w:val="auto"/>
              </w:rPr>
              <w:t>Ran D. Ben-Tzur</w:t>
            </w:r>
          </w:p>
        </w:tc>
      </w:tr>
      <w:tr>
        <w:trPr>
          <w:trHeight w:val="139"/>
        </w:trPr>
        <w:tc>
          <w:tcPr>
            <w:tcW w:w="2100" w:type="dxa"/>
            <w:vAlign w:val="bottom"/>
          </w:tcPr>
          <w:p>
            <w:pPr>
              <w:jc w:val="center"/>
              <w:ind w:right="208"/>
              <w:spacing w:after="0" w:line="139" w:lineRule="exact"/>
              <w:rPr>
                <w:sz w:val="20"/>
                <w:szCs w:val="20"/>
                <w:color w:val="auto"/>
              </w:rPr>
            </w:pPr>
            <w:r>
              <w:rPr>
                <w:rFonts w:ascii="Arial" w:cs="Arial" w:eastAsia="Arial" w:hAnsi="Arial"/>
                <w:sz w:val="14"/>
                <w:szCs w:val="14"/>
                <w:b w:val="1"/>
                <w:bCs w:val="1"/>
                <w:color w:val="auto"/>
              </w:rPr>
              <w:t>Rachel Proffitt</w:t>
            </w:r>
          </w:p>
        </w:tc>
        <w:tc>
          <w:tcPr>
            <w:tcW w:w="5020" w:type="dxa"/>
            <w:vAlign w:val="bottom"/>
          </w:tcPr>
          <w:p>
            <w:pPr>
              <w:jc w:val="center"/>
              <w:ind w:left="10"/>
              <w:spacing w:after="0" w:line="139" w:lineRule="exact"/>
              <w:rPr>
                <w:sz w:val="20"/>
                <w:szCs w:val="20"/>
                <w:color w:val="auto"/>
              </w:rPr>
            </w:pPr>
            <w:r>
              <w:rPr>
                <w:rFonts w:ascii="Arial" w:cs="Arial" w:eastAsia="Arial" w:hAnsi="Arial"/>
                <w:sz w:val="14"/>
                <w:szCs w:val="14"/>
                <w:b w:val="1"/>
                <w:bCs w:val="1"/>
                <w:color w:val="auto"/>
              </w:rPr>
              <w:t>General Counsel and Secretary</w:t>
            </w:r>
          </w:p>
        </w:tc>
        <w:tc>
          <w:tcPr>
            <w:tcW w:w="2380" w:type="dxa"/>
            <w:vAlign w:val="bottom"/>
          </w:tcPr>
          <w:p>
            <w:pPr>
              <w:jc w:val="center"/>
              <w:ind w:left="128"/>
              <w:spacing w:after="0" w:line="139" w:lineRule="exact"/>
              <w:rPr>
                <w:sz w:val="20"/>
                <w:szCs w:val="20"/>
                <w:color w:val="auto"/>
              </w:rPr>
            </w:pPr>
            <w:r>
              <w:rPr>
                <w:rFonts w:ascii="Arial" w:cs="Arial" w:eastAsia="Arial" w:hAnsi="Arial"/>
                <w:sz w:val="14"/>
                <w:szCs w:val="14"/>
                <w:b w:val="1"/>
                <w:bCs w:val="1"/>
                <w:color w:val="auto"/>
              </w:rPr>
              <w:t>Cynthia C. Hess</w:t>
            </w:r>
          </w:p>
        </w:tc>
      </w:tr>
      <w:tr>
        <w:trPr>
          <w:trHeight w:val="149"/>
        </w:trPr>
        <w:tc>
          <w:tcPr>
            <w:tcW w:w="210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Jon C. Avina</w:t>
            </w:r>
          </w:p>
        </w:tc>
        <w:tc>
          <w:tcPr>
            <w:tcW w:w="5020" w:type="dxa"/>
            <w:vAlign w:val="bottom"/>
          </w:tcPr>
          <w:p>
            <w:pPr>
              <w:jc w:val="center"/>
              <w:ind w:left="30"/>
              <w:spacing w:after="0" w:line="149" w:lineRule="exact"/>
              <w:rPr>
                <w:sz w:val="20"/>
                <w:szCs w:val="20"/>
                <w:color w:val="auto"/>
              </w:rPr>
            </w:pPr>
            <w:r>
              <w:rPr>
                <w:rFonts w:ascii="Arial" w:cs="Arial" w:eastAsia="Arial" w:hAnsi="Arial"/>
                <w:sz w:val="14"/>
                <w:szCs w:val="14"/>
                <w:b w:val="1"/>
                <w:bCs w:val="1"/>
                <w:color w:val="auto"/>
              </w:rPr>
              <w:t>Navan, Inc.</w:t>
            </w:r>
          </w:p>
        </w:tc>
        <w:tc>
          <w:tcPr>
            <w:tcW w:w="23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Jennifer J. Hitchcock</w:t>
            </w:r>
          </w:p>
        </w:tc>
      </w:tr>
      <w:tr>
        <w:trPr>
          <w:trHeight w:val="144"/>
        </w:trPr>
        <w:tc>
          <w:tcPr>
            <w:tcW w:w="210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Milson C. Yu</w:t>
            </w:r>
          </w:p>
        </w:tc>
        <w:tc>
          <w:tcPr>
            <w:tcW w:w="5020" w:type="dxa"/>
            <w:vAlign w:val="bottom"/>
          </w:tcPr>
          <w:p>
            <w:pPr>
              <w:jc w:val="center"/>
              <w:ind w:left="10"/>
              <w:spacing w:after="0" w:line="145" w:lineRule="exact"/>
              <w:rPr>
                <w:sz w:val="20"/>
                <w:szCs w:val="20"/>
                <w:color w:val="auto"/>
              </w:rPr>
            </w:pPr>
            <w:r>
              <w:rPr>
                <w:rFonts w:ascii="Arial" w:cs="Arial" w:eastAsia="Arial" w:hAnsi="Arial"/>
                <w:sz w:val="14"/>
                <w:szCs w:val="14"/>
                <w:b w:val="1"/>
                <w:bCs w:val="1"/>
                <w:color w:val="auto"/>
              </w:rPr>
              <w:t>3045 Park Boulevard</w:t>
            </w:r>
          </w:p>
        </w:tc>
        <w:tc>
          <w:tcPr>
            <w:tcW w:w="238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auto"/>
              </w:rPr>
              <w:t>Aman D. Singh</w:t>
            </w:r>
          </w:p>
        </w:tc>
      </w:tr>
      <w:tr>
        <w:trPr>
          <w:trHeight w:val="139"/>
        </w:trPr>
        <w:tc>
          <w:tcPr>
            <w:tcW w:w="2100" w:type="dxa"/>
            <w:vAlign w:val="bottom"/>
          </w:tcPr>
          <w:p>
            <w:pPr>
              <w:jc w:val="center"/>
              <w:ind w:right="208"/>
              <w:spacing w:after="0" w:line="139" w:lineRule="exact"/>
              <w:rPr>
                <w:sz w:val="20"/>
                <w:szCs w:val="20"/>
                <w:color w:val="auto"/>
              </w:rPr>
            </w:pPr>
            <w:r>
              <w:rPr>
                <w:rFonts w:ascii="Arial" w:cs="Arial" w:eastAsia="Arial" w:hAnsi="Arial"/>
                <w:sz w:val="14"/>
                <w:szCs w:val="14"/>
                <w:b w:val="1"/>
                <w:bCs w:val="1"/>
                <w:color w:val="auto"/>
              </w:rPr>
              <w:t>Cooley LLP</w:t>
            </w:r>
          </w:p>
        </w:tc>
        <w:tc>
          <w:tcPr>
            <w:tcW w:w="5020" w:type="dxa"/>
            <w:vAlign w:val="bottom"/>
          </w:tcPr>
          <w:p>
            <w:pPr>
              <w:jc w:val="center"/>
              <w:ind w:left="10"/>
              <w:spacing w:after="0" w:line="139" w:lineRule="exact"/>
              <w:rPr>
                <w:sz w:val="20"/>
                <w:szCs w:val="20"/>
                <w:color w:val="auto"/>
              </w:rPr>
            </w:pPr>
            <w:r>
              <w:rPr>
                <w:rFonts w:ascii="Arial" w:cs="Arial" w:eastAsia="Arial" w:hAnsi="Arial"/>
                <w:sz w:val="14"/>
                <w:szCs w:val="14"/>
                <w:b w:val="1"/>
                <w:bCs w:val="1"/>
                <w:color w:val="auto"/>
              </w:rPr>
              <w:t>Palo Alto, California 94306</w:t>
            </w:r>
          </w:p>
        </w:tc>
        <w:tc>
          <w:tcPr>
            <w:tcW w:w="2380" w:type="dxa"/>
            <w:vAlign w:val="bottom"/>
          </w:tcPr>
          <w:p>
            <w:pPr>
              <w:jc w:val="center"/>
              <w:ind w:left="108"/>
              <w:spacing w:after="0" w:line="139" w:lineRule="exact"/>
              <w:rPr>
                <w:sz w:val="20"/>
                <w:szCs w:val="20"/>
                <w:color w:val="auto"/>
              </w:rPr>
            </w:pPr>
            <w:r>
              <w:rPr>
                <w:rFonts w:ascii="Arial" w:cs="Arial" w:eastAsia="Arial" w:hAnsi="Arial"/>
                <w:sz w:val="14"/>
                <w:szCs w:val="14"/>
                <w:b w:val="1"/>
                <w:bCs w:val="1"/>
                <w:color w:val="auto"/>
              </w:rPr>
              <w:t>Fenwick &amp; West LLP</w:t>
            </w:r>
          </w:p>
        </w:tc>
      </w:tr>
      <w:tr>
        <w:trPr>
          <w:trHeight w:val="148"/>
        </w:trPr>
        <w:tc>
          <w:tcPr>
            <w:tcW w:w="210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3175 Hanover Street</w:t>
            </w:r>
          </w:p>
        </w:tc>
        <w:tc>
          <w:tcPr>
            <w:tcW w:w="5020" w:type="dxa"/>
            <w:vAlign w:val="bottom"/>
          </w:tcPr>
          <w:p>
            <w:pPr>
              <w:jc w:val="center"/>
              <w:ind w:left="10"/>
              <w:spacing w:after="0" w:line="149" w:lineRule="exact"/>
              <w:rPr>
                <w:sz w:val="20"/>
                <w:szCs w:val="20"/>
                <w:color w:val="auto"/>
              </w:rPr>
            </w:pPr>
            <w:r>
              <w:rPr>
                <w:rFonts w:ascii="Arial" w:cs="Arial" w:eastAsia="Arial" w:hAnsi="Arial"/>
                <w:sz w:val="14"/>
                <w:szCs w:val="14"/>
                <w:b w:val="1"/>
                <w:bCs w:val="1"/>
                <w:color w:val="auto"/>
              </w:rPr>
              <w:t>(888) 505-8747</w:t>
            </w:r>
          </w:p>
        </w:tc>
        <w:tc>
          <w:tcPr>
            <w:tcW w:w="23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801 California Street</w:t>
            </w:r>
          </w:p>
        </w:tc>
      </w:tr>
      <w:tr>
        <w:trPr>
          <w:trHeight w:val="144"/>
        </w:trPr>
        <w:tc>
          <w:tcPr>
            <w:tcW w:w="210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Palo Alto, California 94304</w:t>
            </w:r>
          </w:p>
        </w:tc>
        <w:tc>
          <w:tcPr>
            <w:tcW w:w="5020" w:type="dxa"/>
            <w:vAlign w:val="bottom"/>
          </w:tcPr>
          <w:p>
            <w:pPr>
              <w:spacing w:after="0"/>
              <w:rPr>
                <w:sz w:val="12"/>
                <w:szCs w:val="12"/>
                <w:color w:val="auto"/>
              </w:rPr>
            </w:pPr>
          </w:p>
        </w:tc>
        <w:tc>
          <w:tcPr>
            <w:tcW w:w="238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auto"/>
              </w:rPr>
              <w:t>Mountain View, California 94041</w:t>
            </w:r>
          </w:p>
        </w:tc>
      </w:tr>
      <w:tr>
        <w:trPr>
          <w:trHeight w:val="196"/>
        </w:trPr>
        <w:tc>
          <w:tcPr>
            <w:tcW w:w="2100" w:type="dxa"/>
            <w:vAlign w:val="bottom"/>
          </w:tcPr>
          <w:p>
            <w:pPr>
              <w:jc w:val="center"/>
              <w:ind w:right="208"/>
              <w:spacing w:after="0"/>
              <w:rPr>
                <w:sz w:val="20"/>
                <w:szCs w:val="20"/>
                <w:color w:val="auto"/>
              </w:rPr>
            </w:pPr>
            <w:r>
              <w:rPr>
                <w:rFonts w:ascii="Arial" w:cs="Arial" w:eastAsia="Arial" w:hAnsi="Arial"/>
                <w:sz w:val="14"/>
                <w:szCs w:val="14"/>
                <w:b w:val="1"/>
                <w:bCs w:val="1"/>
                <w:color w:val="auto"/>
              </w:rPr>
              <w:t>(650) 843-5000</w:t>
            </w:r>
          </w:p>
        </w:tc>
        <w:tc>
          <w:tcPr>
            <w:tcW w:w="5020" w:type="dxa"/>
            <w:vAlign w:val="bottom"/>
          </w:tcPr>
          <w:p>
            <w:pPr>
              <w:spacing w:after="0"/>
              <w:rPr>
                <w:sz w:val="17"/>
                <w:szCs w:val="17"/>
                <w:color w:val="auto"/>
              </w:rPr>
            </w:pPr>
          </w:p>
        </w:tc>
        <w:tc>
          <w:tcPr>
            <w:tcW w:w="2380" w:type="dxa"/>
            <w:vAlign w:val="bottom"/>
          </w:tcPr>
          <w:p>
            <w:pPr>
              <w:jc w:val="center"/>
              <w:ind w:left="128"/>
              <w:spacing w:after="0"/>
              <w:rPr>
                <w:sz w:val="20"/>
                <w:szCs w:val="20"/>
                <w:color w:val="auto"/>
              </w:rPr>
            </w:pPr>
            <w:r>
              <w:rPr>
                <w:rFonts w:ascii="Arial" w:cs="Arial" w:eastAsia="Arial" w:hAnsi="Arial"/>
                <w:sz w:val="14"/>
                <w:szCs w:val="14"/>
                <w:b w:val="1"/>
                <w:bCs w:val="1"/>
                <w:color w:val="auto"/>
              </w:rPr>
              <w:t>(650) 988-8500</w:t>
            </w:r>
          </w:p>
        </w:tc>
      </w:tr>
      <w:tr>
        <w:trPr>
          <w:trHeight w:val="326"/>
        </w:trPr>
        <w:tc>
          <w:tcPr>
            <w:tcW w:w="2100" w:type="dxa"/>
            <w:vAlign w:val="bottom"/>
          </w:tcPr>
          <w:p>
            <w:pPr>
              <w:spacing w:after="0"/>
              <w:rPr>
                <w:sz w:val="24"/>
                <w:szCs w:val="24"/>
                <w:color w:val="auto"/>
              </w:rPr>
            </w:pPr>
          </w:p>
        </w:tc>
        <w:tc>
          <w:tcPr>
            <w:tcW w:w="5020" w:type="dxa"/>
            <w:vAlign w:val="bottom"/>
          </w:tcPr>
          <w:p>
            <w:pPr>
              <w:jc w:val="center"/>
              <w:ind w:left="30"/>
              <w:spacing w:after="0"/>
              <w:rPr>
                <w:sz w:val="20"/>
                <w:szCs w:val="20"/>
                <w:color w:val="auto"/>
              </w:rPr>
            </w:pPr>
            <w:r>
              <w:rPr>
                <w:rFonts w:ascii="Arial" w:cs="Arial" w:eastAsia="Arial" w:hAnsi="Arial"/>
                <w:sz w:val="13"/>
                <w:szCs w:val="13"/>
                <w:b w:val="1"/>
                <w:bCs w:val="1"/>
                <w:color w:val="auto"/>
                <w:w w:val="96"/>
              </w:rPr>
              <w:t>Approximate date of commencement of proposed sale to the public:</w:t>
            </w:r>
          </w:p>
        </w:tc>
        <w:tc>
          <w:tcPr>
            <w:tcW w:w="2380" w:type="dxa"/>
            <w:vAlign w:val="bottom"/>
          </w:tcPr>
          <w:p>
            <w:pPr>
              <w:spacing w:after="0"/>
              <w:rPr>
                <w:sz w:val="24"/>
                <w:szCs w:val="24"/>
                <w:color w:val="auto"/>
              </w:rPr>
            </w:pPr>
          </w:p>
        </w:tc>
      </w:tr>
      <w:tr>
        <w:trPr>
          <w:trHeight w:val="172"/>
        </w:trPr>
        <w:tc>
          <w:tcPr>
            <w:tcW w:w="2100" w:type="dxa"/>
            <w:vAlign w:val="bottom"/>
          </w:tcPr>
          <w:p>
            <w:pPr>
              <w:spacing w:after="0"/>
              <w:rPr>
                <w:sz w:val="14"/>
                <w:szCs w:val="14"/>
                <w:color w:val="auto"/>
              </w:rPr>
            </w:pPr>
          </w:p>
        </w:tc>
        <w:tc>
          <w:tcPr>
            <w:tcW w:w="5020" w:type="dxa"/>
            <w:vAlign w:val="bottom"/>
          </w:tcPr>
          <w:p>
            <w:pPr>
              <w:jc w:val="center"/>
              <w:ind w:left="30"/>
              <w:spacing w:after="0"/>
              <w:rPr>
                <w:sz w:val="20"/>
                <w:szCs w:val="20"/>
                <w:color w:val="auto"/>
              </w:rPr>
            </w:pPr>
            <w:r>
              <w:rPr>
                <w:rFonts w:ascii="Arial" w:cs="Arial" w:eastAsia="Arial" w:hAnsi="Arial"/>
                <w:sz w:val="13"/>
                <w:szCs w:val="13"/>
                <w:b w:val="1"/>
                <w:bCs w:val="1"/>
                <w:color w:val="auto"/>
                <w:w w:val="97"/>
              </w:rPr>
              <w:t>As soon as practicable after the effective date of this registration statement.</w:t>
            </w:r>
          </w:p>
        </w:tc>
        <w:tc>
          <w:tcPr>
            <w:tcW w:w="2380" w:type="dxa"/>
            <w:vAlign w:val="bottom"/>
          </w:tcPr>
          <w:p>
            <w:pPr>
              <w:spacing w:after="0"/>
              <w:rPr>
                <w:sz w:val="14"/>
                <w:szCs w:val="14"/>
                <w:color w:val="auto"/>
              </w:rPr>
            </w:pPr>
          </w:p>
        </w:tc>
      </w:tr>
    </w:tbl>
    <w:p>
      <w:pPr>
        <w:spacing w:after="0" w:line="93" w:lineRule="exact"/>
        <w:rPr>
          <w:sz w:val="24"/>
          <w:szCs w:val="24"/>
          <w:color w:val="auto"/>
        </w:rPr>
      </w:pPr>
    </w:p>
    <w:p>
      <w:pPr>
        <w:ind w:right="100"/>
        <w:spacing w:after="0" w:line="193"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right="320"/>
        <w:spacing w:after="0" w:line="193"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4" w:lineRule="exact"/>
        <w:rPr>
          <w:sz w:val="24"/>
          <w:szCs w:val="24"/>
          <w:color w:val="auto"/>
        </w:rPr>
      </w:pPr>
    </w:p>
    <w:p>
      <w:pPr>
        <w:ind w:right="460"/>
        <w:spacing w:after="0" w:line="193"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4" w:lineRule="exact"/>
        <w:rPr>
          <w:sz w:val="24"/>
          <w:szCs w:val="24"/>
          <w:color w:val="auto"/>
        </w:rPr>
      </w:pPr>
    </w:p>
    <w:p>
      <w:pPr>
        <w:ind w:right="440"/>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4" w:lineRule="exact"/>
        <w:rPr>
          <w:sz w:val="24"/>
          <w:szCs w:val="24"/>
          <w:color w:val="auto"/>
        </w:rPr>
      </w:pPr>
    </w:p>
    <w:p>
      <w:pPr>
        <w:ind w:right="440"/>
        <w:spacing w:after="0" w:line="28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22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22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222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1" w:lineRule="exact"/>
        <w:rPr>
          <w:sz w:val="24"/>
          <w:szCs w:val="24"/>
          <w:color w:val="auto"/>
        </w:rPr>
      </w:pPr>
    </w:p>
    <w:p>
      <w:pPr>
        <w:ind w:right="26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77"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11200"/>
          </w:cols>
          <w:pgMar w:left="320" w:top="684" w:right="379" w:bottom="1440" w:gutter="0" w:footer="0" w:header="0"/>
        </w:sectPr>
      </w:pPr>
    </w:p>
    <w:bookmarkStart w:id="1" w:name="page2"/>
    <w:bookmarkEnd w:id="1"/>
    <w:p>
      <w:pPr>
        <w:jc w:val="both"/>
        <w:spacing w:after="0" w:line="275" w:lineRule="auto"/>
        <w:rPr>
          <w:sz w:val="20"/>
          <w:szCs w:val="20"/>
          <w:color w:val="auto"/>
        </w:rPr>
      </w:pPr>
      <w:r>
        <w:rPr>
          <w:rFonts w:ascii="Arial" w:cs="Arial" w:eastAsia="Arial" w:hAnsi="Arial"/>
          <w:sz w:val="16"/>
          <w:szCs w:val="16"/>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2" w:lineRule="exact"/>
        <w:rPr>
          <w:sz w:val="20"/>
          <w:szCs w:val="20"/>
          <w:color w:val="auto"/>
        </w:rPr>
      </w:pPr>
    </w:p>
    <w:tbl>
      <w:tblPr>
        <w:tblLayout w:type="fixed"/>
        <w:tblInd w:w="4120" w:type="dxa"/>
        <w:tblCellMar>
          <w:top w:w="0" w:type="dxa"/>
          <w:left w:w="0" w:type="dxa"/>
          <w:bottom w:w="0" w:type="dxa"/>
          <w:right w:w="0" w:type="dxa"/>
        </w:tblCellMar>
      </w:tblPr>
      <w:tr>
        <w:trPr>
          <w:trHeight w:val="215"/>
        </w:trPr>
        <w:tc>
          <w:tcPr>
            <w:tcW w:w="2300" w:type="dxa"/>
            <w:vAlign w:val="bottom"/>
          </w:tcPr>
          <w:p>
            <w:pPr>
              <w:spacing w:after="0"/>
              <w:rPr>
                <w:sz w:val="20"/>
                <w:szCs w:val="20"/>
                <w:color w:val="auto"/>
              </w:rPr>
            </w:pPr>
            <w:r>
              <w:rPr>
                <w:rFonts w:ascii="Arial" w:cs="Arial" w:eastAsia="Arial" w:hAnsi="Arial"/>
                <w:sz w:val="16"/>
                <w:szCs w:val="16"/>
                <w:color w:val="DE1A1E"/>
              </w:rPr>
              <w:t>Subject to Completion. Dated</w:t>
            </w:r>
          </w:p>
        </w:tc>
        <w:tc>
          <w:tcPr>
            <w:tcW w:w="700" w:type="dxa"/>
            <w:vAlign w:val="bottom"/>
          </w:tcPr>
          <w:p>
            <w:pPr>
              <w:jc w:val="right"/>
              <w:spacing w:after="0"/>
              <w:rPr>
                <w:sz w:val="20"/>
                <w:szCs w:val="20"/>
                <w:color w:val="auto"/>
              </w:rPr>
            </w:pPr>
            <w:r>
              <w:rPr>
                <w:rFonts w:ascii="Arial" w:cs="Arial" w:eastAsia="Arial" w:hAnsi="Arial"/>
                <w:sz w:val="16"/>
                <w:szCs w:val="16"/>
                <w:color w:val="DE1A1E"/>
              </w:rPr>
              <w:t>, 2025.</w:t>
            </w:r>
          </w:p>
        </w:tc>
      </w:tr>
    </w:tbl>
    <w:p>
      <w:pPr>
        <w:ind w:left="558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7620</wp:posOffset>
            </wp:positionV>
            <wp:extent cx="2700020"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0002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Navan,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31115</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54" w:lineRule="exact"/>
        <w:rPr>
          <w:sz w:val="20"/>
          <w:szCs w:val="20"/>
          <w:color w:val="auto"/>
        </w:rPr>
      </w:pPr>
    </w:p>
    <w:p>
      <w:pPr>
        <w:ind w:right="200" w:firstLine="324"/>
        <w:spacing w:after="0" w:line="283" w:lineRule="auto"/>
        <w:rPr>
          <w:sz w:val="20"/>
          <w:szCs w:val="20"/>
          <w:color w:val="auto"/>
        </w:rPr>
      </w:pPr>
      <w:r>
        <w:rPr>
          <w:rFonts w:ascii="Arial" w:cs="Arial" w:eastAsia="Arial" w:hAnsi="Arial"/>
          <w:sz w:val="14"/>
          <w:szCs w:val="14"/>
          <w:color w:val="auto"/>
        </w:rPr>
        <w:t>This is the initial public offering of shares of Class A common stock of Navan, Inc. We are offering shares of our Class A common stock in this offering. The selling stockholders identified in this prospectus are offering an additional shares of Class A common stock. We will not receive any proceeds from the sale of shares of Class A common stock by the selling stockholders.</w:t>
      </w:r>
    </w:p>
    <w:p>
      <w:pPr>
        <w:spacing w:after="0" w:line="51" w:lineRule="exact"/>
        <w:rPr>
          <w:sz w:val="20"/>
          <w:szCs w:val="20"/>
          <w:color w:val="auto"/>
        </w:rPr>
      </w:pPr>
    </w:p>
    <w:p>
      <w:pPr>
        <w:ind w:right="240" w:firstLine="324"/>
        <w:spacing w:after="0" w:line="285" w:lineRule="auto"/>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per share of our Class A common stock will be between $ and $ .</w:t>
      </w:r>
    </w:p>
    <w:p>
      <w:pPr>
        <w:spacing w:after="0" w:line="50" w:lineRule="exact"/>
        <w:rPr>
          <w:sz w:val="20"/>
          <w:szCs w:val="20"/>
          <w:color w:val="auto"/>
        </w:rPr>
      </w:pPr>
    </w:p>
    <w:p>
      <w:pPr>
        <w:ind w:right="400" w:firstLine="324"/>
        <w:spacing w:after="0" w:line="305" w:lineRule="auto"/>
        <w:rPr>
          <w:sz w:val="20"/>
          <w:szCs w:val="20"/>
          <w:color w:val="auto"/>
        </w:rPr>
      </w:pPr>
      <w:r>
        <w:rPr>
          <w:rFonts w:ascii="Arial" w:cs="Arial" w:eastAsia="Arial" w:hAnsi="Arial"/>
          <w:sz w:val="14"/>
          <w:szCs w:val="14"/>
          <w:color w:val="auto"/>
        </w:rPr>
        <w:t>We intend to apply to list our Class A common stock on the Nasdaq Global Select Market, or Nasdaq, under the symbol “NAVN.” This offering is contingent upon final approval of our listing of our Class A common stock on Nasdaq.</w:t>
      </w:r>
    </w:p>
    <w:p>
      <w:pPr>
        <w:spacing w:after="0" w:line="23" w:lineRule="exact"/>
        <w:rPr>
          <w:sz w:val="20"/>
          <w:szCs w:val="20"/>
          <w:color w:val="auto"/>
        </w:rPr>
      </w:pPr>
    </w:p>
    <w:p>
      <w:pPr>
        <w:ind w:right="40" w:firstLine="324"/>
        <w:spacing w:after="0" w:line="262" w:lineRule="auto"/>
        <w:rPr>
          <w:sz w:val="20"/>
          <w:szCs w:val="20"/>
          <w:color w:val="auto"/>
        </w:rPr>
      </w:pPr>
      <w:r>
        <w:rPr>
          <w:rFonts w:ascii="Arial" w:cs="Arial" w:eastAsia="Arial" w:hAnsi="Arial"/>
          <w:sz w:val="14"/>
          <w:szCs w:val="14"/>
          <w:color w:val="auto"/>
        </w:rPr>
        <w:t>Following this offering, we will have two classes of authorized common stock, Class A common stock and Class B common stock. The rights of the holders of Class A common stock and Class B common stock are identical, except with respect to voting and conversion rights. Each share of Class A common stock is entitled to one vote per share. Each share of Class B common stock is entitled to votes per share and is convertible into one share of Class A common stock. Immediately following the completion of this offering, and assuming no exercise of the underwriters’ option to purchase additional shares, Ariel Cohen, our co-founder, Chief Executive Officer, and chairperson of our board of directors will hold or have the ability to control approximately % of the voting power of our outstanding capital stock, and Ilan Twig, our co-founder, Chief Technology Officer, and a member of our board of directors, and together with Mr. Cohen, our co-founders, will hold or have the ability to control approximately % of the voting power of our outstanding capital stock, which voting power may increase over time upon the exercise or settlement and exchange of equity awards held by our co-founders pursuant to their equity exchange rights, as described further under the section titled “Prospectus Summary—The Offering.” As a result, our co-founders, together, may have significant influence over the outcome of matters submitted to our stockholders for approval, including the election of our directors and the approval of any change of control transaction.</w:t>
      </w:r>
    </w:p>
    <w:p>
      <w:pPr>
        <w:spacing w:after="0" w:line="65" w:lineRule="exact"/>
        <w:rPr>
          <w:sz w:val="20"/>
          <w:szCs w:val="20"/>
          <w:color w:val="auto"/>
        </w:rPr>
      </w:pPr>
    </w:p>
    <w:p>
      <w:pPr>
        <w:ind w:right="160" w:firstLine="324"/>
        <w:spacing w:after="0" w:line="305" w:lineRule="auto"/>
        <w:rPr>
          <w:sz w:val="20"/>
          <w:szCs w:val="20"/>
          <w:color w:val="auto"/>
        </w:rPr>
      </w:pPr>
      <w:r>
        <w:rPr>
          <w:rFonts w:ascii="Arial" w:cs="Arial" w:eastAsia="Arial" w:hAnsi="Arial"/>
          <w:sz w:val="14"/>
          <w:szCs w:val="14"/>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37465</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See “</w:t>
      </w:r>
      <w:r>
        <w:rPr>
          <w:rFonts w:ascii="Arial" w:cs="Arial" w:eastAsia="Arial" w:hAnsi="Arial"/>
          <w:sz w:val="16"/>
          <w:szCs w:val="16"/>
          <w:b w:val="1"/>
          <w:bCs w:val="1"/>
          <w:i w:val="1"/>
          <w:iCs w:val="1"/>
          <w:u w:val="single" w:color="auto"/>
          <w:color w:val="0000FF"/>
        </w:rPr>
        <w:t>Risk Factors</w:t>
      </w:r>
      <w:r>
        <w:rPr>
          <w:rFonts w:ascii="Arial" w:cs="Arial" w:eastAsia="Arial" w:hAnsi="Arial"/>
          <w:sz w:val="16"/>
          <w:szCs w:val="16"/>
          <w:b w:val="1"/>
          <w:bCs w:val="1"/>
          <w:i w:val="1"/>
          <w:iCs w:val="1"/>
          <w:color w:val="auto"/>
        </w:rPr>
        <w:t xml:space="preserve">” beginning on page </w:t>
      </w:r>
      <w:r>
        <w:rPr>
          <w:rFonts w:ascii="Arial" w:cs="Arial" w:eastAsia="Arial" w:hAnsi="Arial"/>
          <w:sz w:val="16"/>
          <w:szCs w:val="16"/>
          <w:b w:val="1"/>
          <w:bCs w:val="1"/>
          <w:i w:val="1"/>
          <w:iCs w:val="1"/>
          <w:u w:val="single" w:color="auto"/>
          <w:color w:val="0000FF"/>
        </w:rPr>
        <w:t>20</w:t>
      </w:r>
      <w:r>
        <w:rPr>
          <w:rFonts w:ascii="Arial" w:cs="Arial" w:eastAsia="Arial" w:hAnsi="Arial"/>
          <w:sz w:val="16"/>
          <w:szCs w:val="16"/>
          <w:b w:val="1"/>
          <w:bCs w:val="1"/>
          <w:i w:val="1"/>
          <w:iCs w:val="1"/>
          <w:color w:val="auto"/>
        </w:rPr>
        <w:t xml:space="preserve">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62230</wp:posOffset>
            </wp:positionV>
            <wp:extent cx="1311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13"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-12700</wp:posOffset>
            </wp:positionV>
            <wp:extent cx="1311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Per Share</w:t>
            </w:r>
          </w:p>
        </w:tc>
        <w:tc>
          <w:tcPr>
            <w:tcW w:w="13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color w:val="auto"/>
              </w:rPr>
              <w:t>Initial public offering price</w:t>
            </w:r>
          </w:p>
        </w:tc>
        <w:tc>
          <w:tcPr>
            <w:tcW w:w="1360" w:type="dxa"/>
            <w:vAlign w:val="bottom"/>
            <w:tcBorders>
              <w:top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60" w:type="dxa"/>
            <w:vAlign w:val="bottom"/>
            <w:tcBorders>
              <w:top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r>
      <w:tr>
        <w:trPr>
          <w:trHeight w:val="202"/>
        </w:trPr>
        <w:tc>
          <w:tcPr>
            <w:tcW w:w="8440" w:type="dxa"/>
            <w:vAlign w:val="bottom"/>
          </w:tcPr>
          <w:p>
            <w:pPr>
              <w:ind w:left="20"/>
              <w:spacing w:after="0"/>
              <w:rPr>
                <w:sz w:val="20"/>
                <w:szCs w:val="20"/>
                <w:color w:val="auto"/>
              </w:rPr>
            </w:pPr>
            <w:r>
              <w:rPr>
                <w:rFonts w:ascii="Arial" w:cs="Arial" w:eastAsia="Arial" w:hAnsi="Arial"/>
                <w:sz w:val="14"/>
                <w:szCs w:val="14"/>
                <w:color w:val="auto"/>
              </w:rPr>
              <w:t>Underwriting discount</w:t>
            </w:r>
            <w:r>
              <w:rPr>
                <w:rFonts w:ascii="Arial" w:cs="Arial" w:eastAsia="Arial" w:hAnsi="Arial"/>
                <w:sz w:val="9"/>
                <w:szCs w:val="9"/>
                <w:color w:val="auto"/>
              </w:rPr>
              <w:t>(1)</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r>
      <w:tr>
        <w:trPr>
          <w:trHeight w:val="203"/>
        </w:trPr>
        <w:tc>
          <w:tcPr>
            <w:tcW w:w="8440" w:type="dxa"/>
            <w:vAlign w:val="bottom"/>
          </w:tcPr>
          <w:p>
            <w:pPr>
              <w:ind w:left="20"/>
              <w:spacing w:after="0"/>
              <w:rPr>
                <w:sz w:val="20"/>
                <w:szCs w:val="20"/>
                <w:color w:val="auto"/>
              </w:rPr>
            </w:pPr>
            <w:r>
              <w:rPr>
                <w:rFonts w:ascii="Arial" w:cs="Arial" w:eastAsia="Arial" w:hAnsi="Arial"/>
                <w:sz w:val="14"/>
                <w:szCs w:val="14"/>
                <w:color w:val="auto"/>
              </w:rPr>
              <w:t>Proceeds, before expenses, to us</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r>
      <w:tr>
        <w:trPr>
          <w:trHeight w:val="203"/>
        </w:trPr>
        <w:tc>
          <w:tcPr>
            <w:tcW w:w="8440" w:type="dxa"/>
            <w:vAlign w:val="bottom"/>
          </w:tcPr>
          <w:p>
            <w:pPr>
              <w:ind w:left="20"/>
              <w:spacing w:after="0"/>
              <w:rPr>
                <w:sz w:val="20"/>
                <w:szCs w:val="20"/>
                <w:color w:val="auto"/>
              </w:rPr>
            </w:pPr>
            <w:r>
              <w:rPr>
                <w:rFonts w:ascii="Arial" w:cs="Arial" w:eastAsia="Arial" w:hAnsi="Arial"/>
                <w:sz w:val="14"/>
                <w:szCs w:val="14"/>
                <w:color w:val="auto"/>
              </w:rPr>
              <w:t>Proceeds, before expenses, to the selling stockholders</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r>
      <w:tr>
        <w:trPr>
          <w:trHeight w:val="286"/>
        </w:trPr>
        <w:tc>
          <w:tcPr>
            <w:tcW w:w="8440" w:type="dxa"/>
            <w:vAlign w:val="bottom"/>
          </w:tcPr>
          <w:p>
            <w:pPr>
              <w:spacing w:after="0"/>
              <w:rPr>
                <w:sz w:val="20"/>
                <w:szCs w:val="20"/>
                <w:color w:val="auto"/>
              </w:rPr>
            </w:pPr>
            <w:r>
              <w:rPr>
                <w:rFonts w:ascii="Arial" w:cs="Arial" w:eastAsia="Arial" w:hAnsi="Arial"/>
                <w:sz w:val="16"/>
                <w:szCs w:val="16"/>
                <w:color w:val="auto"/>
              </w:rPr>
              <w:t>_______________</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ind w:left="320" w:hanging="312"/>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the section titled “Underwriting” for a description of the compensation payable to the underwriters.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gridSpan w:val="4"/>
          </w:tcPr>
          <w:p>
            <w:pPr>
              <w:ind w:left="340"/>
              <w:spacing w:after="0"/>
              <w:rPr>
                <w:sz w:val="20"/>
                <w:szCs w:val="20"/>
                <w:color w:val="auto"/>
              </w:rPr>
            </w:pPr>
            <w:r>
              <w:rPr>
                <w:rFonts w:ascii="Arial" w:cs="Arial" w:eastAsia="Arial" w:hAnsi="Arial"/>
                <w:sz w:val="14"/>
                <w:szCs w:val="14"/>
                <w:color w:val="auto"/>
              </w:rPr>
              <w:t>The underwriters have the option for a period of 30 days to purchase up to an additional</w:t>
            </w:r>
          </w:p>
        </w:tc>
        <w:tc>
          <w:tcPr>
            <w:tcW w:w="5120" w:type="dxa"/>
            <w:vAlign w:val="bottom"/>
            <w:gridSpan w:val="4"/>
          </w:tcPr>
          <w:p>
            <w:pPr>
              <w:ind w:left="140"/>
              <w:spacing w:after="0"/>
              <w:rPr>
                <w:sz w:val="20"/>
                <w:szCs w:val="20"/>
                <w:color w:val="auto"/>
              </w:rPr>
            </w:pPr>
            <w:r>
              <w:rPr>
                <w:rFonts w:ascii="Arial" w:cs="Arial" w:eastAsia="Arial" w:hAnsi="Arial"/>
                <w:sz w:val="14"/>
                <w:szCs w:val="14"/>
                <w:color w:val="auto"/>
              </w:rPr>
              <w:t>shares of Class A common stock from us at the initial public offering price less</w:t>
            </w:r>
          </w:p>
        </w:tc>
        <w:tc>
          <w:tcPr>
            <w:tcW w:w="0" w:type="dxa"/>
            <w:vAlign w:val="bottom"/>
          </w:tcPr>
          <w:p>
            <w:pPr>
              <w:spacing w:after="0"/>
              <w:rPr>
                <w:sz w:val="1"/>
                <w:szCs w:val="1"/>
                <w:color w:val="auto"/>
              </w:rPr>
            </w:pPr>
          </w:p>
        </w:tc>
      </w:tr>
      <w:tr>
        <w:trPr>
          <w:trHeight w:val="190"/>
        </w:trPr>
        <w:tc>
          <w:tcPr>
            <w:tcW w:w="1420" w:type="dxa"/>
            <w:vAlign w:val="bottom"/>
          </w:tcPr>
          <w:p>
            <w:pPr>
              <w:jc w:val="center"/>
              <w:spacing w:after="0"/>
              <w:rPr>
                <w:sz w:val="20"/>
                <w:szCs w:val="20"/>
                <w:color w:val="auto"/>
              </w:rPr>
            </w:pPr>
            <w:r>
              <w:rPr>
                <w:rFonts w:ascii="Arial" w:cs="Arial" w:eastAsia="Arial" w:hAnsi="Arial"/>
                <w:sz w:val="14"/>
                <w:szCs w:val="14"/>
                <w:color w:val="auto"/>
              </w:rPr>
              <w:t>underwriting discount.</w:t>
            </w:r>
          </w:p>
        </w:tc>
        <w:tc>
          <w:tcPr>
            <w:tcW w:w="2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40" w:type="dxa"/>
            <w:vAlign w:val="bottom"/>
            <w:gridSpan w:val="6"/>
          </w:tcPr>
          <w:p>
            <w:pPr>
              <w:ind w:left="340"/>
              <w:spacing w:after="0"/>
              <w:rPr>
                <w:sz w:val="20"/>
                <w:szCs w:val="20"/>
                <w:color w:val="auto"/>
              </w:rPr>
            </w:pPr>
            <w:r>
              <w:rPr>
                <w:rFonts w:ascii="Arial" w:cs="Arial" w:eastAsia="Arial" w:hAnsi="Arial"/>
                <w:sz w:val="14"/>
                <w:szCs w:val="14"/>
                <w:color w:val="auto"/>
              </w:rPr>
              <w:t>The underwriters expect to deliver the shares of Class A common stock against payment in New York, New York on</w:t>
            </w:r>
          </w:p>
        </w:tc>
        <w:tc>
          <w:tcPr>
            <w:tcW w:w="780" w:type="dxa"/>
            <w:vAlign w:val="bottom"/>
          </w:tcPr>
          <w:p>
            <w:pPr>
              <w:jc w:val="right"/>
              <w:spacing w:after="0"/>
              <w:rPr>
                <w:sz w:val="20"/>
                <w:szCs w:val="20"/>
                <w:color w:val="auto"/>
              </w:rPr>
            </w:pPr>
            <w:r>
              <w:rPr>
                <w:rFonts w:ascii="Arial" w:cs="Arial" w:eastAsia="Arial" w:hAnsi="Arial"/>
                <w:sz w:val="14"/>
                <w:szCs w:val="14"/>
                <w:color w:val="auto"/>
              </w:rPr>
              <w:t>, 2025.</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4260" w:type="dxa"/>
            <w:vAlign w:val="bottom"/>
            <w:gridSpan w:val="2"/>
            <w:vMerge w:val="restart"/>
          </w:tcPr>
          <w:p>
            <w:pPr>
              <w:jc w:val="center"/>
              <w:ind w:right="466"/>
              <w:spacing w:after="0"/>
              <w:rPr>
                <w:sz w:val="20"/>
                <w:szCs w:val="20"/>
                <w:color w:val="auto"/>
              </w:rPr>
            </w:pPr>
            <w:r>
              <w:rPr>
                <w:rFonts w:ascii="Arial" w:cs="Arial" w:eastAsia="Arial" w:hAnsi="Arial"/>
                <w:sz w:val="29"/>
                <w:szCs w:val="29"/>
                <w:b w:val="1"/>
                <w:bCs w:val="1"/>
                <w:color w:val="auto"/>
                <w:w w:val="99"/>
              </w:rPr>
              <w:t>Goldman Sachs &amp; Co. LLC</w:t>
            </w:r>
          </w:p>
        </w:tc>
        <w:tc>
          <w:tcPr>
            <w:tcW w:w="60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700" w:type="dxa"/>
            <w:vAlign w:val="bottom"/>
            <w:vMerge w:val="restart"/>
          </w:tcPr>
          <w:p>
            <w:pPr>
              <w:ind w:left="1420"/>
              <w:spacing w:after="0"/>
              <w:rPr>
                <w:sz w:val="20"/>
                <w:szCs w:val="20"/>
                <w:color w:val="auto"/>
              </w:rPr>
            </w:pPr>
            <w:r>
              <w:rPr>
                <w:rFonts w:ascii="Arial" w:cs="Arial" w:eastAsia="Arial" w:hAnsi="Arial"/>
                <w:sz w:val="29"/>
                <w:szCs w:val="29"/>
                <w:b w:val="1"/>
                <w:bCs w:val="1"/>
                <w:color w:val="auto"/>
                <w:w w:val="97"/>
              </w:rPr>
              <w:t>Citigroup</w:t>
            </w:r>
          </w:p>
        </w:tc>
        <w:tc>
          <w:tcPr>
            <w:tcW w:w="0" w:type="dxa"/>
            <w:vAlign w:val="bottom"/>
          </w:tcPr>
          <w:p>
            <w:pPr>
              <w:spacing w:after="0"/>
              <w:rPr>
                <w:sz w:val="1"/>
                <w:szCs w:val="1"/>
                <w:color w:val="auto"/>
              </w:rPr>
            </w:pPr>
          </w:p>
        </w:tc>
      </w:tr>
      <w:tr>
        <w:trPr>
          <w:trHeight w:val="545"/>
        </w:trPr>
        <w:tc>
          <w:tcPr>
            <w:tcW w:w="42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1420" w:type="dxa"/>
            <w:vAlign w:val="bottom"/>
          </w:tcPr>
          <w:p>
            <w:pPr>
              <w:spacing w:after="0"/>
              <w:rPr>
                <w:sz w:val="24"/>
                <w:szCs w:val="24"/>
                <w:color w:val="auto"/>
              </w:rPr>
            </w:pPr>
          </w:p>
        </w:tc>
        <w:tc>
          <w:tcPr>
            <w:tcW w:w="2840" w:type="dxa"/>
            <w:vAlign w:val="bottom"/>
            <w:vMerge w:val="restart"/>
          </w:tcPr>
          <w:p>
            <w:pPr>
              <w:jc w:val="center"/>
              <w:ind w:right="1846"/>
              <w:spacing w:after="0"/>
              <w:rPr>
                <w:sz w:val="20"/>
                <w:szCs w:val="20"/>
                <w:color w:val="auto"/>
              </w:rPr>
            </w:pPr>
            <w:r>
              <w:rPr>
                <w:rFonts w:ascii="Arial" w:cs="Arial" w:eastAsia="Arial" w:hAnsi="Arial"/>
                <w:sz w:val="22"/>
                <w:szCs w:val="22"/>
                <w:b w:val="1"/>
                <w:bCs w:val="1"/>
                <w:color w:val="auto"/>
                <w:w w:val="99"/>
              </w:rPr>
              <w:t>Jefferies</w:t>
            </w:r>
          </w:p>
        </w:tc>
        <w:tc>
          <w:tcPr>
            <w:tcW w:w="600" w:type="dxa"/>
            <w:vAlign w:val="bottom"/>
          </w:tcPr>
          <w:p>
            <w:pPr>
              <w:spacing w:after="0"/>
              <w:rPr>
                <w:sz w:val="24"/>
                <w:szCs w:val="24"/>
                <w:color w:val="auto"/>
              </w:rPr>
            </w:pPr>
          </w:p>
        </w:tc>
        <w:tc>
          <w:tcPr>
            <w:tcW w:w="1240" w:type="dxa"/>
            <w:vAlign w:val="bottom"/>
          </w:tcPr>
          <w:p>
            <w:pPr>
              <w:ind w:left="380"/>
              <w:spacing w:after="0"/>
              <w:rPr>
                <w:sz w:val="20"/>
                <w:szCs w:val="20"/>
                <w:color w:val="auto"/>
              </w:rPr>
            </w:pPr>
            <w:r>
              <w:rPr>
                <w:rFonts w:ascii="Arial" w:cs="Arial" w:eastAsia="Arial" w:hAnsi="Arial"/>
                <w:sz w:val="22"/>
                <w:szCs w:val="22"/>
                <w:b w:val="1"/>
                <w:bCs w:val="1"/>
                <w:color w:val="auto"/>
              </w:rPr>
              <w:t>Mizuho</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00" w:type="dxa"/>
            <w:vAlign w:val="bottom"/>
          </w:tcPr>
          <w:p>
            <w:pPr>
              <w:jc w:val="center"/>
              <w:ind w:right="917"/>
              <w:spacing w:after="0"/>
              <w:rPr>
                <w:sz w:val="20"/>
                <w:szCs w:val="20"/>
                <w:color w:val="auto"/>
              </w:rPr>
            </w:pPr>
            <w:r>
              <w:rPr>
                <w:rFonts w:ascii="Arial" w:cs="Arial" w:eastAsia="Arial" w:hAnsi="Arial"/>
                <w:sz w:val="22"/>
                <w:szCs w:val="22"/>
                <w:b w:val="1"/>
                <w:bCs w:val="1"/>
                <w:color w:val="auto"/>
                <w:w w:val="97"/>
              </w:rPr>
              <w:t>Morgan Stanley</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9"/>
              </w:rPr>
              <w:t>BNP PARIBAS</w:t>
            </w:r>
          </w:p>
        </w:tc>
        <w:tc>
          <w:tcPr>
            <w:tcW w:w="2840" w:type="dxa"/>
            <w:vAlign w:val="bottom"/>
          </w:tcPr>
          <w:p>
            <w:pPr>
              <w:ind w:left="900"/>
              <w:spacing w:after="0"/>
              <w:rPr>
                <w:sz w:val="20"/>
                <w:szCs w:val="20"/>
                <w:color w:val="auto"/>
              </w:rPr>
            </w:pPr>
            <w:r>
              <w:rPr>
                <w:rFonts w:ascii="Arial" w:cs="Arial" w:eastAsia="Arial" w:hAnsi="Arial"/>
                <w:sz w:val="16"/>
                <w:szCs w:val="16"/>
                <w:b w:val="1"/>
                <w:bCs w:val="1"/>
                <w:color w:val="auto"/>
              </w:rPr>
              <w:t>Citizens Capital Markets</w:t>
            </w:r>
          </w:p>
        </w:tc>
        <w:tc>
          <w:tcPr>
            <w:tcW w:w="600" w:type="dxa"/>
            <w:vAlign w:val="bottom"/>
          </w:tcPr>
          <w:p>
            <w:pPr>
              <w:spacing w:after="0"/>
              <w:rPr>
                <w:sz w:val="24"/>
                <w:szCs w:val="24"/>
                <w:color w:val="auto"/>
              </w:rPr>
            </w:pPr>
          </w:p>
        </w:tc>
        <w:tc>
          <w:tcPr>
            <w:tcW w:w="2880" w:type="dxa"/>
            <w:vAlign w:val="bottom"/>
            <w:gridSpan w:val="3"/>
          </w:tcPr>
          <w:p>
            <w:pPr>
              <w:jc w:val="right"/>
              <w:ind w:right="940"/>
              <w:spacing w:after="0"/>
              <w:rPr>
                <w:sz w:val="20"/>
                <w:szCs w:val="20"/>
                <w:color w:val="auto"/>
              </w:rPr>
            </w:pPr>
            <w:r>
              <w:rPr>
                <w:rFonts w:ascii="Arial" w:cs="Arial" w:eastAsia="Arial" w:hAnsi="Arial"/>
                <w:sz w:val="16"/>
                <w:szCs w:val="16"/>
                <w:b w:val="1"/>
                <w:bCs w:val="1"/>
                <w:color w:val="auto"/>
              </w:rPr>
              <w:t>Oppenheimer &amp; Co.</w:t>
            </w:r>
          </w:p>
        </w:tc>
        <w:tc>
          <w:tcPr>
            <w:tcW w:w="780" w:type="dxa"/>
            <w:vAlign w:val="bottom"/>
          </w:tcPr>
          <w:p>
            <w:pPr>
              <w:jc w:val="right"/>
              <w:ind w:right="144"/>
              <w:spacing w:after="0"/>
              <w:rPr>
                <w:sz w:val="20"/>
                <w:szCs w:val="20"/>
                <w:color w:val="auto"/>
              </w:rPr>
            </w:pPr>
            <w:r>
              <w:rPr>
                <w:rFonts w:ascii="Arial" w:cs="Arial" w:eastAsia="Arial" w:hAnsi="Arial"/>
                <w:sz w:val="16"/>
                <w:szCs w:val="16"/>
                <w:b w:val="1"/>
                <w:bCs w:val="1"/>
                <w:color w:val="auto"/>
              </w:rPr>
              <w:t>MUFG</w:t>
            </w:r>
          </w:p>
        </w:tc>
        <w:tc>
          <w:tcPr>
            <w:tcW w:w="2700" w:type="dxa"/>
            <w:vAlign w:val="bottom"/>
          </w:tcPr>
          <w:p>
            <w:pPr>
              <w:ind w:left="800"/>
              <w:spacing w:after="0"/>
              <w:rPr>
                <w:sz w:val="20"/>
                <w:szCs w:val="20"/>
                <w:color w:val="auto"/>
              </w:rPr>
            </w:pPr>
            <w:r>
              <w:rPr>
                <w:rFonts w:ascii="Arial" w:cs="Arial" w:eastAsia="Arial" w:hAnsi="Arial"/>
                <w:sz w:val="16"/>
                <w:szCs w:val="16"/>
                <w:b w:val="1"/>
                <w:bCs w:val="1"/>
                <w:color w:val="auto"/>
              </w:rPr>
              <w:t>Needham &amp; Company</w:t>
            </w:r>
          </w:p>
        </w:tc>
        <w:tc>
          <w:tcPr>
            <w:tcW w:w="0" w:type="dxa"/>
            <w:vAlign w:val="bottom"/>
          </w:tcPr>
          <w:p>
            <w:pPr>
              <w:spacing w:after="0"/>
              <w:rPr>
                <w:sz w:val="1"/>
                <w:szCs w:val="1"/>
                <w:color w:val="auto"/>
              </w:rPr>
            </w:pPr>
          </w:p>
        </w:tc>
      </w:tr>
      <w:tr>
        <w:trPr>
          <w:trHeight w:val="351"/>
        </w:trPr>
        <w:tc>
          <w:tcPr>
            <w:tcW w:w="4260" w:type="dxa"/>
            <w:vAlign w:val="bottom"/>
            <w:gridSpan w:val="2"/>
          </w:tcPr>
          <w:p>
            <w:pPr>
              <w:jc w:val="center"/>
              <w:ind w:right="406"/>
              <w:spacing w:after="0"/>
              <w:rPr>
                <w:sz w:val="20"/>
                <w:szCs w:val="20"/>
                <w:color w:val="auto"/>
              </w:rPr>
            </w:pPr>
            <w:r>
              <w:rPr>
                <w:rFonts w:ascii="Arial" w:cs="Arial" w:eastAsia="Arial" w:hAnsi="Arial"/>
                <w:sz w:val="16"/>
                <w:szCs w:val="16"/>
                <w:b w:val="1"/>
                <w:bCs w:val="1"/>
                <w:color w:val="auto"/>
              </w:rPr>
              <w:t>Loop Capital Markets</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00" w:type="dxa"/>
            <w:vAlign w:val="bottom"/>
          </w:tcPr>
          <w:p>
            <w:pPr>
              <w:jc w:val="center"/>
              <w:ind w:right="897"/>
              <w:spacing w:after="0"/>
              <w:rPr>
                <w:sz w:val="20"/>
                <w:szCs w:val="20"/>
                <w:color w:val="auto"/>
              </w:rPr>
            </w:pPr>
            <w:r>
              <w:rPr>
                <w:rFonts w:ascii="Arial" w:cs="Arial" w:eastAsia="Arial" w:hAnsi="Arial"/>
                <w:sz w:val="16"/>
                <w:szCs w:val="16"/>
                <w:b w:val="1"/>
                <w:bCs w:val="1"/>
                <w:color w:val="auto"/>
              </w:rPr>
              <w:t>Academy Securities</w:t>
            </w: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1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color w:val="auto"/>
              </w:rPr>
              <w:t>Prospectus dated</w:t>
            </w: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 2025.</w:t>
            </w:r>
          </w:p>
        </w:tc>
        <w:tc>
          <w:tcPr>
            <w:tcW w:w="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5" w:right="339" w:bottom="1440" w:gutter="0" w:footer="0" w:header="0"/>
        </w:sectPr>
      </w:pPr>
    </w:p>
    <w:bookmarkStart w:id="2" w:name="page3"/>
    <w:bookmarkEnd w:id="2"/>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40" w:type="dxa"/>
            <w:vAlign w:val="bottom"/>
            <w:gridSpan w:val="7"/>
          </w:tcPr>
          <w:p>
            <w:pPr>
              <w:ind w:left="14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78"/>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440"/>
        </w:trPr>
        <w:tc>
          <w:tcPr>
            <w:tcW w:w="1980" w:type="dxa"/>
            <w:vAlign w:val="bottom"/>
            <w:gridSpan w:val="8"/>
          </w:tcPr>
          <w:p>
            <w:pPr>
              <w:spacing w:after="0"/>
              <w:rPr>
                <w:sz w:val="20"/>
                <w:szCs w:val="20"/>
                <w:color w:val="auto"/>
              </w:rPr>
            </w:pPr>
            <w:r>
              <w:rPr>
                <w:rFonts w:ascii="Arial" w:cs="Arial" w:eastAsia="Arial" w:hAnsi="Arial"/>
                <w:sz w:val="18"/>
                <w:szCs w:val="18"/>
                <w:color w:val="0000FF"/>
                <w:w w:val="99"/>
              </w:rPr>
              <w:t>GLOSSARY OF TERMS</w:t>
            </w:r>
          </w:p>
        </w:tc>
        <w:tc>
          <w:tcPr>
            <w:tcW w:w="100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0000FF"/>
                <w:w w:val="70"/>
              </w:rPr>
              <w:t>iii</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120" w:type="dxa"/>
            <w:vAlign w:val="bottom"/>
            <w:gridSpan w:val="13"/>
          </w:tcPr>
          <w:p>
            <w:pPr>
              <w:spacing w:after="0"/>
              <w:rPr>
                <w:sz w:val="20"/>
                <w:szCs w:val="20"/>
                <w:color w:val="auto"/>
              </w:rPr>
            </w:pPr>
            <w:r>
              <w:rPr>
                <w:rFonts w:ascii="Arial" w:cs="Arial" w:eastAsia="Arial" w:hAnsi="Arial"/>
                <w:sz w:val="18"/>
                <w:szCs w:val="18"/>
                <w:color w:val="0000FF"/>
                <w:w w:val="99"/>
              </w:rPr>
              <w:t>LETTER FROM OUR CO-FOUNDERS</w:t>
            </w:r>
          </w:p>
        </w:tc>
        <w:tc>
          <w:tcPr>
            <w:tcW w:w="7240" w:type="dxa"/>
            <w:vAlign w:val="bottom"/>
            <w:gridSpan w:val="13"/>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0000FF"/>
                <w:w w:val="73"/>
              </w:rPr>
              <w:t>vi</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220" w:type="dxa"/>
            <w:vAlign w:val="bottom"/>
            <w:gridSpan w:val="9"/>
          </w:tcPr>
          <w:p>
            <w:pPr>
              <w:spacing w:after="0"/>
              <w:rPr>
                <w:sz w:val="20"/>
                <w:szCs w:val="20"/>
                <w:color w:val="auto"/>
              </w:rPr>
            </w:pPr>
            <w:r>
              <w:rPr>
                <w:rFonts w:ascii="Arial" w:cs="Arial" w:eastAsia="Arial" w:hAnsi="Arial"/>
                <w:sz w:val="18"/>
                <w:szCs w:val="18"/>
                <w:color w:val="0000FF"/>
                <w:w w:val="99"/>
              </w:rPr>
              <w:t>PROSPECTUS SUMMARY</w:t>
            </w:r>
          </w:p>
        </w:tc>
        <w:tc>
          <w:tcPr>
            <w:tcW w:w="760" w:type="dxa"/>
            <w:vAlign w:val="bottom"/>
            <w:gridSpan w:val="3"/>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3"/>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220" w:type="dxa"/>
            <w:vAlign w:val="bottom"/>
            <w:gridSpan w:val="9"/>
          </w:tcPr>
          <w:p>
            <w:pPr>
              <w:spacing w:after="0"/>
              <w:rPr>
                <w:sz w:val="20"/>
                <w:szCs w:val="20"/>
                <w:color w:val="auto"/>
              </w:rPr>
            </w:pPr>
            <w:r>
              <w:rPr>
                <w:rFonts w:ascii="Arial" w:cs="Arial" w:eastAsia="Arial" w:hAnsi="Arial"/>
                <w:sz w:val="18"/>
                <w:szCs w:val="18"/>
                <w:color w:val="0000FF"/>
              </w:rPr>
              <w:t>RISK FACTORS</w:t>
            </w:r>
          </w:p>
        </w:tc>
        <w:tc>
          <w:tcPr>
            <w:tcW w:w="760" w:type="dxa"/>
            <w:vAlign w:val="bottom"/>
            <w:gridSpan w:val="3"/>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0000FF"/>
              </w:rPr>
              <w:t>20</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540" w:type="dxa"/>
            <w:vAlign w:val="bottom"/>
            <w:gridSpan w:val="20"/>
          </w:tcPr>
          <w:p>
            <w:pPr>
              <w:spacing w:after="0"/>
              <w:rPr>
                <w:sz w:val="20"/>
                <w:szCs w:val="20"/>
                <w:color w:val="auto"/>
              </w:rPr>
            </w:pPr>
            <w:r>
              <w:rPr>
                <w:rFonts w:ascii="Arial" w:cs="Arial" w:eastAsia="Arial" w:hAnsi="Arial"/>
                <w:sz w:val="18"/>
                <w:szCs w:val="18"/>
                <w:color w:val="0000FF"/>
                <w:w w:val="99"/>
              </w:rPr>
              <w:t>SPECIAL NOTE REGARDING FORWARD-LOOKING STATEMENTS</w:t>
            </w:r>
          </w:p>
        </w:tc>
        <w:tc>
          <w:tcPr>
            <w:tcW w:w="4820" w:type="dxa"/>
            <w:vAlign w:val="bottom"/>
            <w:gridSpan w:val="6"/>
          </w:tcPr>
          <w:p>
            <w:pPr>
              <w:spacing w:after="0"/>
              <w:rPr>
                <w:sz w:val="22"/>
                <w:szCs w:val="22"/>
                <w:color w:val="auto"/>
              </w:rPr>
            </w:pPr>
          </w:p>
        </w:tc>
        <w:tc>
          <w:tcPr>
            <w:tcW w:w="640" w:type="dxa"/>
            <w:vAlign w:val="bottom"/>
            <w:gridSpan w:val="2"/>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74</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660" w:type="dxa"/>
            <w:vAlign w:val="bottom"/>
            <w:gridSpan w:val="11"/>
          </w:tcPr>
          <w:p>
            <w:pPr>
              <w:spacing w:after="0"/>
              <w:rPr>
                <w:sz w:val="20"/>
                <w:szCs w:val="20"/>
                <w:color w:val="auto"/>
              </w:rPr>
            </w:pPr>
            <w:r>
              <w:rPr>
                <w:rFonts w:ascii="Arial" w:cs="Arial" w:eastAsia="Arial" w:hAnsi="Arial"/>
                <w:sz w:val="18"/>
                <w:szCs w:val="18"/>
                <w:color w:val="0000FF"/>
                <w:w w:val="98"/>
              </w:rPr>
              <w:t>INDUSTRY AND MARKET DATA</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76</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740" w:type="dxa"/>
            <w:vAlign w:val="bottom"/>
            <w:gridSpan w:val="7"/>
          </w:tcPr>
          <w:p>
            <w:pPr>
              <w:spacing w:after="0"/>
              <w:rPr>
                <w:sz w:val="20"/>
                <w:szCs w:val="20"/>
                <w:color w:val="auto"/>
              </w:rPr>
            </w:pPr>
            <w:r>
              <w:rPr>
                <w:rFonts w:ascii="Arial" w:cs="Arial" w:eastAsia="Arial" w:hAnsi="Arial"/>
                <w:sz w:val="18"/>
                <w:szCs w:val="18"/>
                <w:color w:val="0000FF"/>
                <w:w w:val="99"/>
              </w:rPr>
              <w:t>USE OF PROCEEDS</w:t>
            </w:r>
          </w:p>
        </w:tc>
        <w:tc>
          <w:tcPr>
            <w:tcW w:w="920" w:type="dxa"/>
            <w:vAlign w:val="bottom"/>
            <w:gridSpan w:val="4"/>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77</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580" w:type="dxa"/>
            <w:vAlign w:val="bottom"/>
            <w:gridSpan w:val="6"/>
          </w:tcPr>
          <w:p>
            <w:pPr>
              <w:spacing w:after="0"/>
              <w:rPr>
                <w:sz w:val="20"/>
                <w:szCs w:val="20"/>
                <w:color w:val="auto"/>
              </w:rPr>
            </w:pPr>
            <w:r>
              <w:rPr>
                <w:rFonts w:ascii="Arial" w:cs="Arial" w:eastAsia="Arial" w:hAnsi="Arial"/>
                <w:sz w:val="18"/>
                <w:szCs w:val="18"/>
                <w:color w:val="0000FF"/>
                <w:w w:val="99"/>
              </w:rPr>
              <w:t>DIVIDEND POLICY</w:t>
            </w:r>
          </w:p>
        </w:tc>
        <w:tc>
          <w:tcPr>
            <w:tcW w:w="160" w:type="dxa"/>
            <w:vAlign w:val="bottom"/>
          </w:tcPr>
          <w:p>
            <w:pPr>
              <w:spacing w:after="0"/>
              <w:rPr>
                <w:sz w:val="22"/>
                <w:szCs w:val="22"/>
                <w:color w:val="auto"/>
              </w:rPr>
            </w:pPr>
          </w:p>
        </w:tc>
        <w:tc>
          <w:tcPr>
            <w:tcW w:w="1240" w:type="dxa"/>
            <w:vAlign w:val="bottom"/>
            <w:gridSpan w:val="5"/>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79</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gridSpan w:val="4"/>
          </w:tcPr>
          <w:p>
            <w:pPr>
              <w:spacing w:after="0"/>
              <w:rPr>
                <w:sz w:val="20"/>
                <w:szCs w:val="20"/>
                <w:color w:val="auto"/>
              </w:rPr>
            </w:pPr>
            <w:r>
              <w:rPr>
                <w:rFonts w:ascii="Arial" w:cs="Arial" w:eastAsia="Arial" w:hAnsi="Arial"/>
                <w:sz w:val="18"/>
                <w:szCs w:val="18"/>
                <w:color w:val="0000FF"/>
                <w:w w:val="94"/>
              </w:rPr>
              <w:t>CAPITALIZATION</w:t>
            </w:r>
          </w:p>
        </w:tc>
        <w:tc>
          <w:tcPr>
            <w:tcW w:w="160" w:type="dxa"/>
            <w:vAlign w:val="bottom"/>
            <w:gridSpan w:val="2"/>
          </w:tcPr>
          <w:p>
            <w:pPr>
              <w:spacing w:after="0"/>
              <w:rPr>
                <w:sz w:val="22"/>
                <w:szCs w:val="22"/>
                <w:color w:val="auto"/>
              </w:rPr>
            </w:pPr>
          </w:p>
        </w:tc>
        <w:tc>
          <w:tcPr>
            <w:tcW w:w="1400" w:type="dxa"/>
            <w:vAlign w:val="bottom"/>
            <w:gridSpan w:val="6"/>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80</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0000FF"/>
                <w:w w:val="95"/>
              </w:rPr>
              <w:t>DILUTION</w:t>
            </w:r>
          </w:p>
        </w:tc>
        <w:tc>
          <w:tcPr>
            <w:tcW w:w="580" w:type="dxa"/>
            <w:vAlign w:val="bottom"/>
            <w:gridSpan w:val="3"/>
          </w:tcPr>
          <w:p>
            <w:pPr>
              <w:spacing w:after="0"/>
              <w:rPr>
                <w:sz w:val="22"/>
                <w:szCs w:val="22"/>
                <w:color w:val="auto"/>
              </w:rPr>
            </w:pPr>
          </w:p>
        </w:tc>
        <w:tc>
          <w:tcPr>
            <w:tcW w:w="1560" w:type="dxa"/>
            <w:vAlign w:val="bottom"/>
            <w:gridSpan w:val="8"/>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84</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14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0000FF"/>
              </w:rPr>
              <w:t>87</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0000FF"/>
                <w:w w:val="98"/>
              </w:rPr>
              <w:t>BUSINESS</w:t>
            </w:r>
          </w:p>
        </w:tc>
        <w:tc>
          <w:tcPr>
            <w:tcW w:w="2060" w:type="dxa"/>
            <w:vAlign w:val="bottom"/>
            <w:gridSpan w:val="10"/>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0000FF"/>
              </w:rPr>
              <w:t>112</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MANAGEMENT</w:t>
            </w:r>
          </w:p>
        </w:tc>
        <w:tc>
          <w:tcPr>
            <w:tcW w:w="1660" w:type="dxa"/>
            <w:vAlign w:val="bottom"/>
            <w:gridSpan w:val="9"/>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141</w:t>
            </w:r>
          </w:p>
        </w:tc>
        <w:tc>
          <w:tcPr>
            <w:tcW w:w="20" w:type="dxa"/>
            <w:vAlign w:val="bottom"/>
          </w:tcPr>
          <w:p>
            <w:pPr>
              <w:spacing w:after="0"/>
              <w:rPr>
                <w:sz w:val="22"/>
                <w:szCs w:val="22"/>
                <w:color w:val="auto"/>
              </w:rPr>
            </w:pPr>
          </w:p>
        </w:tc>
      </w:tr>
      <w:tr>
        <w:trPr>
          <w:trHeight w:val="263"/>
        </w:trPr>
        <w:tc>
          <w:tcPr>
            <w:tcW w:w="2980" w:type="dxa"/>
            <w:vAlign w:val="bottom"/>
            <w:gridSpan w:val="12"/>
          </w:tcPr>
          <w:p>
            <w:pPr>
              <w:spacing w:after="0"/>
              <w:rPr>
                <w:sz w:val="20"/>
                <w:szCs w:val="20"/>
                <w:color w:val="auto"/>
              </w:rPr>
            </w:pPr>
            <w:r>
              <w:rPr>
                <w:rFonts w:ascii="Arial" w:cs="Arial" w:eastAsia="Arial" w:hAnsi="Arial"/>
                <w:sz w:val="18"/>
                <w:szCs w:val="18"/>
                <w:color w:val="0000FF"/>
              </w:rPr>
              <w:t>EXECUTIVE COMPENSATION</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0000FF"/>
              </w:rPr>
              <w:t>151</w:t>
            </w:r>
          </w:p>
        </w:tc>
        <w:tc>
          <w:tcPr>
            <w:tcW w:w="20" w:type="dxa"/>
            <w:vAlign w:val="bottom"/>
          </w:tcPr>
          <w:p>
            <w:pPr>
              <w:spacing w:after="0"/>
              <w:rPr>
                <w:sz w:val="22"/>
                <w:szCs w:val="2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360" w:type="dxa"/>
            <w:vAlign w:val="bottom"/>
            <w:gridSpan w:val="26"/>
          </w:tcPr>
          <w:p>
            <w:pPr>
              <w:spacing w:after="0"/>
              <w:rPr>
                <w:sz w:val="20"/>
                <w:szCs w:val="20"/>
                <w:color w:val="auto"/>
              </w:rPr>
            </w:pPr>
            <w:r>
              <w:rPr>
                <w:rFonts w:ascii="Arial" w:cs="Arial" w:eastAsia="Arial" w:hAnsi="Arial"/>
                <w:sz w:val="18"/>
                <w:szCs w:val="18"/>
                <w:color w:val="0000FF"/>
              </w:rPr>
              <w:t>CERTAIN RELATIONSHIPS AND RELATED PARTY TRANSACTIONS</w:t>
            </w:r>
          </w:p>
        </w:tc>
        <w:tc>
          <w:tcPr>
            <w:tcW w:w="840" w:type="dxa"/>
            <w:vAlign w:val="bottom"/>
            <w:gridSpan w:val="4"/>
          </w:tcPr>
          <w:p>
            <w:pPr>
              <w:jc w:val="right"/>
              <w:spacing w:after="0"/>
              <w:rPr>
                <w:sz w:val="20"/>
                <w:szCs w:val="20"/>
                <w:color w:val="auto"/>
              </w:rPr>
            </w:pPr>
            <w:r>
              <w:rPr>
                <w:rFonts w:ascii="Arial" w:cs="Arial" w:eastAsia="Arial" w:hAnsi="Arial"/>
                <w:sz w:val="18"/>
                <w:szCs w:val="18"/>
                <w:color w:val="0000FF"/>
              </w:rPr>
              <w:t>168</w:t>
            </w:r>
          </w:p>
        </w:tc>
        <w:tc>
          <w:tcPr>
            <w:tcW w:w="20" w:type="dxa"/>
            <w:vAlign w:val="bottom"/>
          </w:tcPr>
          <w:p>
            <w:pPr>
              <w:spacing w:after="0"/>
              <w:rPr>
                <w:sz w:val="22"/>
                <w:szCs w:val="22"/>
                <w:color w:val="auto"/>
              </w:rPr>
            </w:pPr>
          </w:p>
        </w:tc>
      </w:tr>
      <w:tr>
        <w:trPr>
          <w:trHeight w:val="264"/>
        </w:trPr>
        <w:tc>
          <w:tcPr>
            <w:tcW w:w="37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PRINCIPAL AND SELLING STOCKHOLDERS</w:t>
            </w:r>
          </w:p>
        </w:tc>
        <w:tc>
          <w:tcPr>
            <w:tcW w:w="1920" w:type="dxa"/>
            <w:vAlign w:val="bottom"/>
            <w:tcBorders>
              <w:top w:val="single" w:sz="8" w:color="0000FF"/>
            </w:tcBorders>
            <w:gridSpan w:val="6"/>
          </w:tcPr>
          <w:p>
            <w:pPr>
              <w:spacing w:after="0"/>
              <w:rPr>
                <w:sz w:val="22"/>
                <w:szCs w:val="22"/>
                <w:color w:val="auto"/>
              </w:rPr>
            </w:pPr>
          </w:p>
        </w:tc>
        <w:tc>
          <w:tcPr>
            <w:tcW w:w="4720" w:type="dxa"/>
            <w:vAlign w:val="bottom"/>
            <w:gridSpan w:val="5"/>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172</w:t>
            </w:r>
          </w:p>
        </w:tc>
        <w:tc>
          <w:tcPr>
            <w:tcW w:w="20" w:type="dxa"/>
            <w:vAlign w:val="bottom"/>
          </w:tcPr>
          <w:p>
            <w:pPr>
              <w:spacing w:after="0"/>
              <w:rPr>
                <w:sz w:val="22"/>
                <w:szCs w:val="22"/>
                <w:color w:val="auto"/>
              </w:rPr>
            </w:pPr>
          </w:p>
        </w:tc>
      </w:tr>
      <w:tr>
        <w:trPr>
          <w:trHeight w:val="263"/>
        </w:trPr>
        <w:tc>
          <w:tcPr>
            <w:tcW w:w="10360" w:type="dxa"/>
            <w:vAlign w:val="bottom"/>
            <w:gridSpan w:val="26"/>
          </w:tcPr>
          <w:p>
            <w:pPr>
              <w:spacing w:after="0"/>
              <w:rPr>
                <w:sz w:val="20"/>
                <w:szCs w:val="20"/>
                <w:color w:val="auto"/>
              </w:rPr>
            </w:pPr>
            <w:r>
              <w:rPr>
                <w:rFonts w:ascii="Arial" w:cs="Arial" w:eastAsia="Arial" w:hAnsi="Arial"/>
                <w:sz w:val="18"/>
                <w:szCs w:val="18"/>
                <w:color w:val="0000FF"/>
              </w:rPr>
              <w:t>DESCRIPTION OF MATERIAL INDEBTEDNESS</w:t>
            </w:r>
          </w:p>
        </w:tc>
        <w:tc>
          <w:tcPr>
            <w:tcW w:w="840" w:type="dxa"/>
            <w:vAlign w:val="bottom"/>
            <w:gridSpan w:val="4"/>
          </w:tcPr>
          <w:p>
            <w:pPr>
              <w:jc w:val="right"/>
              <w:spacing w:after="0"/>
              <w:rPr>
                <w:sz w:val="20"/>
                <w:szCs w:val="20"/>
                <w:color w:val="auto"/>
              </w:rPr>
            </w:pPr>
            <w:r>
              <w:rPr>
                <w:rFonts w:ascii="Arial" w:cs="Arial" w:eastAsia="Arial" w:hAnsi="Arial"/>
                <w:sz w:val="18"/>
                <w:szCs w:val="18"/>
                <w:color w:val="0000FF"/>
              </w:rPr>
              <w:t>176</w:t>
            </w:r>
          </w:p>
        </w:tc>
        <w:tc>
          <w:tcPr>
            <w:tcW w:w="20" w:type="dxa"/>
            <w:vAlign w:val="bottom"/>
          </w:tcPr>
          <w:p>
            <w:pPr>
              <w:spacing w:after="0"/>
              <w:rPr>
                <w:sz w:val="22"/>
                <w:szCs w:val="22"/>
                <w:color w:val="auto"/>
              </w:rPr>
            </w:pPr>
          </w:p>
        </w:tc>
      </w:tr>
      <w:tr>
        <w:trPr>
          <w:trHeight w:val="263"/>
        </w:trPr>
        <w:tc>
          <w:tcPr>
            <w:tcW w:w="298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8"/>
              </w:rPr>
              <w:t>DESCRIPTION OF CAPITAL STOCK</w:t>
            </w:r>
          </w:p>
        </w:tc>
        <w:tc>
          <w:tcPr>
            <w:tcW w:w="1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182</w:t>
            </w:r>
          </w:p>
        </w:tc>
        <w:tc>
          <w:tcPr>
            <w:tcW w:w="20" w:type="dxa"/>
            <w:vAlign w:val="bottom"/>
          </w:tcPr>
          <w:p>
            <w:pPr>
              <w:spacing w:after="0"/>
              <w:rPr>
                <w:sz w:val="22"/>
                <w:szCs w:val="22"/>
                <w:color w:val="auto"/>
              </w:rPr>
            </w:pPr>
          </w:p>
        </w:tc>
      </w:tr>
      <w:tr>
        <w:trPr>
          <w:trHeight w:val="264"/>
        </w:trPr>
        <w:tc>
          <w:tcPr>
            <w:tcW w:w="33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SHARES ELIGIBLE FOR FUTURE SALE</w:t>
            </w:r>
          </w:p>
        </w:tc>
        <w:tc>
          <w:tcPr>
            <w:tcW w:w="7040" w:type="dxa"/>
            <w:vAlign w:val="bottom"/>
            <w:gridSpan w:val="12"/>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190</w:t>
            </w:r>
          </w:p>
        </w:tc>
        <w:tc>
          <w:tcPr>
            <w:tcW w:w="20" w:type="dxa"/>
            <w:vAlign w:val="bottom"/>
          </w:tcPr>
          <w:p>
            <w:pPr>
              <w:spacing w:after="0"/>
              <w:rPr>
                <w:sz w:val="22"/>
                <w:szCs w:val="22"/>
                <w:color w:val="auto"/>
              </w:rPr>
            </w:pPr>
          </w:p>
        </w:tc>
      </w:tr>
      <w:tr>
        <w:trPr>
          <w:trHeight w:val="284"/>
        </w:trPr>
        <w:tc>
          <w:tcPr>
            <w:tcW w:w="10360" w:type="dxa"/>
            <w:vAlign w:val="bottom"/>
            <w:gridSpan w:val="26"/>
          </w:tcPr>
          <w:p>
            <w:pPr>
              <w:spacing w:after="0"/>
              <w:rPr>
                <w:sz w:val="20"/>
                <w:szCs w:val="20"/>
                <w:color w:val="auto"/>
              </w:rPr>
            </w:pPr>
            <w:r>
              <w:rPr>
                <w:rFonts w:ascii="Arial" w:cs="Arial" w:eastAsia="Arial" w:hAnsi="Arial"/>
                <w:sz w:val="18"/>
                <w:szCs w:val="18"/>
                <w:color w:val="0000FF"/>
              </w:rPr>
              <w:t>MATERIAL U.S. FEDERAL INCOME TAX CONSEQUENCES TO NON-U.S. HOLDERS OF OUR CLASS A COMMON STOCK</w:t>
            </w:r>
          </w:p>
        </w:tc>
        <w:tc>
          <w:tcPr>
            <w:tcW w:w="840" w:type="dxa"/>
            <w:vAlign w:val="bottom"/>
            <w:gridSpan w:val="4"/>
          </w:tcPr>
          <w:p>
            <w:pPr>
              <w:jc w:val="right"/>
              <w:spacing w:after="0"/>
              <w:rPr>
                <w:sz w:val="20"/>
                <w:szCs w:val="20"/>
                <w:color w:val="auto"/>
              </w:rPr>
            </w:pPr>
            <w:r>
              <w:rPr>
                <w:rFonts w:ascii="Arial" w:cs="Arial" w:eastAsia="Arial" w:hAnsi="Arial"/>
                <w:sz w:val="18"/>
                <w:szCs w:val="18"/>
                <w:color w:val="0000FF"/>
              </w:rPr>
              <w:t>192</w:t>
            </w:r>
          </w:p>
        </w:tc>
        <w:tc>
          <w:tcPr>
            <w:tcW w:w="20" w:type="dxa"/>
            <w:vAlign w:val="bottom"/>
          </w:tcPr>
          <w:p>
            <w:pPr>
              <w:spacing w:after="0"/>
              <w:rPr>
                <w:sz w:val="24"/>
                <w:szCs w:val="24"/>
                <w:color w:val="auto"/>
              </w:rPr>
            </w:pPr>
          </w:p>
        </w:tc>
      </w:tr>
      <w:tr>
        <w:trPr>
          <w:trHeight w:val="270"/>
        </w:trPr>
        <w:tc>
          <w:tcPr>
            <w:tcW w:w="29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UNDERWRITING</w:t>
            </w:r>
          </w:p>
        </w:tc>
        <w:tc>
          <w:tcPr>
            <w:tcW w:w="1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64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197</w:t>
            </w:r>
          </w:p>
        </w:tc>
        <w:tc>
          <w:tcPr>
            <w:tcW w:w="20" w:type="dxa"/>
            <w:vAlign w:val="bottom"/>
          </w:tcPr>
          <w:p>
            <w:pPr>
              <w:spacing w:after="0"/>
              <w:rPr>
                <w:sz w:val="23"/>
                <w:szCs w:val="23"/>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980" w:type="dxa"/>
            <w:vAlign w:val="bottom"/>
            <w:gridSpan w:val="12"/>
          </w:tcPr>
          <w:p>
            <w:pPr>
              <w:spacing w:after="0"/>
              <w:rPr>
                <w:sz w:val="20"/>
                <w:szCs w:val="20"/>
                <w:color w:val="auto"/>
              </w:rPr>
            </w:pPr>
            <w:r>
              <w:rPr>
                <w:rFonts w:ascii="Arial" w:cs="Arial" w:eastAsia="Arial" w:hAnsi="Arial"/>
                <w:sz w:val="18"/>
                <w:szCs w:val="18"/>
                <w:color w:val="0000FF"/>
              </w:rPr>
              <w:t>LEGAL MATTERS</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0000FF"/>
              </w:rPr>
              <w:t>206</w:t>
            </w:r>
          </w:p>
        </w:tc>
        <w:tc>
          <w:tcPr>
            <w:tcW w:w="20" w:type="dxa"/>
            <w:vAlign w:val="bottom"/>
          </w:tcPr>
          <w:p>
            <w:pPr>
              <w:spacing w:after="0"/>
              <w:rPr>
                <w:sz w:val="22"/>
                <w:szCs w:val="22"/>
                <w:color w:val="auto"/>
              </w:rPr>
            </w:pPr>
          </w:p>
        </w:tc>
      </w:tr>
      <w:tr>
        <w:trPr>
          <w:trHeight w:val="264"/>
        </w:trPr>
        <w:tc>
          <w:tcPr>
            <w:tcW w:w="14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EXPERTS</w:t>
            </w:r>
          </w:p>
        </w:tc>
        <w:tc>
          <w:tcPr>
            <w:tcW w:w="1500" w:type="dxa"/>
            <w:vAlign w:val="bottom"/>
            <w:gridSpan w:val="7"/>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206</w:t>
            </w:r>
          </w:p>
        </w:tc>
        <w:tc>
          <w:tcPr>
            <w:tcW w:w="20" w:type="dxa"/>
            <w:vAlign w:val="bottom"/>
          </w:tcPr>
          <w:p>
            <w:pPr>
              <w:spacing w:after="0"/>
              <w:rPr>
                <w:sz w:val="22"/>
                <w:szCs w:val="2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3600" w:type="dxa"/>
            <w:vAlign w:val="bottom"/>
            <w:gridSpan w:val="1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14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CHANGES IN INDEPENDENT REGISTERED PUBLIC ACCOUNTING FIRM</w:t>
            </w:r>
          </w:p>
        </w:tc>
        <w:tc>
          <w:tcPr>
            <w:tcW w:w="4220" w:type="dxa"/>
            <w:vAlign w:val="bottom"/>
            <w:gridSpan w:val="4"/>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206</w:t>
            </w:r>
          </w:p>
        </w:tc>
        <w:tc>
          <w:tcPr>
            <w:tcW w:w="20" w:type="dxa"/>
            <w:vAlign w:val="bottom"/>
          </w:tcPr>
          <w:p>
            <w:pPr>
              <w:spacing w:after="0"/>
              <w:rPr>
                <w:sz w:val="22"/>
                <w:szCs w:val="22"/>
                <w:color w:val="auto"/>
              </w:rPr>
            </w:pPr>
          </w:p>
        </w:tc>
      </w:tr>
      <w:tr>
        <w:trPr>
          <w:trHeight w:val="264"/>
        </w:trPr>
        <w:tc>
          <w:tcPr>
            <w:tcW w:w="10360" w:type="dxa"/>
            <w:vAlign w:val="bottom"/>
            <w:gridSpan w:val="26"/>
          </w:tcPr>
          <w:p>
            <w:pPr>
              <w:spacing w:after="0"/>
              <w:rPr>
                <w:sz w:val="20"/>
                <w:szCs w:val="20"/>
                <w:color w:val="auto"/>
              </w:rPr>
            </w:pPr>
            <w:r>
              <w:rPr>
                <w:rFonts w:ascii="Arial" w:cs="Arial" w:eastAsia="Arial" w:hAnsi="Arial"/>
                <w:sz w:val="18"/>
                <w:szCs w:val="18"/>
                <w:color w:val="0000FF"/>
              </w:rPr>
              <w:t>WHERE YOU CAN FIND ADDITIONAL INFORMATION</w:t>
            </w:r>
          </w:p>
        </w:tc>
        <w:tc>
          <w:tcPr>
            <w:tcW w:w="840" w:type="dxa"/>
            <w:vAlign w:val="bottom"/>
            <w:gridSpan w:val="4"/>
          </w:tcPr>
          <w:p>
            <w:pPr>
              <w:jc w:val="right"/>
              <w:spacing w:after="0"/>
              <w:rPr>
                <w:sz w:val="20"/>
                <w:szCs w:val="20"/>
                <w:color w:val="auto"/>
              </w:rPr>
            </w:pPr>
            <w:r>
              <w:rPr>
                <w:rFonts w:ascii="Arial" w:cs="Arial" w:eastAsia="Arial" w:hAnsi="Arial"/>
                <w:sz w:val="18"/>
                <w:szCs w:val="18"/>
                <w:color w:val="0000FF"/>
              </w:rPr>
              <w:t>207</w:t>
            </w:r>
          </w:p>
        </w:tc>
        <w:tc>
          <w:tcPr>
            <w:tcW w:w="20" w:type="dxa"/>
            <w:vAlign w:val="bottom"/>
          </w:tcPr>
          <w:p>
            <w:pPr>
              <w:spacing w:after="0"/>
              <w:rPr>
                <w:sz w:val="22"/>
                <w:szCs w:val="22"/>
                <w:color w:val="auto"/>
              </w:rPr>
            </w:pPr>
          </w:p>
        </w:tc>
      </w:tr>
      <w:tr>
        <w:trPr>
          <w:trHeight w:val="20"/>
        </w:trPr>
        <w:tc>
          <w:tcPr>
            <w:tcW w:w="4440" w:type="dxa"/>
            <w:vAlign w:val="bottom"/>
            <w:gridSpan w:val="1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540" w:type="dxa"/>
            <w:vAlign w:val="bottom"/>
            <w:gridSpan w:val="18"/>
          </w:tcPr>
          <w:p>
            <w:pPr>
              <w:spacing w:after="0"/>
              <w:rPr>
                <w:sz w:val="20"/>
                <w:szCs w:val="20"/>
                <w:color w:val="auto"/>
              </w:rPr>
            </w:pPr>
            <w:r>
              <w:rPr>
                <w:rFonts w:ascii="Arial" w:cs="Arial" w:eastAsia="Arial" w:hAnsi="Arial"/>
                <w:sz w:val="18"/>
                <w:szCs w:val="18"/>
                <w:color w:val="0000FF"/>
                <w:w w:val="98"/>
              </w:rPr>
              <w:t>INDEX TO CONSOLIDATED FINANCIAL STATEMENTS</w:t>
            </w:r>
          </w:p>
        </w:tc>
        <w:tc>
          <w:tcPr>
            <w:tcW w:w="5820" w:type="dxa"/>
            <w:vAlign w:val="bottom"/>
            <w:gridSpan w:val="8"/>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FF"/>
                <w:w w:val="88"/>
              </w:rPr>
              <w:t>F-1</w:t>
            </w:r>
          </w:p>
        </w:tc>
      </w:tr>
      <w:tr>
        <w:trPr>
          <w:trHeight w:val="304"/>
        </w:trPr>
        <w:tc>
          <w:tcPr>
            <w:tcW w:w="2980" w:type="dxa"/>
            <w:vAlign w:val="bottom"/>
            <w:tcBorders>
              <w:top w:val="single" w:sz="8" w:color="0000FF"/>
            </w:tcBorders>
            <w:gridSpan w:val="12"/>
          </w:tcPr>
          <w:p>
            <w:pPr>
              <w:spacing w:after="0"/>
              <w:rPr>
                <w:sz w:val="24"/>
                <w:szCs w:val="24"/>
                <w:color w:val="auto"/>
              </w:rPr>
            </w:pPr>
          </w:p>
        </w:tc>
        <w:tc>
          <w:tcPr>
            <w:tcW w:w="1560" w:type="dxa"/>
            <w:vAlign w:val="bottom"/>
            <w:tcBorders>
              <w:top w:val="single" w:sz="8" w:color="0000FF"/>
            </w:tcBorders>
            <w:gridSpan w:val="6"/>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Borders>
              <w:bottom w:val="single" w:sz="8" w:color="auto"/>
            </w:tcBorders>
            <w:gridSpan w:val="4"/>
          </w:tcPr>
          <w:p>
            <w:pPr>
              <w:spacing w:after="0"/>
              <w:rPr>
                <w:sz w:val="24"/>
                <w:szCs w:val="24"/>
                <w:color w:val="auto"/>
              </w:rPr>
            </w:pPr>
          </w:p>
        </w:tc>
        <w:tc>
          <w:tcPr>
            <w:tcW w:w="4440" w:type="dxa"/>
            <w:vAlign w:val="bottom"/>
            <w:gridSpan w:val="4"/>
          </w:tcPr>
          <w:p>
            <w:pPr>
              <w:spacing w:after="0"/>
              <w:rPr>
                <w:sz w:val="24"/>
                <w:szCs w:val="24"/>
                <w:color w:val="auto"/>
              </w:rPr>
            </w:pPr>
          </w:p>
        </w:tc>
        <w:tc>
          <w:tcPr>
            <w:tcW w:w="260" w:type="dxa"/>
            <w:vAlign w:val="bottom"/>
            <w:tcBorders>
              <w:top w:val="single" w:sz="8" w:color="0000FF"/>
            </w:tcBorders>
            <w:gridSpan w:val="3"/>
          </w:tcPr>
          <w:p>
            <w:pPr>
              <w:spacing w:after="0"/>
              <w:rPr>
                <w:sz w:val="24"/>
                <w:szCs w:val="24"/>
                <w:color w:val="auto"/>
              </w:rPr>
            </w:pPr>
          </w:p>
        </w:tc>
        <w:tc>
          <w:tcPr>
            <w:tcW w:w="20" w:type="dxa"/>
            <w:vAlign w:val="bottom"/>
          </w:tcPr>
          <w:p>
            <w:pPr>
              <w:spacing w:after="0"/>
              <w:rPr>
                <w:sz w:val="24"/>
                <w:szCs w:val="24"/>
                <w:color w:val="auto"/>
              </w:rPr>
            </w:pPr>
          </w:p>
        </w:tc>
      </w:tr>
      <w:tr>
        <w:trPr>
          <w:trHeight w:val="492"/>
        </w:trPr>
        <w:tc>
          <w:tcPr>
            <w:tcW w:w="2980" w:type="dxa"/>
            <w:vAlign w:val="bottom"/>
            <w:gridSpan w:val="12"/>
          </w:tcPr>
          <w:p>
            <w:pPr>
              <w:ind w:left="320"/>
              <w:spacing w:after="0"/>
              <w:rPr>
                <w:sz w:val="20"/>
                <w:szCs w:val="20"/>
                <w:color w:val="auto"/>
              </w:rPr>
            </w:pPr>
            <w:r>
              <w:rPr>
                <w:rFonts w:ascii="Arial" w:cs="Arial" w:eastAsia="Arial" w:hAnsi="Arial"/>
                <w:sz w:val="18"/>
                <w:szCs w:val="18"/>
                <w:b w:val="1"/>
                <w:bCs w:val="1"/>
                <w:color w:val="auto"/>
              </w:rPr>
              <w:t>Through and including</w:t>
            </w:r>
          </w:p>
        </w:tc>
        <w:tc>
          <w:tcPr>
            <w:tcW w:w="8240" w:type="dxa"/>
            <w:vAlign w:val="bottom"/>
            <w:gridSpan w:val="19"/>
          </w:tcPr>
          <w:p>
            <w:pPr>
              <w:jc w:val="right"/>
              <w:ind w:right="80"/>
              <w:spacing w:after="0"/>
              <w:rPr>
                <w:sz w:val="20"/>
                <w:szCs w:val="20"/>
                <w:color w:val="auto"/>
              </w:rPr>
            </w:pPr>
            <w:r>
              <w:rPr>
                <w:rFonts w:ascii="Arial" w:cs="Arial" w:eastAsia="Arial" w:hAnsi="Arial"/>
                <w:sz w:val="18"/>
                <w:szCs w:val="18"/>
                <w:b w:val="1"/>
                <w:bCs w:val="1"/>
                <w:color w:val="auto"/>
                <w:w w:val="99"/>
              </w:rPr>
              <w:t>, 2025 (the 25th day after the date of this prospectus), all dealers effecting transactions in these</w:t>
            </w:r>
          </w:p>
        </w:tc>
      </w:tr>
    </w:tbl>
    <w:p>
      <w:pPr>
        <w:ind w:right="380"/>
        <w:spacing w:after="0" w:line="306" w:lineRule="auto"/>
        <w:rPr>
          <w:sz w:val="20"/>
          <w:szCs w:val="20"/>
          <w:color w:val="auto"/>
        </w:rPr>
      </w:pPr>
      <w:r>
        <w:rPr>
          <w:rFonts w:ascii="Arial" w:cs="Arial" w:eastAsia="Arial" w:hAnsi="Arial"/>
          <w:sz w:val="17"/>
          <w:szCs w:val="17"/>
          <w:b w:val="1"/>
          <w:bCs w:val="1"/>
          <w:color w:val="auto"/>
        </w:rPr>
        <w:t>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78" w:lineRule="exact"/>
        <w:rPr>
          <w:sz w:val="20"/>
          <w:szCs w:val="20"/>
          <w:color w:val="auto"/>
        </w:rPr>
      </w:pPr>
    </w:p>
    <w:p>
      <w:pPr>
        <w:ind w:right="1040" w:firstLine="324"/>
        <w:spacing w:after="0" w:line="287" w:lineRule="auto"/>
        <w:rPr>
          <w:sz w:val="20"/>
          <w:szCs w:val="20"/>
          <w:color w:val="auto"/>
        </w:rPr>
      </w:pPr>
      <w:r>
        <w:rPr>
          <w:rFonts w:ascii="Arial" w:cs="Arial" w:eastAsia="Arial" w:hAnsi="Arial"/>
          <w:sz w:val="18"/>
          <w:szCs w:val="18"/>
          <w:color w:val="auto"/>
        </w:rPr>
        <w:t>Neither we, the selling stockholders, nor the underwriters have authorized anyone to provide any information or to make any representations other than those contained in this prospectus or in any 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writing prospectuses prepared by or on behalf of us or to which we have referred you. Neither we, the selling stockholders, nor the underwriters take any responsibility for, and can provide no assurance as to the reliability of, any other information that others may give you. We and the selling stockholders are offering to sell, and seeking offers to buy, shares of Class A common stock only in jurisdictions where offers and sales are permitted. The information contained in this prospectus is accurate only as of the date of this prospectus, regardless of the time of delivery of this prospectus or of any sale of the shares of Class A common stock. Our business, financial condition, results of operations, and future growth prospects may have changed since that date.</w:t>
      </w:r>
    </w:p>
    <w:p>
      <w:pPr>
        <w:spacing w:after="0" w:line="128"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For investors outside the United States: Neither we, the selling stockholders, nor any of the underwriters have taken any action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22"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Unless otherwise indicated, the terms “Navan,” the “company,” “we,” “us,” and “our” refer to Navan, Inc. and its subsidiaries, and references to our “common stock” include our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22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GLOSSARY OF TERMS</w:t>
      </w:r>
    </w:p>
    <w:p>
      <w:pPr>
        <w:sectPr>
          <w:pgSz w:w="11900" w:h="16838" w:orient="portrait"/>
          <w:cols w:equalWidth="0" w:num="1">
            <w:col w:w="11220"/>
          </w:cols>
          <w:pgMar w:left="320" w:top="229" w:right="35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Active customer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 customer that has transacted on our platform six or more times in the 12 months preceding the measurement date and that has generated any form of usage-based revenue</w:t>
      </w:r>
    </w:p>
    <w:p>
      <w:pPr>
        <w:spacing w:after="0" w:line="1" w:lineRule="exact"/>
        <w:rPr>
          <w:sz w:val="20"/>
          <w:szCs w:val="20"/>
          <w:color w:val="auto"/>
        </w:rPr>
      </w:pPr>
    </w:p>
    <w:p>
      <w:pPr>
        <w:sectPr>
          <w:pgSz w:w="11900" w:h="16838" w:orient="portrait"/>
          <w:cols w:equalWidth="0" w:num="2">
            <w:col w:w="3160" w:space="720"/>
            <w:col w:w="7340"/>
          </w:cols>
          <w:pgMar w:left="320" w:top="229" w:right="359" w:bottom="1440" w:gutter="0" w:footer="0" w:header="0"/>
          <w:type w:val="continuous"/>
        </w:sectPr>
      </w:pPr>
    </w:p>
    <w:p>
      <w:pPr>
        <w:jc w:val="both"/>
        <w:ind w:left="3880" w:right="80"/>
        <w:spacing w:after="0" w:line="207" w:lineRule="auto"/>
        <w:rPr>
          <w:sz w:val="20"/>
          <w:szCs w:val="20"/>
          <w:color w:val="auto"/>
        </w:rPr>
      </w:pPr>
      <w:r>
        <w:rPr>
          <w:rFonts w:ascii="Arial" w:cs="Arial" w:eastAsia="Arial" w:hAnsi="Arial"/>
          <w:sz w:val="17"/>
          <w:szCs w:val="17"/>
          <w:color w:val="auto"/>
        </w:rPr>
        <w:t>from a user’s booking on our platform during this period. A single company or organization with multiple divisions, segments, or subsidiaries is generally counted as a single customer, even though we may enter into agreements with multiple parties within that company or</w:t>
      </w:r>
    </w:p>
    <w:p>
      <w:pPr>
        <w:spacing w:after="0" w:line="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organization.</w:t>
      </w:r>
    </w:p>
    <w:p>
      <w:pPr>
        <w:sectPr>
          <w:pgSz w:w="11900" w:h="16838" w:orient="portrait"/>
          <w:cols w:equalWidth="0" w:num="1">
            <w:col w:w="11220"/>
          </w:cols>
          <w:pgMar w:left="320" w:top="229" w:right="359" w:bottom="1440" w:gutter="0" w:footer="0" w:header="0"/>
          <w:type w:val="continuous"/>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Bleisure category</w:t>
      </w:r>
    </w:p>
    <w:p>
      <w:pPr>
        <w:spacing w:after="0" w:line="20" w:lineRule="exact"/>
        <w:rPr>
          <w:sz w:val="20"/>
          <w:szCs w:val="20"/>
          <w:color w:val="auto"/>
        </w:rPr>
      </w:pPr>
      <w:r>
        <w:rPr>
          <w:sz w:val="20"/>
          <w:szCs w:val="20"/>
          <w:color w:val="auto"/>
        </w:rPr>
        <w:br w:type="column"/>
      </w:r>
    </w:p>
    <w:p>
      <w:pPr>
        <w:ind w:right="180"/>
        <w:spacing w:after="0" w:line="234" w:lineRule="auto"/>
        <w:rPr>
          <w:sz w:val="20"/>
          <w:szCs w:val="20"/>
          <w:color w:val="auto"/>
        </w:rPr>
      </w:pPr>
      <w:r>
        <w:rPr>
          <w:rFonts w:ascii="Arial" w:cs="Arial" w:eastAsia="Arial" w:hAnsi="Arial"/>
          <w:sz w:val="18"/>
          <w:szCs w:val="18"/>
          <w:color w:val="auto"/>
        </w:rPr>
        <w:t>The category of the business travel market defined by personal travel booked around or in connection with business travel.</w:t>
      </w:r>
    </w:p>
    <w:p>
      <w:pPr>
        <w:spacing w:after="0" w:line="6" w:lineRule="exact"/>
        <w:rPr>
          <w:sz w:val="20"/>
          <w:szCs w:val="20"/>
          <w:color w:val="auto"/>
        </w:rPr>
      </w:pPr>
    </w:p>
    <w:p>
      <w:pPr>
        <w:sectPr>
          <w:pgSz w:w="11900" w:h="16838" w:orient="portrait"/>
          <w:cols w:equalWidth="0" w:num="2">
            <w:col w:w="3160" w:space="720"/>
            <w:col w:w="7340"/>
          </w:cols>
          <w:pgMar w:left="320" w:top="229" w:right="359" w:bottom="1440" w:gutter="0" w:footer="0" w:header="0"/>
          <w:type w:val="continuous"/>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Customer</w:t>
      </w:r>
    </w:p>
    <w:p>
      <w:pPr>
        <w:spacing w:after="0" w:line="20" w:lineRule="exact"/>
        <w:rPr>
          <w:sz w:val="20"/>
          <w:szCs w:val="20"/>
          <w:color w:val="auto"/>
        </w:rPr>
      </w:pPr>
      <w:r>
        <w:rPr>
          <w:sz w:val="20"/>
          <w:szCs w:val="20"/>
          <w:color w:val="auto"/>
        </w:rPr>
        <w:br w:type="column"/>
      </w:r>
    </w:p>
    <w:p>
      <w:pPr>
        <w:ind w:right="80"/>
        <w:spacing w:after="0"/>
        <w:rPr>
          <w:sz w:val="20"/>
          <w:szCs w:val="20"/>
          <w:color w:val="auto"/>
        </w:rPr>
      </w:pPr>
      <w:r>
        <w:rPr>
          <w:rFonts w:ascii="Arial" w:cs="Arial" w:eastAsia="Arial" w:hAnsi="Arial"/>
          <w:sz w:val="18"/>
          <w:szCs w:val="18"/>
          <w:color w:val="auto"/>
        </w:rPr>
        <w:t>A company or organization that contracts with us to provide its dedicated users with access to our (i) Travel, Corporate Payments, and Expense Management offerings, and/or (ii) on-</w:t>
      </w:r>
    </w:p>
    <w:p>
      <w:pPr>
        <w:spacing w:after="0" w:line="1" w:lineRule="exact"/>
        <w:rPr>
          <w:sz w:val="20"/>
          <w:szCs w:val="20"/>
          <w:color w:val="auto"/>
        </w:rPr>
      </w:pPr>
    </w:p>
    <w:p>
      <w:pPr>
        <w:sectPr>
          <w:pgSz w:w="11900" w:h="16838" w:orient="portrait"/>
          <w:cols w:equalWidth="0" w:num="2">
            <w:col w:w="3160" w:space="720"/>
            <w:col w:w="7340"/>
          </w:cols>
          <w:pgMar w:left="320" w:top="229" w:right="359" w:bottom="1440" w:gutter="0" w:footer="0" w:header="0"/>
          <w:type w:val="continuous"/>
        </w:sectPr>
      </w:pPr>
    </w:p>
    <w:p>
      <w:pPr>
        <w:ind w:left="3880" w:right="20"/>
        <w:spacing w:after="0" w:line="211" w:lineRule="auto"/>
        <w:rPr>
          <w:sz w:val="20"/>
          <w:szCs w:val="20"/>
          <w:color w:val="auto"/>
        </w:rPr>
      </w:pPr>
      <w:r>
        <w:rPr>
          <w:rFonts w:ascii="Arial" w:cs="Arial" w:eastAsia="Arial" w:hAnsi="Arial"/>
          <w:sz w:val="18"/>
          <w:szCs w:val="18"/>
          <w:color w:val="auto"/>
        </w:rPr>
        <w:t>demand travel management offerings (including our Meetings and Events, VIP, and Bleisure offerings).</w:t>
      </w:r>
    </w:p>
    <w:p>
      <w:pPr>
        <w:sectPr>
          <w:pgSz w:w="11900" w:h="16838" w:orient="portrait"/>
          <w:cols w:equalWidth="0" w:num="1">
            <w:col w:w="11220"/>
          </w:cols>
          <w:pgMar w:left="320" w:top="229" w:right="359" w:bottom="1440" w:gutter="0" w:footer="0" w:header="0"/>
          <w:type w:val="continuous"/>
        </w:sectPr>
      </w:pPr>
    </w:p>
    <w:p>
      <w:pPr>
        <w:ind w:left="20"/>
        <w:spacing w:after="0" w:line="226" w:lineRule="auto"/>
        <w:tabs>
          <w:tab w:leader="none" w:pos="3860" w:val="left"/>
        </w:tabs>
        <w:rPr>
          <w:sz w:val="20"/>
          <w:szCs w:val="20"/>
          <w:color w:val="auto"/>
        </w:rPr>
      </w:pPr>
      <w:r>
        <w:rPr>
          <w:rFonts w:ascii="Arial" w:cs="Arial" w:eastAsia="Arial" w:hAnsi="Arial"/>
          <w:sz w:val="18"/>
          <w:szCs w:val="18"/>
          <w:i w:val="1"/>
          <w:iCs w:val="1"/>
          <w:color w:val="auto"/>
        </w:rPr>
        <w:t>Customer Satisfaction Score (or CSAT score)</w:t>
      </w:r>
      <w:r>
        <w:rPr>
          <w:sz w:val="20"/>
          <w:szCs w:val="20"/>
          <w:color w:val="auto"/>
        </w:rPr>
        <w:tab/>
      </w:r>
      <w:r>
        <w:rPr>
          <w:rFonts w:ascii="Arial" w:cs="Arial" w:eastAsia="Arial" w:hAnsi="Arial"/>
          <w:sz w:val="17"/>
          <w:szCs w:val="17"/>
          <w:color w:val="auto"/>
        </w:rPr>
        <w:t>A measure of customer satisfaction, collected through post-interaction surveys that we</w:t>
      </w:r>
    </w:p>
    <w:p>
      <w:pPr>
        <w:ind w:left="3880"/>
        <w:spacing w:after="0" w:line="219" w:lineRule="auto"/>
        <w:rPr>
          <w:sz w:val="20"/>
          <w:szCs w:val="20"/>
          <w:color w:val="auto"/>
        </w:rPr>
      </w:pPr>
      <w:r>
        <w:rPr>
          <w:rFonts w:ascii="Arial" w:cs="Arial" w:eastAsia="Arial" w:hAnsi="Arial"/>
          <w:sz w:val="18"/>
          <w:szCs w:val="18"/>
          <w:color w:val="auto"/>
        </w:rPr>
        <w:t>prepare and distribute asking users to rate their experience with Navan's service</w:t>
      </w:r>
    </w:p>
    <w:p>
      <w:pPr>
        <w:jc w:val="both"/>
        <w:ind w:left="3880" w:right="240"/>
        <w:spacing w:after="0" w:line="221" w:lineRule="auto"/>
        <w:rPr>
          <w:sz w:val="20"/>
          <w:szCs w:val="20"/>
          <w:color w:val="auto"/>
        </w:rPr>
      </w:pPr>
      <w:r>
        <w:rPr>
          <w:rFonts w:ascii="Arial" w:cs="Arial" w:eastAsia="Arial" w:hAnsi="Arial"/>
          <w:sz w:val="18"/>
          <w:szCs w:val="18"/>
          <w:color w:val="auto"/>
        </w:rPr>
        <w:t>consultants on a 5-point scale. CSAT is calculated by dividing the total number of 4 and 5 scores by the total number of responses. Navan uses CSAT to evaluate the quality of our customer support.</w:t>
      </w:r>
    </w:p>
    <w:p>
      <w:pPr>
        <w:sectPr>
          <w:pgSz w:w="11900" w:h="16838" w:orient="portrait"/>
          <w:cols w:equalWidth="0" w:num="1">
            <w:col w:w="11220"/>
          </w:cols>
          <w:pgMar w:left="320" w:top="229" w:right="359" w:bottom="1440" w:gutter="0" w:footer="0" w:header="0"/>
          <w:type w:val="continuous"/>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Gross booking volume (or GBV)</w:t>
      </w:r>
    </w:p>
    <w:p>
      <w:pPr>
        <w:spacing w:after="0" w:line="20" w:lineRule="exact"/>
        <w:rPr>
          <w:sz w:val="20"/>
          <w:szCs w:val="20"/>
          <w:color w:val="auto"/>
        </w:rPr>
      </w:pPr>
      <w:r>
        <w:rPr>
          <w:sz w:val="20"/>
          <w:szCs w:val="20"/>
          <w:color w:val="auto"/>
        </w:rPr>
        <w:br w:type="column"/>
      </w:r>
    </w:p>
    <w:p>
      <w:pPr>
        <w:ind w:right="120"/>
        <w:spacing w:after="0"/>
        <w:rPr>
          <w:sz w:val="20"/>
          <w:szCs w:val="20"/>
          <w:color w:val="auto"/>
        </w:rPr>
      </w:pPr>
      <w:r>
        <w:rPr>
          <w:rFonts w:ascii="Arial" w:cs="Arial" w:eastAsia="Arial" w:hAnsi="Arial"/>
          <w:sz w:val="18"/>
          <w:szCs w:val="18"/>
          <w:color w:val="auto"/>
        </w:rPr>
        <w:t>The total amount paid for valid bookings on our platform, measured on a booked basis and inclusive of total price, taxes, and fees, and adjusted for cancellations and refunds. GBV</w:t>
      </w:r>
    </w:p>
    <w:p>
      <w:pPr>
        <w:spacing w:after="0" w:line="1" w:lineRule="exact"/>
        <w:rPr>
          <w:sz w:val="20"/>
          <w:szCs w:val="20"/>
          <w:color w:val="auto"/>
        </w:rPr>
      </w:pPr>
    </w:p>
    <w:p>
      <w:pPr>
        <w:sectPr>
          <w:pgSz w:w="11900" w:h="16838" w:orient="portrait"/>
          <w:cols w:equalWidth="0" w:num="2">
            <w:col w:w="3160" w:space="720"/>
            <w:col w:w="7340"/>
          </w:cols>
          <w:pgMar w:left="320" w:top="229" w:right="359" w:bottom="1440" w:gutter="0" w:footer="0" w:header="0"/>
          <w:type w:val="continuous"/>
        </w:sectPr>
      </w:pPr>
    </w:p>
    <w:p>
      <w:pPr>
        <w:ind w:left="3880" w:right="160"/>
        <w:spacing w:after="0" w:line="207" w:lineRule="auto"/>
        <w:rPr>
          <w:sz w:val="20"/>
          <w:szCs w:val="20"/>
          <w:color w:val="auto"/>
        </w:rPr>
      </w:pPr>
      <w:r>
        <w:rPr>
          <w:rFonts w:ascii="Arial" w:cs="Arial" w:eastAsia="Arial" w:hAnsi="Arial"/>
          <w:sz w:val="17"/>
          <w:szCs w:val="17"/>
          <w:color w:val="auto"/>
        </w:rPr>
        <w:t>includes bookings for hotels, flights, cars, and rail, as well as usage of our Meetings and Events, VIP, and Bleisure offerings. See the section titled “Management’s Discussion and Analysis of Financial Condition and Results of Operations–Key Business Metrics” for more</w:t>
      </w:r>
    </w:p>
    <w:p>
      <w:pPr>
        <w:spacing w:after="0" w:line="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information.</w:t>
      </w:r>
    </w:p>
    <w:p>
      <w:pPr>
        <w:sectPr>
          <w:pgSz w:w="11900" w:h="16838" w:orient="portrait"/>
          <w:cols w:equalWidth="0" w:num="1">
            <w:col w:w="11220"/>
          </w:cols>
          <w:pgMar w:left="320" w:top="229" w:right="359" w:bottom="1440" w:gutter="0" w:footer="0" w:header="0"/>
          <w:type w:val="continuous"/>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Global Distribution System (or GDS)</w:t>
      </w:r>
    </w:p>
    <w:p>
      <w:pPr>
        <w:spacing w:after="0" w:line="20" w:lineRule="exact"/>
        <w:rPr>
          <w:sz w:val="20"/>
          <w:szCs w:val="20"/>
          <w:color w:val="auto"/>
        </w:rPr>
      </w:pPr>
      <w:r>
        <w:rPr>
          <w:sz w:val="20"/>
          <w:szCs w:val="20"/>
          <w:color w:val="auto"/>
        </w:rPr>
        <w:br w:type="column"/>
      </w:r>
    </w:p>
    <w:p>
      <w:pPr>
        <w:ind w:right="160"/>
        <w:spacing w:after="0" w:line="234" w:lineRule="auto"/>
        <w:rPr>
          <w:sz w:val="20"/>
          <w:szCs w:val="20"/>
          <w:color w:val="auto"/>
        </w:rPr>
      </w:pPr>
      <w:r>
        <w:rPr>
          <w:rFonts w:ascii="Arial" w:cs="Arial" w:eastAsia="Arial" w:hAnsi="Arial"/>
          <w:sz w:val="18"/>
          <w:szCs w:val="18"/>
          <w:color w:val="auto"/>
        </w:rPr>
        <w:t>A third-party network operated by global technology providers that aggregates and distributes travel inventory such as flights, hotels, car rentals, and black car providers from</w:t>
      </w:r>
    </w:p>
    <w:p>
      <w:pPr>
        <w:spacing w:after="0" w:line="1" w:lineRule="exact"/>
        <w:rPr>
          <w:sz w:val="20"/>
          <w:szCs w:val="20"/>
          <w:color w:val="auto"/>
        </w:rPr>
      </w:pPr>
    </w:p>
    <w:p>
      <w:pPr>
        <w:sectPr>
          <w:pgSz w:w="11900" w:h="16838" w:orient="portrait"/>
          <w:cols w:equalWidth="0" w:num="2">
            <w:col w:w="3160" w:space="720"/>
            <w:col w:w="7340"/>
          </w:cols>
          <w:pgMar w:left="320" w:top="229" w:right="359" w:bottom="1440" w:gutter="0" w:footer="0" w:header="0"/>
          <w:type w:val="continuous"/>
        </w:sectPr>
      </w:pPr>
    </w:p>
    <w:p>
      <w:pPr>
        <w:ind w:left="3880"/>
        <w:spacing w:after="0" w:line="233" w:lineRule="auto"/>
        <w:rPr>
          <w:sz w:val="20"/>
          <w:szCs w:val="20"/>
          <w:color w:val="auto"/>
        </w:rPr>
      </w:pPr>
      <w:r>
        <w:rPr>
          <w:rFonts w:ascii="Arial" w:cs="Arial" w:eastAsia="Arial" w:hAnsi="Arial"/>
          <w:sz w:val="17"/>
          <w:szCs w:val="17"/>
          <w:color w:val="auto"/>
        </w:rPr>
        <w:t>travel suppliers to travel agencies and booking platforms.</w:t>
      </w:r>
    </w:p>
    <w:p>
      <w:pPr>
        <w:sectPr>
          <w:pgSz w:w="11900" w:h="16838" w:orient="portrait"/>
          <w:cols w:equalWidth="0" w:num="1">
            <w:col w:w="11220"/>
          </w:cols>
          <w:pgMar w:left="320" w:top="229" w:right="359" w:bottom="1440" w:gutter="0" w:footer="0" w:header="0"/>
          <w:type w:val="continuous"/>
        </w:sectPr>
      </w:pP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Low-Cost Carriers (or LCCs)</w:t>
      </w:r>
    </w:p>
    <w:p>
      <w:pPr>
        <w:spacing w:after="0" w:line="20" w:lineRule="exact"/>
        <w:rPr>
          <w:sz w:val="20"/>
          <w:szCs w:val="20"/>
          <w:color w:val="auto"/>
        </w:rPr>
      </w:pPr>
      <w:r>
        <w:rPr>
          <w:sz w:val="20"/>
          <w:szCs w:val="20"/>
          <w:color w:val="auto"/>
        </w:rPr>
        <w:br w:type="column"/>
      </w:r>
    </w:p>
    <w:p>
      <w:pPr>
        <w:ind w:right="120"/>
        <w:spacing w:after="0" w:line="234" w:lineRule="auto"/>
        <w:rPr>
          <w:sz w:val="20"/>
          <w:szCs w:val="20"/>
          <w:color w:val="auto"/>
        </w:rPr>
      </w:pPr>
      <w:r>
        <w:rPr>
          <w:rFonts w:ascii="Arial" w:cs="Arial" w:eastAsia="Arial" w:hAnsi="Arial"/>
          <w:sz w:val="18"/>
          <w:szCs w:val="18"/>
          <w:color w:val="auto"/>
        </w:rPr>
        <w:t>Airlines with no-frills models that are not accessed by traditional GDSs requiring TMCs and travel platforms to establish direct connections.</w:t>
      </w:r>
    </w:p>
    <w:p>
      <w:pPr>
        <w:spacing w:after="0" w:line="6" w:lineRule="exact"/>
        <w:rPr>
          <w:sz w:val="20"/>
          <w:szCs w:val="20"/>
          <w:color w:val="auto"/>
        </w:rPr>
      </w:pPr>
    </w:p>
    <w:p>
      <w:pPr>
        <w:sectPr>
          <w:pgSz w:w="11900" w:h="16838" w:orient="portrait"/>
          <w:cols w:equalWidth="0" w:num="2">
            <w:col w:w="3160" w:space="720"/>
            <w:col w:w="7340"/>
          </w:cols>
          <w:pgMar w:left="320" w:top="229" w:right="359" w:bottom="1440" w:gutter="0" w:footer="0" w:header="0"/>
          <w:type w:val="continuous"/>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Managed category</w:t>
      </w:r>
    </w:p>
    <w:p>
      <w:pPr>
        <w:spacing w:after="0" w:line="20" w:lineRule="exact"/>
        <w:rPr>
          <w:sz w:val="20"/>
          <w:szCs w:val="20"/>
          <w:color w:val="auto"/>
        </w:rPr>
      </w:pPr>
      <w:r>
        <w:rPr>
          <w:sz w:val="20"/>
          <w:szCs w:val="20"/>
          <w:color w:val="auto"/>
        </w:rPr>
        <w:br w:type="column"/>
      </w:r>
    </w:p>
    <w:p>
      <w:pPr>
        <w:ind w:right="100"/>
        <w:spacing w:after="0" w:line="254" w:lineRule="auto"/>
        <w:rPr>
          <w:sz w:val="20"/>
          <w:szCs w:val="20"/>
          <w:color w:val="auto"/>
        </w:rPr>
      </w:pPr>
      <w:r>
        <w:rPr>
          <w:rFonts w:ascii="Arial" w:cs="Arial" w:eastAsia="Arial" w:hAnsi="Arial"/>
          <w:sz w:val="17"/>
          <w:szCs w:val="17"/>
          <w:color w:val="auto"/>
        </w:rPr>
        <w:t>The category of the business travel market defined by travel activity governed by a formally implemented travel program. These programs are typically administered by a customer</w:t>
      </w:r>
    </w:p>
    <w:p>
      <w:pPr>
        <w:spacing w:after="0" w:line="1" w:lineRule="exact"/>
        <w:rPr>
          <w:sz w:val="20"/>
          <w:szCs w:val="20"/>
          <w:color w:val="auto"/>
        </w:rPr>
      </w:pPr>
    </w:p>
    <w:p>
      <w:pPr>
        <w:sectPr>
          <w:pgSz w:w="11900" w:h="16838" w:orient="portrait"/>
          <w:cols w:equalWidth="0" w:num="2">
            <w:col w:w="3160" w:space="720"/>
            <w:col w:w="7340"/>
          </w:cols>
          <w:pgMar w:left="320" w:top="229" w:right="359" w:bottom="1440" w:gutter="0" w:footer="0" w:header="0"/>
          <w:type w:val="continuous"/>
        </w:sectPr>
      </w:pPr>
    </w:p>
    <w:p>
      <w:pPr>
        <w:ind w:left="3880" w:right="100"/>
        <w:spacing w:after="0" w:line="211" w:lineRule="auto"/>
        <w:rPr>
          <w:sz w:val="20"/>
          <w:szCs w:val="20"/>
          <w:color w:val="auto"/>
        </w:rPr>
      </w:pPr>
      <w:r>
        <w:rPr>
          <w:rFonts w:ascii="Arial" w:cs="Arial" w:eastAsia="Arial" w:hAnsi="Arial"/>
          <w:sz w:val="18"/>
          <w:szCs w:val="18"/>
          <w:color w:val="auto"/>
        </w:rPr>
        <w:t>through a TMC or a dedicated travel platform, and are characterized by negotiated supplier contracts, documented travel policies, and mandated booking channels.</w:t>
      </w:r>
    </w:p>
    <w:p>
      <w:pPr>
        <w:sectPr>
          <w:pgSz w:w="11900" w:h="16838" w:orient="portrait"/>
          <w:cols w:equalWidth="0" w:num="1">
            <w:col w:w="11220"/>
          </w:cols>
          <w:pgMar w:left="320" w:top="229" w:right="359" w:bottom="1440" w:gutter="0" w:footer="0" w:header="0"/>
          <w:type w:val="continuous"/>
        </w:sectPr>
      </w:pP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Navan Cognition</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Arial" w:cs="Arial" w:eastAsia="Arial" w:hAnsi="Arial"/>
          <w:sz w:val="18"/>
          <w:szCs w:val="18"/>
          <w:color w:val="auto"/>
        </w:rPr>
        <w:t>Our innovative proprietary AI framework that combines the precision and predictive power of machine learning, or ML, with the reasoning capabilities of large language models. On our</w:t>
      </w:r>
    </w:p>
    <w:p>
      <w:pPr>
        <w:spacing w:after="0" w:line="1" w:lineRule="exact"/>
        <w:rPr>
          <w:sz w:val="20"/>
          <w:szCs w:val="20"/>
          <w:color w:val="auto"/>
        </w:rPr>
      </w:pPr>
    </w:p>
    <w:p>
      <w:pPr>
        <w:sectPr>
          <w:pgSz w:w="11900" w:h="16838" w:orient="portrait"/>
          <w:cols w:equalWidth="0" w:num="2">
            <w:col w:w="3160" w:space="720"/>
            <w:col w:w="7340"/>
          </w:cols>
          <w:pgMar w:left="320" w:top="229" w:right="359" w:bottom="1440" w:gutter="0" w:footer="0" w:header="0"/>
          <w:type w:val="continuous"/>
        </w:sectPr>
      </w:pPr>
    </w:p>
    <w:p>
      <w:pPr>
        <w:ind w:left="3880" w:right="380"/>
        <w:spacing w:after="0" w:line="207" w:lineRule="auto"/>
        <w:rPr>
          <w:sz w:val="20"/>
          <w:szCs w:val="20"/>
          <w:color w:val="auto"/>
        </w:rPr>
      </w:pPr>
      <w:r>
        <w:rPr>
          <w:rFonts w:ascii="Arial" w:cs="Arial" w:eastAsia="Arial" w:hAnsi="Arial"/>
          <w:sz w:val="17"/>
          <w:szCs w:val="17"/>
          <w:color w:val="auto"/>
        </w:rPr>
        <w:t>platform, Navan Cognition leverages third-party large language models with our own proprietary, internally developed software to enable us to create, train, deploy, and supervise our specialized virtual agents that can handle many complex tasks previously</w:t>
      </w:r>
    </w:p>
    <w:p>
      <w:pPr>
        <w:spacing w:after="0" w:line="2" w:lineRule="exact"/>
        <w:rPr>
          <w:sz w:val="20"/>
          <w:szCs w:val="20"/>
          <w:color w:val="auto"/>
        </w:rPr>
      </w:pPr>
    </w:p>
    <w:p>
      <w:pPr>
        <w:ind w:left="3880" w:right="340"/>
        <w:spacing w:after="0" w:line="229" w:lineRule="auto"/>
        <w:rPr>
          <w:sz w:val="20"/>
          <w:szCs w:val="20"/>
          <w:color w:val="auto"/>
        </w:rPr>
      </w:pPr>
      <w:r>
        <w:rPr>
          <w:rFonts w:ascii="Arial" w:cs="Arial" w:eastAsia="Arial" w:hAnsi="Arial"/>
          <w:sz w:val="18"/>
          <w:szCs w:val="18"/>
          <w:color w:val="auto"/>
        </w:rPr>
        <w:t>requiring human intervention. See the section titled “Business–Our Solution–Navan Cognition: Our New Paradigm in AI-Powered Travel Management” for more information.</w:t>
      </w:r>
    </w:p>
    <w:p>
      <w:pPr>
        <w:sectPr>
          <w:pgSz w:w="11900" w:h="16838" w:orient="portrait"/>
          <w:cols w:equalWidth="0" w:num="1">
            <w:col w:w="11220"/>
          </w:cols>
          <w:pgMar w:left="320" w:top="229" w:right="359" w:bottom="1440" w:gutter="0" w:footer="0" w:header="0"/>
          <w:type w:val="continuous"/>
        </w:sectPr>
      </w:pP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Navan Connect</w:t>
      </w:r>
    </w:p>
    <w:p>
      <w:pPr>
        <w:spacing w:after="0" w:line="20" w:lineRule="exact"/>
        <w:rPr>
          <w:sz w:val="20"/>
          <w:szCs w:val="20"/>
          <w:color w:val="auto"/>
        </w:rPr>
      </w:pPr>
      <w:r>
        <w:rPr>
          <w:sz w:val="20"/>
          <w:szCs w:val="20"/>
          <w:color w:val="auto"/>
        </w:rPr>
        <w:br w:type="column"/>
      </w:r>
    </w:p>
    <w:p>
      <w:pPr>
        <w:ind w:right="580"/>
        <w:spacing w:after="0" w:line="234" w:lineRule="auto"/>
        <w:rPr>
          <w:sz w:val="20"/>
          <w:szCs w:val="20"/>
          <w:color w:val="auto"/>
        </w:rPr>
      </w:pPr>
      <w:r>
        <w:rPr>
          <w:rFonts w:ascii="Arial" w:cs="Arial" w:eastAsia="Arial" w:hAnsi="Arial"/>
          <w:sz w:val="18"/>
          <w:szCs w:val="18"/>
          <w:color w:val="auto"/>
        </w:rPr>
        <w:t>Our open API framework that enables customers to integrate their existing third-party corporate card programs into our Expense Management application.</w:t>
      </w:r>
    </w:p>
    <w:p>
      <w:pPr>
        <w:spacing w:after="0" w:line="200" w:lineRule="exact"/>
        <w:rPr>
          <w:sz w:val="20"/>
          <w:szCs w:val="20"/>
          <w:color w:val="auto"/>
        </w:rPr>
      </w:pPr>
    </w:p>
    <w:p>
      <w:pPr>
        <w:sectPr>
          <w:pgSz w:w="11900" w:h="16838" w:orient="portrait"/>
          <w:cols w:equalWidth="0" w:num="2">
            <w:col w:w="3160" w:space="720"/>
            <w:col w:w="7340"/>
          </w:cols>
          <w:pgMar w:left="320" w:top="22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320" w:top="229"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Net Promoter Score (or NPS)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New Distribution Capability (or NDC)</w:t>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Offerings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Payment volume</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Product-led growth (or PLG)</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Sales-led growth (or SLG)</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Supplier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A standardized measure of consumer satisfaction and loyalty that can range from a low of negative 100 to a high of positive 100. To calculate NPS, Navan users receive a survey</w:t>
      </w:r>
    </w:p>
    <w:p>
      <w:pPr>
        <w:spacing w:after="0" w:line="1" w:lineRule="exact"/>
        <w:rPr>
          <w:sz w:val="20"/>
          <w:szCs w:val="20"/>
          <w:color w:val="auto"/>
        </w:rPr>
      </w:pPr>
    </w:p>
    <w:p>
      <w:pPr>
        <w:ind w:right="60"/>
        <w:spacing w:after="0" w:line="208" w:lineRule="auto"/>
        <w:rPr>
          <w:sz w:val="20"/>
          <w:szCs w:val="20"/>
          <w:color w:val="auto"/>
        </w:rPr>
      </w:pPr>
      <w:r>
        <w:rPr>
          <w:rFonts w:ascii="Arial" w:cs="Arial" w:eastAsia="Arial" w:hAnsi="Arial"/>
          <w:sz w:val="18"/>
          <w:szCs w:val="18"/>
          <w:color w:val="auto"/>
        </w:rPr>
        <w:t>asking, “How likely are you to recommend Navan to a friend or colleague?” on a scale from 0 to 10. Respondents are segmented into three groups: Promoters (score of 9 or 10), Passives (score of 7 or 8) and Detractors (score of 6 or less). NPS is then calculated by</w:t>
      </w:r>
    </w:p>
    <w:p>
      <w:pPr>
        <w:spacing w:after="0" w:line="2" w:lineRule="exact"/>
        <w:rPr>
          <w:sz w:val="20"/>
          <w:szCs w:val="20"/>
          <w:color w:val="auto"/>
        </w:rPr>
      </w:pPr>
    </w:p>
    <w:p>
      <w:pPr>
        <w:ind w:right="80"/>
        <w:spacing w:after="0" w:line="221" w:lineRule="auto"/>
        <w:rPr>
          <w:sz w:val="20"/>
          <w:szCs w:val="20"/>
          <w:color w:val="auto"/>
        </w:rPr>
      </w:pPr>
      <w:r>
        <w:rPr>
          <w:rFonts w:ascii="Arial" w:cs="Arial" w:eastAsia="Arial" w:hAnsi="Arial"/>
          <w:sz w:val="17"/>
          <w:szCs w:val="17"/>
          <w:color w:val="auto"/>
        </w:rPr>
        <w:t>subtracting the number of Detractors from the number of Promoters, then dividing that number by the total number of respondents, then multiplying by 100. NPS benchmarks can vary significantly by industry, but a score greater than zero represents a company that has</w:t>
      </w:r>
    </w:p>
    <w:p>
      <w:pPr>
        <w:jc w:val="both"/>
        <w:spacing w:after="0" w:line="221" w:lineRule="auto"/>
        <w:rPr>
          <w:sz w:val="20"/>
          <w:szCs w:val="20"/>
          <w:color w:val="auto"/>
        </w:rPr>
      </w:pPr>
      <w:r>
        <w:rPr>
          <w:rFonts w:ascii="Arial" w:cs="Arial" w:eastAsia="Arial" w:hAnsi="Arial"/>
          <w:sz w:val="17"/>
          <w:szCs w:val="17"/>
          <w:color w:val="auto"/>
        </w:rPr>
        <w:t>more promoters than detractors. Our NPS is calculated by us on a third-party platform, and we believe the methodology employed is substantially consistent with how other businesses and industries typically calculate their NPS. Our methodology for calculating NPS reflects</w:t>
      </w:r>
    </w:p>
    <w:p>
      <w:pPr>
        <w:ind w:right="80"/>
        <w:spacing w:after="0" w:line="221" w:lineRule="auto"/>
        <w:rPr>
          <w:sz w:val="20"/>
          <w:szCs w:val="20"/>
          <w:color w:val="auto"/>
        </w:rPr>
      </w:pPr>
      <w:r>
        <w:rPr>
          <w:rFonts w:ascii="Arial" w:cs="Arial" w:eastAsia="Arial" w:hAnsi="Arial"/>
          <w:sz w:val="17"/>
          <w:szCs w:val="17"/>
          <w:color w:val="auto"/>
        </w:rPr>
        <w:t>responses from our customers who choose to respond to the survey question. Accordingly, NPS gives no weight to customers who decline to answer the survey question. Our NPS disclosed in this prospectus was derived from a sample size of approximately customers.</w:t>
      </w:r>
    </w:p>
    <w:p>
      <w:pPr>
        <w:ind w:right="160"/>
        <w:spacing w:after="0" w:line="229" w:lineRule="auto"/>
        <w:rPr>
          <w:sz w:val="20"/>
          <w:szCs w:val="20"/>
          <w:color w:val="auto"/>
        </w:rPr>
      </w:pPr>
      <w:r>
        <w:rPr>
          <w:rFonts w:ascii="Arial" w:cs="Arial" w:eastAsia="Arial" w:hAnsi="Arial"/>
          <w:sz w:val="18"/>
          <w:szCs w:val="18"/>
          <w:color w:val="auto"/>
        </w:rPr>
        <w:t>We use NPS to assess the willingness of customers to recommend our offerings to others and generally regard NPS as a proxy for measuring brand loyalty and satisfaction.</w:t>
      </w:r>
    </w:p>
    <w:p>
      <w:pPr>
        <w:spacing w:after="0" w:line="1" w:lineRule="exact"/>
        <w:rPr>
          <w:sz w:val="20"/>
          <w:szCs w:val="20"/>
          <w:color w:val="auto"/>
        </w:rPr>
      </w:pPr>
    </w:p>
    <w:p>
      <w:pPr>
        <w:ind w:right="220"/>
        <w:spacing w:after="0" w:line="229" w:lineRule="auto"/>
        <w:rPr>
          <w:sz w:val="20"/>
          <w:szCs w:val="20"/>
          <w:color w:val="auto"/>
        </w:rPr>
      </w:pPr>
      <w:r>
        <w:rPr>
          <w:rFonts w:ascii="Arial" w:cs="Arial" w:eastAsia="Arial" w:hAnsi="Arial"/>
          <w:sz w:val="17"/>
          <w:szCs w:val="17"/>
          <w:color w:val="auto"/>
        </w:rPr>
        <w:t>An International Air Transport Association technical standard that enables airlines to offer dynamically priced fares, ancillary products, and rich content (such as seat maps and</w:t>
      </w:r>
    </w:p>
    <w:p>
      <w:pPr>
        <w:ind w:right="320"/>
        <w:spacing w:after="0" w:line="229" w:lineRule="auto"/>
        <w:rPr>
          <w:sz w:val="20"/>
          <w:szCs w:val="20"/>
          <w:color w:val="auto"/>
        </w:rPr>
      </w:pPr>
      <w:r>
        <w:rPr>
          <w:rFonts w:ascii="Arial" w:cs="Arial" w:eastAsia="Arial" w:hAnsi="Arial"/>
          <w:sz w:val="18"/>
          <w:szCs w:val="18"/>
          <w:color w:val="auto"/>
        </w:rPr>
        <w:t>branded fares) through application programming interfaces, or APIs, that bypass certain legacy limitations of GDS.</w:t>
      </w:r>
    </w:p>
    <w:p>
      <w:pPr>
        <w:spacing w:after="0" w:line="1" w:lineRule="exact"/>
        <w:rPr>
          <w:sz w:val="20"/>
          <w:szCs w:val="20"/>
          <w:color w:val="auto"/>
        </w:rPr>
      </w:pPr>
    </w:p>
    <w:p>
      <w:pPr>
        <w:ind w:right="340"/>
        <w:spacing w:after="0" w:line="216" w:lineRule="auto"/>
        <w:rPr>
          <w:sz w:val="20"/>
          <w:szCs w:val="20"/>
          <w:color w:val="auto"/>
        </w:rPr>
      </w:pPr>
      <w:r>
        <w:rPr>
          <w:rFonts w:ascii="Arial" w:cs="Arial" w:eastAsia="Arial" w:hAnsi="Arial"/>
          <w:sz w:val="18"/>
          <w:szCs w:val="18"/>
          <w:color w:val="auto"/>
        </w:rPr>
        <w:t>The suite of integrated products and services available on our platform. These offerings currently consist of Travel, Corporate Payments, Expense Management, Meetings and</w:t>
      </w:r>
    </w:p>
    <w:p>
      <w:pPr>
        <w:spacing w:after="0" w:line="1" w:lineRule="exact"/>
        <w:rPr>
          <w:sz w:val="20"/>
          <w:szCs w:val="20"/>
          <w:color w:val="auto"/>
        </w:rPr>
      </w:pPr>
    </w:p>
    <w:p>
      <w:pPr>
        <w:jc w:val="both"/>
        <w:ind w:right="80"/>
        <w:spacing w:after="0" w:line="221" w:lineRule="auto"/>
        <w:rPr>
          <w:sz w:val="20"/>
          <w:szCs w:val="20"/>
          <w:color w:val="auto"/>
        </w:rPr>
      </w:pPr>
      <w:r>
        <w:rPr>
          <w:rFonts w:ascii="Arial" w:cs="Arial" w:eastAsia="Arial" w:hAnsi="Arial"/>
          <w:sz w:val="18"/>
          <w:szCs w:val="18"/>
          <w:color w:val="auto"/>
        </w:rPr>
        <w:t>Events, VIP, and Bleisure. These offerings are accessible through our platform and may be adopted individually or in combination by our customers. See the section titled “Business— Our Offerings” for more information.</w:t>
      </w:r>
    </w:p>
    <w:p>
      <w:pPr>
        <w:spacing w:after="0" w:line="4"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The aggregate dollar amount of spend through Navan issued cards, settled during a given period and net of any chargebacks, cancellations, or refunds. See the section titled</w:t>
      </w:r>
    </w:p>
    <w:p>
      <w:pPr>
        <w:spacing w:after="0" w:line="1"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“Management’s Discussion and Analysis of Financial Condition and Results of Operations– Key Business Metrics” for more information.</w:t>
      </w:r>
    </w:p>
    <w:p>
      <w:pPr>
        <w:spacing w:after="0" w:line="1" w:lineRule="exact"/>
        <w:rPr>
          <w:sz w:val="20"/>
          <w:szCs w:val="20"/>
          <w:color w:val="auto"/>
        </w:rPr>
      </w:pPr>
    </w:p>
    <w:p>
      <w:pPr>
        <w:ind w:right="460"/>
        <w:spacing w:after="0" w:line="216" w:lineRule="auto"/>
        <w:rPr>
          <w:sz w:val="20"/>
          <w:szCs w:val="20"/>
          <w:color w:val="auto"/>
        </w:rPr>
      </w:pPr>
      <w:r>
        <w:rPr>
          <w:rFonts w:ascii="Arial" w:cs="Arial" w:eastAsia="Arial" w:hAnsi="Arial"/>
          <w:sz w:val="18"/>
          <w:szCs w:val="18"/>
          <w:color w:val="auto"/>
        </w:rPr>
        <w:t>Our go-to-market strategy in which our platform and our suite of offerings serve as the primary drivers of customer acquisition, expansion, and retention. In our PLG model,</w:t>
      </w:r>
    </w:p>
    <w:p>
      <w:pPr>
        <w:spacing w:after="0" w:line="1"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customers typically discover, sign up for, and begin using our offerings through our website or application, often with limited involvement from a sales representative.</w:t>
      </w:r>
    </w:p>
    <w:p>
      <w:pPr>
        <w:spacing w:after="0" w:line="1"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Our go-to-market strategy in which qualified sales professionals actively identify, engage, and support prospective customers through the evaluation and purchasing process. In our</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SLG model, sales representatives directly prospect, engage, and guide potential customers through a structured and consultative buying process.</w:t>
      </w:r>
    </w:p>
    <w:p>
      <w:pPr>
        <w:spacing w:after="0" w:line="1" w:lineRule="exact"/>
        <w:rPr>
          <w:sz w:val="20"/>
          <w:szCs w:val="20"/>
          <w:color w:val="auto"/>
        </w:rPr>
      </w:pPr>
    </w:p>
    <w:p>
      <w:pPr>
        <w:ind w:right="480"/>
        <w:spacing w:after="0" w:line="216" w:lineRule="auto"/>
        <w:rPr>
          <w:sz w:val="20"/>
          <w:szCs w:val="20"/>
          <w:color w:val="auto"/>
        </w:rPr>
      </w:pPr>
      <w:r>
        <w:rPr>
          <w:rFonts w:ascii="Arial" w:cs="Arial" w:eastAsia="Arial" w:hAnsi="Arial"/>
          <w:sz w:val="18"/>
          <w:szCs w:val="18"/>
          <w:color w:val="auto"/>
        </w:rPr>
        <w:t>A third-party provider of travel inventory or distribution services, including commercial airlines, low-cost carriers, hotel operators, lodging aggregators, rail carriers, car rental</w:t>
      </w:r>
    </w:p>
    <w:p>
      <w:pPr>
        <w:spacing w:after="0" w:line="1" w:lineRule="exact"/>
        <w:rPr>
          <w:sz w:val="20"/>
          <w:szCs w:val="20"/>
          <w:color w:val="auto"/>
        </w:rPr>
      </w:pPr>
    </w:p>
    <w:p>
      <w:pPr>
        <w:ind w:right="40"/>
        <w:spacing w:after="0" w:line="208" w:lineRule="auto"/>
        <w:rPr>
          <w:sz w:val="20"/>
          <w:szCs w:val="20"/>
          <w:color w:val="auto"/>
        </w:rPr>
      </w:pPr>
      <w:r>
        <w:rPr>
          <w:rFonts w:ascii="Arial" w:cs="Arial" w:eastAsia="Arial" w:hAnsi="Arial"/>
          <w:sz w:val="18"/>
          <w:szCs w:val="18"/>
          <w:color w:val="auto"/>
        </w:rPr>
        <w:t>companies, black car or ground transportation providers, and operators of GDSs. Suppliers contract with us to make their inventory available for booking by customers and users on our platform and may compensate us through commissions, incentives, or transactional fee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iv</w:t>
      </w:r>
    </w:p>
    <w:p>
      <w:pPr>
        <w:sectPr>
          <w:pgSz w:w="11900" w:h="16838" w:orient="portrait"/>
          <w:cols w:equalWidth="0" w:num="2">
            <w:col w:w="3160" w:space="720"/>
            <w:col w:w="7300"/>
          </w:cols>
          <w:pgMar w:left="320" w:top="229"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T&amp;E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Travel management company (or TMC)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Travel Management offerings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Unmanaged category</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User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Travel and expense.</w:t>
      </w:r>
    </w:p>
    <w:p>
      <w:pPr>
        <w:spacing w:after="0" w:line="32"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A travel agency or organization that provides businesses with managed travel services such as offline booking support, policy compliance, duty-of-care assistance, and supplier</w:t>
      </w:r>
    </w:p>
    <w:p>
      <w:pPr>
        <w:spacing w:after="0" w:line="1"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negotiations. TMCs may access travel content through GDSs, direct supplier connections, or other distribution mechanisms, and typically earn revenue from supplier commissions, client service fees, and ancillary charges.</w:t>
      </w:r>
    </w:p>
    <w:p>
      <w:pPr>
        <w:spacing w:after="0" w:line="4" w:lineRule="exact"/>
        <w:rPr>
          <w:sz w:val="20"/>
          <w:szCs w:val="20"/>
          <w:color w:val="auto"/>
        </w:rPr>
      </w:pPr>
    </w:p>
    <w:p>
      <w:pPr>
        <w:jc w:val="both"/>
        <w:ind w:right="540"/>
        <w:spacing w:after="0" w:line="234" w:lineRule="auto"/>
        <w:rPr>
          <w:sz w:val="20"/>
          <w:szCs w:val="20"/>
          <w:color w:val="auto"/>
        </w:rPr>
      </w:pPr>
      <w:r>
        <w:rPr>
          <w:rFonts w:ascii="Arial" w:cs="Arial" w:eastAsia="Arial" w:hAnsi="Arial"/>
          <w:sz w:val="17"/>
          <w:szCs w:val="17"/>
          <w:color w:val="auto"/>
        </w:rPr>
        <w:t>A category of offerings available through our platform that includes our Meetings and Events, VIP, and Bleisure offerings, in addition to our Travel offering. These additional</w:t>
      </w:r>
    </w:p>
    <w:p>
      <w:pPr>
        <w:spacing w:after="0" w:line="1" w:lineRule="exact"/>
        <w:rPr>
          <w:sz w:val="20"/>
          <w:szCs w:val="20"/>
          <w:color w:val="auto"/>
        </w:rPr>
      </w:pPr>
    </w:p>
    <w:p>
      <w:pPr>
        <w:jc w:val="both"/>
        <w:ind w:right="540"/>
        <w:spacing w:after="0" w:line="221" w:lineRule="auto"/>
        <w:rPr>
          <w:sz w:val="20"/>
          <w:szCs w:val="20"/>
          <w:color w:val="auto"/>
        </w:rPr>
      </w:pPr>
      <w:r>
        <w:rPr>
          <w:rFonts w:ascii="Arial" w:cs="Arial" w:eastAsia="Arial" w:hAnsi="Arial"/>
          <w:sz w:val="18"/>
          <w:szCs w:val="18"/>
          <w:color w:val="auto"/>
        </w:rPr>
        <w:t>offerings are designed to support more complex or personalized travel needs beyond standard business travel, such as executive itineraries, group travel coordination, and personal travel booked in connection with business trips.</w:t>
      </w:r>
    </w:p>
    <w:p>
      <w:pPr>
        <w:spacing w:after="0" w:line="4"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category of the business travel market defined by business travel that is not subject to a formal travel program or mandated booking channel. In an unmanaged environment,</w:t>
      </w:r>
    </w:p>
    <w:p>
      <w:pPr>
        <w:spacing w:after="0" w:line="1" w:lineRule="exact"/>
        <w:rPr>
          <w:sz w:val="20"/>
          <w:szCs w:val="20"/>
          <w:color w:val="auto"/>
        </w:rPr>
      </w:pPr>
    </w:p>
    <w:p>
      <w:pPr>
        <w:ind w:right="780"/>
        <w:spacing w:after="0" w:line="229" w:lineRule="auto"/>
        <w:rPr>
          <w:sz w:val="20"/>
          <w:szCs w:val="20"/>
          <w:color w:val="auto"/>
        </w:rPr>
      </w:pPr>
      <w:r>
        <w:rPr>
          <w:rFonts w:ascii="Arial" w:cs="Arial" w:eastAsia="Arial" w:hAnsi="Arial"/>
          <w:sz w:val="18"/>
          <w:szCs w:val="18"/>
          <w:color w:val="auto"/>
        </w:rPr>
        <w:t>individual employees or teams arrange travel independently, often using consumer channels.</w:t>
      </w:r>
    </w:p>
    <w:p>
      <w:pPr>
        <w:spacing w:after="0" w:line="1"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Any individual authorized by a customer to access and use our platform. Users may include business travelers, executive assistants, travel coordinators, finance, accounting, or human</w:t>
      </w:r>
    </w:p>
    <w:p>
      <w:pPr>
        <w:spacing w:after="0" w:line="1" w:lineRule="exact"/>
        <w:rPr>
          <w:sz w:val="20"/>
          <w:szCs w:val="20"/>
          <w:color w:val="auto"/>
        </w:rPr>
      </w:pPr>
    </w:p>
    <w:p>
      <w:pPr>
        <w:ind w:right="240"/>
        <w:spacing w:after="0" w:line="221" w:lineRule="auto"/>
        <w:rPr>
          <w:sz w:val="20"/>
          <w:szCs w:val="20"/>
          <w:color w:val="auto"/>
        </w:rPr>
      </w:pPr>
      <w:r>
        <w:rPr>
          <w:rFonts w:ascii="Arial" w:cs="Arial" w:eastAsia="Arial" w:hAnsi="Arial"/>
          <w:sz w:val="17"/>
          <w:szCs w:val="17"/>
          <w:color w:val="auto"/>
        </w:rPr>
        <w:t>resources personnel, and travel and expense administrators. Depending on their role and permissions, users may book or modify travel itineraries, initiate or reconcile expenses, transact using our corporate card solutions, or configure and manage customer-specific</w:t>
      </w:r>
    </w:p>
    <w:p>
      <w:pPr>
        <w:spacing w:after="0"/>
        <w:rPr>
          <w:sz w:val="20"/>
          <w:szCs w:val="20"/>
          <w:color w:val="auto"/>
        </w:rPr>
      </w:pPr>
      <w:r>
        <w:rPr>
          <w:rFonts w:ascii="Arial" w:cs="Arial" w:eastAsia="Arial" w:hAnsi="Arial"/>
          <w:sz w:val="18"/>
          <w:szCs w:val="18"/>
          <w:color w:val="auto"/>
        </w:rPr>
        <w:t>travel, payment, or expense policies within the platform’s administrative modules.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v</w:t>
      </w:r>
    </w:p>
    <w:p>
      <w:pPr>
        <w:sectPr>
          <w:pgSz w:w="11900" w:h="16838" w:orient="portrait"/>
          <w:cols w:equalWidth="0" w:num="2">
            <w:col w:w="3160" w:space="720"/>
            <w:col w:w="7340"/>
          </w:cols>
          <w:pgMar w:left="320" w:top="229"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LETTER FROM OUR CO-FOUNDERS</w:t>
      </w:r>
    </w:p>
    <w:p>
      <w:pPr>
        <w:spacing w:after="0" w:line="17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all know: Business travelers want to focus on being there, not getting there. Their time is valuable. Their time is money. And, in an era where AI can supercharge their productivity, as well as the efficiency of the companies they work for, only technologies that amplify their success have a place.</w:t>
      </w:r>
    </w:p>
    <w:p>
      <w:pPr>
        <w:spacing w:after="0" w:line="117"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My personal “business travel is broken” moment happened in 2013. I had landed in Odesa, Ukraine, on a freezing-cold night, exhausted and needing to prepare for the next day’s meetings. My hotel reservation had gone missing. No one could fix the problem because the travel agency I booked through was closed for the night, and my booking tool was useless.</w:t>
      </w:r>
    </w:p>
    <w:p>
      <w:pPr>
        <w:spacing w:after="0" w:line="117" w:lineRule="exact"/>
        <w:rPr>
          <w:sz w:val="20"/>
          <w:szCs w:val="20"/>
          <w:color w:val="auto"/>
        </w:rPr>
      </w:pPr>
    </w:p>
    <w:p>
      <w:pPr>
        <w:jc w:val="both"/>
        <w:ind w:right="180" w:firstLine="324"/>
        <w:spacing w:after="0" w:line="262" w:lineRule="auto"/>
        <w:rPr>
          <w:sz w:val="20"/>
          <w:szCs w:val="20"/>
          <w:color w:val="auto"/>
        </w:rPr>
      </w:pPr>
      <w:r>
        <w:rPr>
          <w:rFonts w:ascii="Arial" w:cs="Arial" w:eastAsia="Arial" w:hAnsi="Arial"/>
          <w:sz w:val="18"/>
          <w:szCs w:val="18"/>
          <w:color w:val="auto"/>
        </w:rPr>
        <w:t>Meanwhile, the digital world was booming: Food delivery and rideshares were available on demand and 24/7. But corporate T&amp;E was stuck in an analog world of endless wait times, email chains, and receipts. Despite being one of the most costly line items for a business, it was completely broken. I didn’t know anyone who actually liked their T&amp;E solution or talked about getting good service from their corporate travel agency. Travelers, businesses, and the industry were all losing.</w:t>
      </w:r>
    </w:p>
    <w:p>
      <w:pPr>
        <w:spacing w:after="0" w:line="12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Out of our frustration, a vision was born. We knew that we could build a tireless, super intelligent travel agent that never slept, understood our needs, and treated us perfectly so we started Navan to combine comprehensive travel inventory with cutting-edge technology. We recognized that the future of travel wasn’t just about digitizing the old ways, but about fundamentally reimagining the entire experience through the lens of artificial intelligence.</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Navan, we are the champions of frequent travelers and everyone that supports them. We champion the people who can’t spend hours searching for flights and hotels, sitting on hold with support agents, and inputting expenses into a spreadsheet. Stakeholders, from CFOs, to travel managers, to admins and accountants need visibility and control over spend, but they don’t have time to approve every small purchase request. Suppliers want to move inventory — flights, hotels, cars, rail — and build relationships directly with their customers and travelers. All of them want technology to drive change and momentum, but that’s nearly impossible when outdated technology is still standard. At Navan, we make sure that the frequent traveler can focus on being there and not on getting there.</w:t>
      </w:r>
    </w:p>
    <w:p>
      <w:pPr>
        <w:spacing w:after="0" w:line="12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 xml:space="preserve">A successful T&amp;E solution gives all three groups the tools to win. But primarily offline legacy solutions weren’t helping </w:t>
      </w:r>
      <w:r>
        <w:rPr>
          <w:rFonts w:ascii="Arial" w:cs="Arial" w:eastAsia="Arial" w:hAnsi="Arial"/>
          <w:sz w:val="18"/>
          <w:szCs w:val="18"/>
          <w:i w:val="1"/>
          <w:iCs w:val="1"/>
          <w:color w:val="auto"/>
        </w:rPr>
        <w:t>anyone</w:t>
      </w:r>
      <w:r>
        <w:rPr>
          <w:rFonts w:ascii="Arial" w:cs="Arial" w:eastAsia="Arial" w:hAnsi="Arial"/>
          <w:sz w:val="18"/>
          <w:szCs w:val="18"/>
          <w:color w:val="auto"/>
        </w:rPr>
        <w:t xml:space="preserve"> win. They still don’t.</w:t>
      </w:r>
    </w:p>
    <w:p>
      <w:pPr>
        <w:spacing w:after="0" w:line="99"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The T&amp;E world needed to be modernized and digitized because employees need to travel for companies to thrive. Sure, video meetings have their place. But, as frequent travelers ourselves, we’ve personally experienced just how critical it is to shake a hand, share a meal, and brainstorm face-to-face. Business travel is foundational for retaining clients. For team-building. For the future of the business world.</w:t>
      </w:r>
    </w:p>
    <w:p>
      <w:pPr>
        <w:spacing w:after="0" w:line="117"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That’s something that will never change, because personal connections make us who we are. Connections require travel. And making travel business-friendly means making it time- and cost-efficient.</w:t>
      </w:r>
    </w:p>
    <w:p>
      <w:pPr>
        <w:spacing w:after="0" w:line="9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decades, legacy T&amp;E solutions have simply maintained the status quo while raking in huge fees. Their travelers still have to spend hours on basic logistics; admins still have to waste time with busywork, such as manually inputting receipts and filling expense reports; suppliers still have to work with legacy travel management companies that often don’t represent their products well or even display their “full” inventory. It’s no wonder these solutions have left armies of frustrated road warriors in their wake and are causing businesses to waste time and money.</w:t>
      </w:r>
    </w:p>
    <w:p>
      <w:pPr>
        <w:spacing w:after="0" w:line="125"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 xml:space="preserve">So, in our reinvention, Navan had to do </w:t>
      </w:r>
      <w:r>
        <w:rPr>
          <w:rFonts w:ascii="Arial" w:cs="Arial" w:eastAsia="Arial" w:hAnsi="Arial"/>
          <w:sz w:val="18"/>
          <w:szCs w:val="18"/>
          <w:i w:val="1"/>
          <w:iCs w:val="1"/>
          <w:color w:val="auto"/>
        </w:rPr>
        <w:t>everything</w:t>
      </w:r>
      <w:r>
        <w:rPr>
          <w:rFonts w:ascii="Arial" w:cs="Arial" w:eastAsia="Arial" w:hAnsi="Arial"/>
          <w:sz w:val="18"/>
          <w:szCs w:val="18"/>
          <w:color w:val="auto"/>
        </w:rPr>
        <w:t xml:space="preserve"> differently. And we started with a simple idea: Make life easier for everyone in the network, especially the frequent business traveler. Bring business travel into the 21st century.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00"/>
          </w:cols>
          <w:pgMar w:left="320" w:top="229"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Navan was engineered from the ground up with AI at its core, guiding our platform’s development to create a seamless and intelligent experience. This approach anticipates user needs and streamlines every aspect of business travel, setting us apart from solutions that treat AI as an afterthought.</w:t>
      </w:r>
    </w:p>
    <w:p>
      <w:pPr>
        <w:spacing w:after="0" w:line="11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have built a new category of business software designed for people, recruiting top talent in engineering, product, and UX design, and fostering a self-directed company culture. With the freedom to build from scratch, we leapfrogged antiquated infrastructure to deliver a modern and delightful T&amp;E solution, ensuring AI empowers a personalized and intuitive travel experience.</w:t>
      </w:r>
    </w:p>
    <w:p>
      <w:pPr>
        <w:spacing w:after="0" w:line="11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With Navan, the entire network wins. Travelers book trips easily and quickly, skip tedious receipt-tracking, benefit from fast, friendly, and accurate support, and earn rewards for saving their companies money, which they can redeem for personal travel on Navan. Admins avoid an inbox of petty approval requests, cut down significantly on accounting work, and use real-time data to head off spending issues before they become problems. And our extensive inventory, at some of the best prices, is packaged in a beautiful interface.</w:t>
      </w:r>
    </w:p>
    <w:p>
      <w:pPr>
        <w:spacing w:after="0" w:line="12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So it’s no surprise that we’ve amassed tons of dedicated customers and millions of passionate fans. From small startups to Fortune 500 companies, businesses have partnered with us to make their employees’ lives easier through tech-enabled, hyper-efficient management of travel, expenses, and payments. Once they get a taste of what the T&amp;E process can be, they never want to go back. We’ve grown along with them, entering new markets and completing acquisitions to expand our suite of offerings.</w:t>
      </w:r>
    </w:p>
    <w:p>
      <w:pPr>
        <w:spacing w:after="0" w:line="12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found out just how resilient we are during the pandemic, when travel, and our revenue, went to zero. But our belief in the power of in-person connections runs so deep that we knew travel would return. So we doubled down. Even at peak pandemic, we enriched our offerings and added customers who were fed-up with the high cost and limited functionality of their legacy solutions. We knew we’d built the travel, expense, and payments platform for the future of business travel, enabled by AI and resilient in the face of technological advancements.</w:t>
      </w:r>
    </w:p>
    <w:p>
      <w:pPr>
        <w:spacing w:after="0" w:line="122"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color w:val="auto"/>
        </w:rPr>
        <w:t>We also supercharged customer choice and savings with even more NDC connections. And we opened our automated expense management platform to companies without them having to switch credit cards, something said to be impossible.</w:t>
      </w:r>
    </w:p>
    <w:p>
      <w:pPr>
        <w:spacing w:after="0" w:line="99" w:lineRule="exact"/>
        <w:rPr>
          <w:sz w:val="20"/>
          <w:szCs w:val="20"/>
          <w:color w:val="auto"/>
        </w:rPr>
      </w:pPr>
    </w:p>
    <w:p>
      <w:pPr>
        <w:jc w:val="both"/>
        <w:ind w:right="80" w:firstLine="324"/>
        <w:spacing w:after="0" w:line="262" w:lineRule="auto"/>
        <w:rPr>
          <w:sz w:val="20"/>
          <w:szCs w:val="20"/>
          <w:color w:val="auto"/>
        </w:rPr>
      </w:pPr>
      <w:r>
        <w:rPr>
          <w:rFonts w:ascii="Arial" w:cs="Arial" w:eastAsia="Arial" w:hAnsi="Arial"/>
          <w:sz w:val="18"/>
          <w:szCs w:val="18"/>
          <w:color w:val="auto"/>
        </w:rPr>
        <w:t>We've built a cutting-edge travel platform that was founded with AI at its core and that has been all-in on generative AI. We now deliver trip options so personalized that the average booking time is seven minutes, compared to the industry average of 45. And we created an AI-enabled support agent that acts as a personal concierge, helping travelers make changes on the fly, collect receipts, and call hotels to notify them of late check-ins or ensure payment methods are on file.</w:t>
      </w:r>
    </w:p>
    <w:p>
      <w:pPr>
        <w:spacing w:after="0" w:line="122" w:lineRule="exact"/>
        <w:rPr>
          <w:sz w:val="20"/>
          <w:szCs w:val="20"/>
          <w:color w:val="auto"/>
        </w:rPr>
      </w:pPr>
    </w:p>
    <w:p>
      <w:pPr>
        <w:jc w:val="both"/>
        <w:ind w:right="40" w:firstLine="324"/>
        <w:spacing w:after="0" w:line="262" w:lineRule="auto"/>
        <w:rPr>
          <w:sz w:val="20"/>
          <w:szCs w:val="20"/>
          <w:color w:val="auto"/>
        </w:rPr>
      </w:pPr>
      <w:r>
        <w:rPr>
          <w:rFonts w:ascii="Arial" w:cs="Arial" w:eastAsia="Arial" w:hAnsi="Arial"/>
          <w:sz w:val="18"/>
          <w:szCs w:val="18"/>
          <w:color w:val="auto"/>
        </w:rPr>
        <w:t>Today, Navan has become synonymous with smarter and modern T&amp;E. Our winning network has seen significant increases in adoption rates, savings, and satisfaction, along with huge declines in the time required for booking trips, managing expenses, and closing the books. And our travelers know that each part of the travel experience will be better with the Navan touch. Every hour of every day, our sophisticated solution delivers on our straightforward mission: Make travel easy for every frequent traveler.</w:t>
      </w:r>
    </w:p>
    <w:p>
      <w:pPr>
        <w:spacing w:after="0" w:line="122"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And we’re just getting started. Business needs change, technology evolves, and we will evolve with it as the leading all-in-one T&amp;E solution, surprising users with new features and tackling future obstacles before they even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200"/>
          </w:cols>
          <w:pgMar w:left="320" w:top="229"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T&amp;E is where we started, but it’s just the beginning. We’re thinking big. Really big. And we’re grateful that you’re considering an investment with us as part of our public offering. You’re investing in a team that rushes toward hard problems with powerful technology to forge a world without limits.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you on the road.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Ariel Cohen and Ilan Twig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0860"/>
          </w:cols>
          <w:pgMar w:left="320" w:top="229" w:right="71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701040</wp:posOffset>
            </wp:positionV>
            <wp:extent cx="7136130" cy="7402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PROSPECTUS SUMMARY</w:t>
      </w:r>
    </w:p>
    <w:p>
      <w:pPr>
        <w:spacing w:after="0" w:line="173" w:lineRule="exact"/>
        <w:rPr>
          <w:sz w:val="20"/>
          <w:szCs w:val="20"/>
          <w:color w:val="auto"/>
        </w:rPr>
      </w:pPr>
    </w:p>
    <w:p>
      <w:pPr>
        <w:ind w:left="680" w:right="140" w:firstLine="324"/>
        <w:spacing w:after="0" w:line="255" w:lineRule="auto"/>
        <w:rPr>
          <w:sz w:val="20"/>
          <w:szCs w:val="20"/>
          <w:color w:val="auto"/>
        </w:rPr>
      </w:pPr>
      <w:r>
        <w:rPr>
          <w:rFonts w:ascii="Arial" w:cs="Arial" w:eastAsia="Arial" w:hAnsi="Arial"/>
          <w:sz w:val="18"/>
          <w:szCs w:val="18"/>
          <w:i w:val="1"/>
          <w:iCs w:val="1"/>
          <w:color w:val="auto"/>
        </w:rPr>
        <w:t>The following summary highlights selected information that is presented in greater detail elsewhere in this prospectus. This summary does not contain all the information you should consider before investing in our Class A common stock. You should carefully read this prospectus in its entirety before investing in our Class A common stock, including the sections titled “Risk Factors,” “Special Note Regarding Forward-Looking Statements,” “Management’s Discussion and Analysis of Financial Condition and Results of Operations,” and our consolidated financial statements and the accompanying notes included elsewhere in this prospectus. Our fiscal year end is January 31, and our fiscal quarters end on April 30, July 31, October 31, and January 31. Our fiscal years ended January 31, 2025 and 2024 are referred to herein as fiscal 2025 and fiscal 2024, respectively.</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left="680" w:right="40" w:firstLine="324"/>
        <w:spacing w:after="0" w:line="257" w:lineRule="auto"/>
        <w:rPr>
          <w:sz w:val="20"/>
          <w:szCs w:val="20"/>
          <w:color w:val="auto"/>
        </w:rPr>
      </w:pPr>
      <w:r>
        <w:rPr>
          <w:rFonts w:ascii="Arial" w:cs="Arial" w:eastAsia="Arial" w:hAnsi="Arial"/>
          <w:sz w:val="18"/>
          <w:szCs w:val="18"/>
          <w:color w:val="auto"/>
        </w:rPr>
        <w:t>Travel is more than just getting from point A to point B; it's the lifeblood of connection in the modern business world. It's about forging those critical in-person relationships with clients and partners, sparking innovation through team collaboration, and empowering employees to grow and succeed. These moments matter, and they demand a travel experience worthy of their importance. We built Navan for the road warriors, for CEOs and CFOs who understand travel’s critical importance to their strategy, the finance teams who demand precision and control, the executive assistants juggling itineraries, and the program admins ensuring seamless events.</w:t>
      </w:r>
    </w:p>
    <w:p>
      <w:pPr>
        <w:spacing w:after="0" w:line="128" w:lineRule="exact"/>
        <w:rPr>
          <w:sz w:val="20"/>
          <w:szCs w:val="20"/>
          <w:color w:val="auto"/>
        </w:rPr>
      </w:pPr>
    </w:p>
    <w:p>
      <w:pPr>
        <w:ind w:left="680" w:right="60" w:firstLine="324"/>
        <w:spacing w:after="0" w:line="259" w:lineRule="auto"/>
        <w:rPr>
          <w:sz w:val="20"/>
          <w:szCs w:val="20"/>
          <w:color w:val="auto"/>
        </w:rPr>
      </w:pPr>
      <w:r>
        <w:rPr>
          <w:rFonts w:ascii="Arial" w:cs="Arial" w:eastAsia="Arial" w:hAnsi="Arial"/>
          <w:sz w:val="18"/>
          <w:szCs w:val="18"/>
          <w:color w:val="auto"/>
        </w:rPr>
        <w:t xml:space="preserve">Navan is an end-to-end, AI-powered software platform built to simplify the global business T&amp;E experience, benefiting users, customers, and suppliers. </w:t>
      </w:r>
      <w:r>
        <w:rPr>
          <w:rFonts w:ascii="Arial" w:cs="Arial" w:eastAsia="Arial" w:hAnsi="Arial"/>
          <w:sz w:val="18"/>
          <w:szCs w:val="18"/>
          <w:color w:val="auto"/>
          <w:highlight w:val="white"/>
        </w:rPr>
        <w:t>From day one, we leveraged technology to reimagine business travel. We built a</w:t>
      </w:r>
      <w:r>
        <w:rPr>
          <w:rFonts w:ascii="Arial" w:cs="Arial" w:eastAsia="Arial" w:hAnsi="Arial"/>
          <w:sz w:val="18"/>
          <w:szCs w:val="18"/>
          <w:color w:val="auto"/>
        </w:rPr>
        <w:t xml:space="preserve"> </w:t>
      </w:r>
      <w:r>
        <w:rPr>
          <w:rFonts w:ascii="Arial" w:cs="Arial" w:eastAsia="Arial" w:hAnsi="Arial"/>
          <w:sz w:val="18"/>
          <w:szCs w:val="18"/>
          <w:color w:val="auto"/>
          <w:highlight w:val="white"/>
        </w:rPr>
        <w:t>comprehensive platform that serves as the foundation for further disruption. We deliver delightful, personalized experiences for users, efficiency and control for customers, and direct market access for suppliers—all powered by our proprietary AI framework, Navan Cognition.</w:t>
      </w:r>
    </w:p>
    <w:p>
      <w:pPr>
        <w:spacing w:after="0" w:line="125" w:lineRule="exact"/>
        <w:rPr>
          <w:sz w:val="20"/>
          <w:szCs w:val="20"/>
          <w:color w:val="auto"/>
        </w:rPr>
      </w:pPr>
    </w:p>
    <w:p>
      <w:pPr>
        <w:ind w:left="680" w:firstLine="324"/>
        <w:spacing w:after="0" w:line="259" w:lineRule="auto"/>
        <w:rPr>
          <w:sz w:val="20"/>
          <w:szCs w:val="20"/>
          <w:color w:val="auto"/>
        </w:rPr>
      </w:pPr>
      <w:r>
        <w:rPr>
          <w:rFonts w:ascii="Arial" w:cs="Arial" w:eastAsia="Arial" w:hAnsi="Arial"/>
          <w:sz w:val="18"/>
          <w:szCs w:val="18"/>
          <w:color w:val="auto"/>
        </w:rPr>
        <w:t>We saw firsthand the frustration of clunky, outdated systems. Travelers were forced to cobble together solutions, wait for hours on hold to book or change travel, and negotiate with travel agents. They struggled to adhere to company policies, with little visibility into those policies, and after all that, they spent even more time on tedious expense reports after a trip. We felt the pain of finance teams struggling to gain visibility into fragmented travel spending and to enforce policies, and the frustration of suppliers unable to connect directly with the high-value business travelers they sought to serve.</w:t>
      </w:r>
    </w:p>
    <w:p>
      <w:pPr>
        <w:spacing w:after="0" w:line="125" w:lineRule="exact"/>
        <w:rPr>
          <w:sz w:val="20"/>
          <w:szCs w:val="20"/>
          <w:color w:val="auto"/>
        </w:rPr>
      </w:pPr>
    </w:p>
    <w:p>
      <w:pPr>
        <w:jc w:val="both"/>
        <w:ind w:left="680" w:right="120" w:firstLine="324"/>
        <w:spacing w:after="0" w:line="272" w:lineRule="auto"/>
        <w:rPr>
          <w:sz w:val="20"/>
          <w:szCs w:val="20"/>
          <w:color w:val="auto"/>
        </w:rPr>
      </w:pPr>
      <w:r>
        <w:rPr>
          <w:rFonts w:ascii="Arial" w:cs="Arial" w:eastAsia="Arial" w:hAnsi="Arial"/>
          <w:sz w:val="17"/>
          <w:szCs w:val="17"/>
          <w:color w:val="auto"/>
        </w:rPr>
        <w:t>Navan challenges this status quo by putting all three constituents—users, customers, and suppliers—at the heart of an integrated global platform. With Navan, users enjoy intuitive, AI-powered booking that anticipates users’ needs and takes a fraction of the time of legacy booking systems. Users also get expense management and clear policy guidance built-in.</w:t>
      </w:r>
    </w:p>
    <w:p>
      <w:pPr>
        <w:spacing w:after="0" w:line="1" w:lineRule="exact"/>
        <w:rPr>
          <w:sz w:val="20"/>
          <w:szCs w:val="20"/>
          <w:color w:val="auto"/>
        </w:rPr>
      </w:pPr>
    </w:p>
    <w:p>
      <w:pPr>
        <w:jc w:val="both"/>
        <w:ind w:left="680" w:right="40"/>
        <w:spacing w:after="0" w:line="258" w:lineRule="auto"/>
        <w:rPr>
          <w:sz w:val="20"/>
          <w:szCs w:val="20"/>
          <w:color w:val="auto"/>
        </w:rPr>
      </w:pPr>
      <w:r>
        <w:rPr>
          <w:rFonts w:ascii="Arial" w:cs="Arial" w:eastAsia="Arial" w:hAnsi="Arial"/>
          <w:sz w:val="18"/>
          <w:szCs w:val="18"/>
          <w:color w:val="auto"/>
        </w:rPr>
        <w:t>Customers gain real-time visibility, cost control, and safety oversight, and suppliers gain direct access to the customers who matter most. Instead of having to compromise, every group benefits, and the whole network becomes greater than the sum of its parts.</w:t>
      </w:r>
    </w:p>
    <w:p>
      <w:pPr>
        <w:spacing w:after="0" w:line="124" w:lineRule="exact"/>
        <w:rPr>
          <w:sz w:val="20"/>
          <w:szCs w:val="20"/>
          <w:color w:val="auto"/>
        </w:rPr>
      </w:pPr>
    </w:p>
    <w:p>
      <w:pPr>
        <w:ind w:left="680" w:firstLine="324"/>
        <w:spacing w:after="0" w:line="262" w:lineRule="auto"/>
        <w:rPr>
          <w:sz w:val="20"/>
          <w:szCs w:val="20"/>
          <w:color w:val="auto"/>
        </w:rPr>
      </w:pPr>
      <w:r>
        <w:rPr>
          <w:rFonts w:ascii="Arial" w:cs="Arial" w:eastAsia="Arial" w:hAnsi="Arial"/>
          <w:sz w:val="18"/>
          <w:szCs w:val="18"/>
          <w:color w:val="auto"/>
        </w:rPr>
        <w:t>Navan was built on the premise that to win, all players in the ecosystem must be integrated on one platform with AI at its core. Our platform was built from the ground up to connect distinct stakeholders, and unify traditionally disparate product features, through a single system that unlocks new efficiencies and experiences. By building true connectivity into the core of its cohesive offering, Navan is unlocking a smarter, more rewarding future for travel—one where everyone wins.</w:t>
      </w:r>
    </w:p>
    <w:p>
      <w:pPr>
        <w:spacing w:after="0" w:line="122" w:lineRule="exact"/>
        <w:rPr>
          <w:sz w:val="20"/>
          <w:szCs w:val="20"/>
          <w:color w:val="auto"/>
        </w:rPr>
      </w:pPr>
    </w:p>
    <w:p>
      <w:pPr>
        <w:jc w:val="both"/>
        <w:ind w:left="680" w:right="140" w:firstLine="324"/>
        <w:spacing w:after="0" w:line="272" w:lineRule="auto"/>
        <w:rPr>
          <w:sz w:val="20"/>
          <w:szCs w:val="20"/>
          <w:color w:val="auto"/>
        </w:rPr>
      </w:pPr>
      <w:r>
        <w:rPr>
          <w:rFonts w:ascii="Arial" w:cs="Arial" w:eastAsia="Arial" w:hAnsi="Arial"/>
          <w:sz w:val="17"/>
          <w:szCs w:val="17"/>
          <w:color w:val="auto"/>
        </w:rPr>
        <w:t>The Navan platform creates a powerful flywheel effect where the user, customer, and supplier benefits reinforce each other. Our enterprise-grade platform is characterized by its intuitive design, ease of use, and tangible time-saving features, which foster a user-centric experience that travelers genuinely appreciate. This is reflected in our overall CSAT score of</w:t>
      </w:r>
    </w:p>
    <w:p>
      <w:pPr>
        <w:spacing w:after="0" w:line="1" w:lineRule="exact"/>
        <w:rPr>
          <w:sz w:val="20"/>
          <w:szCs w:val="20"/>
          <w:color w:val="auto"/>
        </w:rPr>
      </w:pPr>
    </w:p>
    <w:p>
      <w:pPr>
        <w:ind w:left="680" w:right="100" w:firstLine="350"/>
        <w:spacing w:after="0" w:line="258" w:lineRule="auto"/>
        <w:rPr>
          <w:sz w:val="20"/>
          <w:szCs w:val="20"/>
          <w:color w:val="auto"/>
        </w:rPr>
      </w:pPr>
      <w:r>
        <w:rPr>
          <w:rFonts w:ascii="Arial" w:cs="Arial" w:eastAsia="Arial" w:hAnsi="Arial"/>
          <w:sz w:val="18"/>
          <w:szCs w:val="18"/>
          <w:color w:val="auto"/>
        </w:rPr>
        <w:t>, our virtual agent CSAT score of , and NPS of , each as of , 2025. When frequent travelers have a positive, efficient experience and earn rewards, they are more likely to use Navan. The increased adoption gives the customer greater visibility into spending, stronger policy control, and cost savings, making them more invested in the</w:t>
      </w:r>
    </w:p>
    <w:p>
      <w:pPr>
        <w:sectPr>
          <w:pgSz w:w="11900" w:h="16838" w:orient="portrait"/>
          <w:cols w:equalWidth="0" w:num="1">
            <w:col w:w="10540"/>
          </w:cols>
          <w:pgMar w:left="320" w:top="122"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40"/>
          </w:cols>
          <w:pgMar w:left="320" w:top="122" w:right="10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7127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240"/>
        <w:spacing w:after="0" w:line="268" w:lineRule="auto"/>
        <w:rPr>
          <w:sz w:val="20"/>
          <w:szCs w:val="20"/>
          <w:color w:val="auto"/>
        </w:rPr>
      </w:pPr>
      <w:r>
        <w:rPr>
          <w:rFonts w:ascii="Arial" w:cs="Arial" w:eastAsia="Arial" w:hAnsi="Arial"/>
          <w:sz w:val="18"/>
          <w:szCs w:val="18"/>
          <w:color w:val="auto"/>
        </w:rPr>
        <w:t>platform. This, in turn, attracts more suppliers who want access to our large and loyal user base. With more suppliers and inventory available, we can offer better options and competitive pricing, further enhancing the experience for frequent travelers. This virtuous cycle strengthens each flywheel, creating a robust and self-sustaining ecosystem.</w:t>
      </w:r>
    </w:p>
    <w:p>
      <w:pPr>
        <w:spacing w:after="0" w:line="117" w:lineRule="exact"/>
        <w:rPr>
          <w:sz w:val="20"/>
          <w:szCs w:val="20"/>
          <w:color w:val="auto"/>
        </w:rPr>
      </w:pPr>
    </w:p>
    <w:p>
      <w:pPr>
        <w:ind w:left="680" w:right="60" w:firstLine="324"/>
        <w:spacing w:after="0" w:line="254" w:lineRule="auto"/>
        <w:rPr>
          <w:sz w:val="20"/>
          <w:szCs w:val="20"/>
          <w:color w:val="auto"/>
        </w:rPr>
      </w:pPr>
      <w:r>
        <w:rPr>
          <w:rFonts w:ascii="Arial" w:cs="Arial" w:eastAsia="Arial" w:hAnsi="Arial"/>
          <w:sz w:val="18"/>
          <w:szCs w:val="18"/>
          <w:color w:val="auto"/>
        </w:rPr>
        <w:t>Our proprietary infrastructure, which we call Navan Cloud, enables us to provide global, real-time inventory for users and forms the foundation of our platform. We aggregate supply through direct supplier relationships, real-time API integrations, and a robust network of partnerships. From day one, Navan has leveraged artificial intelligence as a cornerstone of our platform. We built Navan Cognition, a new paradigm in AI-powered travel management. This proprietary framework enables us to create, train, deploy, and supervise specialized virtual agents that can handle many complex tasks previously requiring human intervention. We make every step of the pre-booking, in-travel, and post-trip process as delightful and automated as possible. In fiscal 2025, % of bookings were made online or through mobile applications on the Navan platform. Our users on average are able to book a trip in seven minutes, far faster than the industry average of 45 minutes, according to Booking.com. And, in the majority of cases, users can resolve trip changes with a virtual agent, which Navan was one of the first in its industry to offer.</w:t>
      </w:r>
    </w:p>
    <w:p>
      <w:pPr>
        <w:spacing w:after="0" w:line="131" w:lineRule="exact"/>
        <w:rPr>
          <w:sz w:val="20"/>
          <w:szCs w:val="20"/>
          <w:color w:val="auto"/>
        </w:rPr>
      </w:pPr>
    </w:p>
    <w:p>
      <w:pPr>
        <w:ind w:left="680" w:firstLine="324"/>
        <w:spacing w:after="0" w:line="256" w:lineRule="auto"/>
        <w:rPr>
          <w:sz w:val="20"/>
          <w:szCs w:val="20"/>
          <w:color w:val="auto"/>
        </w:rPr>
      </w:pPr>
      <w:r>
        <w:rPr>
          <w:rFonts w:ascii="Arial" w:cs="Arial" w:eastAsia="Arial" w:hAnsi="Arial"/>
          <w:sz w:val="18"/>
          <w:szCs w:val="18"/>
          <w:color w:val="auto"/>
        </w:rPr>
        <w:t>Our strategy is to land a customer with our Travel offering, delight our users and customers, broaden their engagement with Navan, and seek to manage all of their payments, expenses, VIP needs, meetings and events, and bleisure travel on our platform. As of , 2025, % of customers attached to three or more offerings. Because Navan unifies all aspects of travel in one system, it is used by employees across departments and seniority levels, driving deep organizational adoption. This integrated approach streamlines trip planning, digitizes in-trip expenses, and automates post-trip reconciliation, all while enhancing the overall customer experience. Our platform also provides actionable analytics and intelligence for managers to monitor and approve travel and entertainment spend in real-time.</w:t>
      </w:r>
    </w:p>
    <w:p>
      <w:pPr>
        <w:spacing w:after="0" w:line="129" w:lineRule="exact"/>
        <w:rPr>
          <w:sz w:val="20"/>
          <w:szCs w:val="20"/>
          <w:color w:val="auto"/>
        </w:rPr>
      </w:pPr>
    </w:p>
    <w:p>
      <w:pPr>
        <w:ind w:left="680" w:right="240" w:firstLine="324"/>
        <w:spacing w:after="0" w:line="257" w:lineRule="auto"/>
        <w:rPr>
          <w:sz w:val="20"/>
          <w:szCs w:val="20"/>
          <w:color w:val="auto"/>
        </w:rPr>
      </w:pPr>
      <w:r>
        <w:rPr>
          <w:rFonts w:ascii="Arial" w:cs="Arial" w:eastAsia="Arial" w:hAnsi="Arial"/>
          <w:sz w:val="18"/>
          <w:szCs w:val="18"/>
          <w:color w:val="auto"/>
        </w:rPr>
        <w:t>Our platform is easy-to-use, yet powerful enough to address customers of all sizes across any industry vertical. As of January 31, 2025, we had over 10,000 active customers up 27% from over 8,000 active customers as of fiscal 2024. Our revenue grew 33% year-over-year from $402 million in fiscal 2024 to $537 million in fiscal 2025. Our net loss decreased 45% year-over-year from $332 million in fiscal 2024 to $181 million in fiscal 2025. Our gross booking volume grew 32% year-over-year from $5.0 billion in fiscal 2024 to $6.6 billion in fiscal 2025. Our payment volume grew 35% year-over-year from $2.7 billion in fiscal 2024 to $3.7 billion in fiscal 2025.</w:t>
      </w:r>
    </w:p>
    <w:p>
      <w:pPr>
        <w:spacing w:after="0" w:line="128" w:lineRule="exact"/>
        <w:rPr>
          <w:sz w:val="20"/>
          <w:szCs w:val="20"/>
          <w:color w:val="auto"/>
        </w:rPr>
      </w:pPr>
    </w:p>
    <w:p>
      <w:pPr>
        <w:ind w:left="680" w:right="80" w:firstLine="324"/>
        <w:spacing w:after="0" w:line="272" w:lineRule="auto"/>
        <w:rPr>
          <w:sz w:val="20"/>
          <w:szCs w:val="20"/>
          <w:color w:val="auto"/>
        </w:rPr>
      </w:pPr>
      <w:r>
        <w:rPr>
          <w:rFonts w:ascii="Arial" w:cs="Arial" w:eastAsia="Arial" w:hAnsi="Arial"/>
          <w:sz w:val="17"/>
          <w:szCs w:val="17"/>
          <w:color w:val="auto"/>
        </w:rPr>
        <w:t>Our proprietary AI framework, Navan Cognition, significantly enhances support capabilities and has improved our gross margins, while leveraging powerful technology capabilities across our platform, making Navan an increasingly formidable competitor. For example, our AI-powered virtual agent chatbot, Ava, was capable of effectively handling % of customer</w:t>
      </w:r>
    </w:p>
    <w:p>
      <w:pPr>
        <w:spacing w:after="0" w:line="1" w:lineRule="exact"/>
        <w:rPr>
          <w:sz w:val="20"/>
          <w:szCs w:val="20"/>
          <w:color w:val="auto"/>
        </w:rPr>
      </w:pPr>
    </w:p>
    <w:p>
      <w:pPr>
        <w:ind w:left="680" w:right="180"/>
        <w:spacing w:after="0" w:line="254" w:lineRule="auto"/>
        <w:rPr>
          <w:sz w:val="20"/>
          <w:szCs w:val="20"/>
          <w:color w:val="auto"/>
        </w:rPr>
      </w:pPr>
      <w:r>
        <w:rPr>
          <w:rFonts w:ascii="Arial" w:cs="Arial" w:eastAsia="Arial" w:hAnsi="Arial"/>
          <w:sz w:val="18"/>
          <w:szCs w:val="18"/>
          <w:color w:val="auto"/>
        </w:rPr>
        <w:t>interactions as of , 2025. Our U.S. Generally Accepted Accounting Principles, or GAAP, gross margin improved from 60% in fiscal 2024 to 68% in fiscal 2025. Our non-GAAP gross margin improved from 62% in fiscal 2024 to 69% in fiscal 2025. See the section titled “Management’s Discussion and Analysis of Financial Condition and Results of Operations— Non-GAAP Financial Measures” for information regarding our use of non-GAAP gross margin and a reconciliation of gross margin to non-GAAP gross margin.</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Limitations of Existing Solutions for Key Stakeholders in Business Travel</w:t>
      </w:r>
    </w:p>
    <w:p>
      <w:pPr>
        <w:spacing w:after="0" w:line="171" w:lineRule="exact"/>
        <w:rPr>
          <w:sz w:val="20"/>
          <w:szCs w:val="20"/>
          <w:color w:val="auto"/>
        </w:rPr>
      </w:pPr>
    </w:p>
    <w:p>
      <w:pPr>
        <w:ind w:left="1320" w:right="200" w:hanging="322"/>
        <w:spacing w:after="0" w:line="256"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For Travelers</w:t>
      </w:r>
      <w:r>
        <w:rPr>
          <w:rFonts w:ascii="Arial" w:cs="Arial" w:eastAsia="Arial" w:hAnsi="Arial"/>
          <w:sz w:val="18"/>
          <w:szCs w:val="18"/>
          <w:color w:val="auto"/>
        </w:rPr>
        <w:t>: When working with legacy solutions, users are forced to navigate a global web of challenging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interfaces that present limited booking options and offer little guidance on company travel and expense policy. It is difficult to assess which travel options are compliant with company policy, especially as users rely heavily on live booking agents to assist. Additionally, travelers are tasked with the frustrating process of tracking and uploading receipts, filling out cumbersome forms, and often needing to front personal dollars for their company spend. Travelers who book outside of approved systems can also miss critical travel alerts and support services provided by corporate programs.</w:t>
      </w:r>
    </w:p>
    <w:p>
      <w:pPr>
        <w:sectPr>
          <w:pgSz w:w="11900" w:h="16838" w:orient="portrait"/>
          <w:cols w:equalWidth="0" w:num="1">
            <w:col w:w="10560"/>
          </w:cols>
          <w:pgMar w:left="320" w:top="229"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60"/>
          </w:cols>
          <w:pgMar w:left="320" w:top="229" w:right="10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7299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20" w:hanging="322"/>
        <w:spacing w:after="0" w:line="256"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 Companies</w:t>
      </w:r>
      <w:r>
        <w:rPr>
          <w:rFonts w:ascii="Arial" w:cs="Arial" w:eastAsia="Arial" w:hAnsi="Arial"/>
          <w:sz w:val="18"/>
          <w:szCs w:val="18"/>
          <w:color w:val="auto"/>
        </w:rPr>
        <w:t>: Frustration with limited booking options, siloed systems, and poor user experience can often lead to</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adoption of systems by travelers. Existing solutions may require travelers to book or modify travel through a travel agent, resulting in the company paying additional fees. Companies also lose the cost-saving benefits from negotiated corporate discounts and volume commitments, increasing overall travel costs. Without centralized booking, companies also struggle to track and manage travel spend effectively, undermining budget control and forecasting. Low adoption of T&amp;E solutions also impairs a company’s ability to locate and assist travelers during emergencies, such as natural disasters or geopolitical crises, exposing companies to legal and reputational risks.</w:t>
      </w:r>
    </w:p>
    <w:p>
      <w:pPr>
        <w:spacing w:after="0" w:line="128" w:lineRule="exact"/>
        <w:rPr>
          <w:rFonts w:ascii="Arial" w:cs="Arial" w:eastAsia="Arial" w:hAnsi="Arial"/>
          <w:sz w:val="18"/>
          <w:szCs w:val="18"/>
          <w:color w:val="auto"/>
        </w:rPr>
      </w:pPr>
    </w:p>
    <w:p>
      <w:pPr>
        <w:ind w:left="1320" w:right="100" w:hanging="322"/>
        <w:spacing w:after="0" w:line="256"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 Suppliers</w:t>
      </w:r>
      <w:r>
        <w:rPr>
          <w:rFonts w:ascii="Arial" w:cs="Arial" w:eastAsia="Arial" w:hAnsi="Arial"/>
          <w:sz w:val="18"/>
          <w:szCs w:val="18"/>
          <w:color w:val="auto"/>
        </w:rPr>
        <w:t>: Fragmented, legacy travel infrastructure makes it more challenging for suppliers to consistently</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 large base of frequent travelers given user dissatisfaction and frequency of off-platform spend. Travel infrastructure providers may not have invested in their technology to enable suppliers to present their inventory in a way that differentiates their offerings, including more granular details about class fares, seating options, description of amenities, and other benefits. In addition, legacy players can lack brand experience, preventing suppliers from showcasing unique products, building loyalty with frequent travelers, or facilitating the opportunity to upsell additional products and services for suppliers.</w:t>
      </w:r>
    </w:p>
    <w:p>
      <w:pPr>
        <w:spacing w:after="0" w:line="129" w:lineRule="exact"/>
        <w:rPr>
          <w:sz w:val="20"/>
          <w:szCs w:val="20"/>
          <w:color w:val="auto"/>
        </w:rPr>
      </w:pPr>
    </w:p>
    <w:p>
      <w:pPr>
        <w:ind w:left="680" w:right="60" w:firstLine="324"/>
        <w:spacing w:after="0" w:line="262" w:lineRule="auto"/>
        <w:rPr>
          <w:sz w:val="20"/>
          <w:szCs w:val="20"/>
          <w:color w:val="auto"/>
        </w:rPr>
      </w:pPr>
      <w:r>
        <w:rPr>
          <w:rFonts w:ascii="Arial" w:cs="Arial" w:eastAsia="Arial" w:hAnsi="Arial"/>
          <w:sz w:val="18"/>
          <w:szCs w:val="18"/>
          <w:color w:val="auto"/>
        </w:rPr>
        <w:t>These disjointed steps to book business travel and manage expenses are not designed with the user in mind, resulting in inefficiencies, frustration, data silos, lack of convenience, and flexibility, and limited spend control and policy enforcement. We believe that traditional T&amp;E platforms have limited adoption in the market because they are expensive and have significant implementation requirements that limit their feasibility. Navan was built to solve these challenges.</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Solution</w:t>
      </w:r>
    </w:p>
    <w:p>
      <w:pPr>
        <w:spacing w:after="0" w:line="171" w:lineRule="exact"/>
        <w:rPr>
          <w:sz w:val="20"/>
          <w:szCs w:val="20"/>
          <w:color w:val="auto"/>
        </w:rPr>
      </w:pPr>
    </w:p>
    <w:p>
      <w:pPr>
        <w:ind w:left="680" w:firstLine="324"/>
        <w:spacing w:after="0" w:line="268" w:lineRule="auto"/>
        <w:rPr>
          <w:sz w:val="20"/>
          <w:szCs w:val="20"/>
          <w:color w:val="auto"/>
        </w:rPr>
      </w:pPr>
      <w:r>
        <w:rPr>
          <w:rFonts w:ascii="Arial" w:cs="Arial" w:eastAsia="Arial" w:hAnsi="Arial"/>
          <w:sz w:val="18"/>
          <w:szCs w:val="18"/>
          <w:color w:val="auto"/>
        </w:rPr>
        <w:t>Our end-to-end, AI-powered software platform is purpose-built to deliver a personalized global travel booking experience for our users, combined with next-generation expense management and payments solutions that provide real-time visibility and control over T&amp;E spend.</w:t>
      </w:r>
    </w:p>
    <w:p>
      <w:pPr>
        <w:spacing w:after="0" w:line="117" w:lineRule="exact"/>
        <w:rPr>
          <w:sz w:val="20"/>
          <w:szCs w:val="20"/>
          <w:color w:val="auto"/>
        </w:rPr>
      </w:pPr>
    </w:p>
    <w:p>
      <w:pPr>
        <w:ind w:left="1320" w:right="20" w:hanging="322"/>
        <w:spacing w:after="0" w:line="255" w:lineRule="auto"/>
        <w:tabs>
          <w:tab w:leader="none" w:pos="13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Navan Cloud—The Infrastructure of Our Travel Experience</w:t>
      </w:r>
      <w:r>
        <w:rPr>
          <w:rFonts w:ascii="Arial" w:cs="Arial" w:eastAsia="Arial" w:hAnsi="Arial"/>
          <w:sz w:val="18"/>
          <w:szCs w:val="18"/>
          <w:color w:val="auto"/>
        </w:rPr>
        <w:t>: We built our proprietary technology and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from the ground up to provide a global, real-time inventory that maximizes choice for our users. Our platform is truly global, with broad inventory including smaller suppliers, and our human and virtual agents have access to all of the bookings on our platform, globally. Acting as a proprietary, in-house aggregator platform, our highly scalable Navan Cloud aggregates and dynamically accesses our broad inventory through direct relationships, API integrations, and partnerships to provide high levels of choice. Our direct connections and integrations give us access to sell over 600 airlines via GDSs, NDC, and LCCs, and over two million individual lodging properties through our platform globally. We have connections to over 200 banks and partnerships with multiple issuing partners in Navan Cloud.</w:t>
      </w:r>
    </w:p>
    <w:p>
      <w:pPr>
        <w:spacing w:after="0" w:line="126" w:lineRule="exact"/>
        <w:rPr>
          <w:rFonts w:ascii="Arial" w:cs="Arial" w:eastAsia="Arial" w:hAnsi="Arial"/>
          <w:sz w:val="18"/>
          <w:szCs w:val="18"/>
          <w:color w:val="auto"/>
        </w:rPr>
      </w:pPr>
    </w:p>
    <w:p>
      <w:pPr>
        <w:ind w:left="1320" w:right="160" w:hanging="322"/>
        <w:spacing w:after="0" w:line="255" w:lineRule="auto"/>
        <w:tabs>
          <w:tab w:leader="none" w:pos="13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Navan Cognition—Our New Paradigm in AI-Powered Travel Management</w:t>
      </w:r>
      <w:r>
        <w:rPr>
          <w:rFonts w:ascii="Arial" w:cs="Arial" w:eastAsia="Arial" w:hAnsi="Arial"/>
          <w:sz w:val="18"/>
          <w:szCs w:val="18"/>
          <w:color w:val="auto"/>
        </w:rPr>
        <w:t>: Navan Cognition is our third-generation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proprietary AI framework that combines the precision and predictive power of ML with the reasoning capabilities of large language models, or LLMs. Navan Cognition is designed to leverage third-party LLMs in combination with our own proprietary, internally developed software to operate a modular framework of virtual agents using a graph-based workflow. On our platform, Navan Cognition enables us to create, train, deploy, and supervise our specialized virtual agents that can handle many complex tasks previously requiring human intervention. Designed with built-in safeguards and real-time oversight, Navan Cognition works to ensure that AI-driven actions are reliable, secure, and aligned with enterprise needs.</w:t>
      </w:r>
    </w:p>
    <w:p>
      <w:pPr>
        <w:spacing w:after="0" w:line="130" w:lineRule="exact"/>
        <w:rPr>
          <w:rFonts w:ascii="Arial" w:cs="Arial" w:eastAsia="Arial" w:hAnsi="Arial"/>
          <w:sz w:val="18"/>
          <w:szCs w:val="18"/>
          <w:color w:val="auto"/>
        </w:rPr>
      </w:pPr>
    </w:p>
    <w:p>
      <w:pPr>
        <w:ind w:left="1320" w:right="180" w:hanging="322"/>
        <w:spacing w:after="0" w:line="268" w:lineRule="auto"/>
        <w:tabs>
          <w:tab w:leader="none" w:pos="13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Navan Native Apps and Enterprise Integrations</w:t>
      </w:r>
      <w:r>
        <w:rPr>
          <w:rFonts w:ascii="Arial" w:cs="Arial" w:eastAsia="Arial" w:hAnsi="Arial"/>
          <w:sz w:val="18"/>
          <w:szCs w:val="18"/>
          <w:color w:val="auto"/>
        </w:rPr>
        <w:t>: We have developed simple and intuitive front-end experiences for</w:t>
      </w:r>
      <w:r>
        <w:rPr>
          <w:rFonts w:ascii="Arial" w:cs="Arial" w:eastAsia="Arial" w:hAnsi="Arial"/>
          <w:sz w:val="18"/>
          <w:szCs w:val="18"/>
          <w:i w:val="1"/>
          <w:iCs w:val="1"/>
          <w:color w:val="auto"/>
        </w:rPr>
        <w:t xml:space="preserve"> </w:t>
      </w:r>
      <w:r>
        <w:rPr>
          <w:rFonts w:ascii="Arial" w:cs="Arial" w:eastAsia="Arial" w:hAnsi="Arial"/>
          <w:sz w:val="18"/>
          <w:szCs w:val="18"/>
          <w:color w:val="auto"/>
        </w:rPr>
        <w:t>travel, payments, and expense management. Users can interface with our platform through web and mobile applications, omnichannel support, and white label travel</w:t>
      </w:r>
    </w:p>
    <w:p>
      <w:pPr>
        <w:sectPr>
          <w:pgSz w:w="11900" w:h="16838" w:orient="portrait"/>
          <w:cols w:equalWidth="0" w:num="1">
            <w:col w:w="10560"/>
          </w:cols>
          <w:pgMar w:left="320" w:top="229"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60"/>
          </w:cols>
          <w:pgMar w:left="320" w:top="229" w:right="10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7676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20"/>
        <w:spacing w:after="0" w:line="257" w:lineRule="auto"/>
        <w:rPr>
          <w:sz w:val="20"/>
          <w:szCs w:val="20"/>
          <w:color w:val="auto"/>
        </w:rPr>
      </w:pPr>
      <w:r>
        <w:rPr>
          <w:rFonts w:ascii="Arial" w:cs="Arial" w:eastAsia="Arial" w:hAnsi="Arial"/>
          <w:sz w:val="18"/>
          <w:szCs w:val="18"/>
          <w:color w:val="auto"/>
        </w:rPr>
        <w:t>solutions. We also offer deep enterprise integrations with leading human resource information systems, enterprise resource planning systems, and financial systems, which enable real-time syncing of employee directories, expense categories, and policy controls. This seamless connection also allows customers to streamline onboarding, enforce compliance automatically, and accelerate month-end reconciliation. By embedding Navan into existing enterprise infrastructure, finance and HR teams can maintain a single source of truth across systems and significantly reduce the operational burden of manual data entry and cross-platform coordination.</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Key Benefits of our Platform</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users experience the following key benefits:</w:t>
      </w:r>
    </w:p>
    <w:p>
      <w:pPr>
        <w:spacing w:after="0" w:line="171" w:lineRule="exact"/>
        <w:rPr>
          <w:sz w:val="20"/>
          <w:szCs w:val="20"/>
          <w:color w:val="auto"/>
        </w:rPr>
      </w:pPr>
    </w:p>
    <w:p>
      <w:pPr>
        <w:ind w:left="1320" w:right="400" w:hanging="322"/>
        <w:spacing w:after="0" w:line="268" w:lineRule="auto"/>
        <w:tabs>
          <w:tab w:leader="none" w:pos="131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Highly personalized experience</w:t>
      </w:r>
      <w:r>
        <w:rPr>
          <w:rFonts w:ascii="Arial" w:cs="Arial" w:eastAsia="Arial" w:hAnsi="Arial"/>
          <w:sz w:val="18"/>
          <w:szCs w:val="18"/>
          <w:color w:val="auto"/>
        </w:rPr>
        <w:t>. Our AI capabilities enable us to curate results based on the user’s past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preferences, trips, and travel. The more a user spends on our platform, the more we can deliver a personalized experience.</w:t>
      </w:r>
    </w:p>
    <w:p>
      <w:pPr>
        <w:spacing w:after="0" w:line="116" w:lineRule="exact"/>
        <w:rPr>
          <w:rFonts w:ascii="Arial" w:cs="Arial" w:eastAsia="Arial" w:hAnsi="Arial"/>
          <w:sz w:val="18"/>
          <w:szCs w:val="18"/>
          <w:color w:val="auto"/>
        </w:rPr>
      </w:pPr>
    </w:p>
    <w:p>
      <w:pPr>
        <w:ind w:left="1320" w:right="160" w:hanging="322"/>
        <w:spacing w:after="0" w:line="268" w:lineRule="auto"/>
        <w:tabs>
          <w:tab w:leader="none" w:pos="131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Centralized platform for user needs</w:t>
      </w:r>
      <w:r>
        <w:rPr>
          <w:rFonts w:ascii="Arial" w:cs="Arial" w:eastAsia="Arial" w:hAnsi="Arial"/>
          <w:sz w:val="18"/>
          <w:szCs w:val="18"/>
          <w:color w:val="auto"/>
        </w:rPr>
        <w:t>. Previously, users relied on a fragmented set of point solutions that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users to toggle between multiple applications. With Navan, users can find what they need all in one place. In fiscal 2025, % of bookings were made online or through mobile applications on our platform.</w:t>
      </w:r>
    </w:p>
    <w:p>
      <w:pPr>
        <w:spacing w:after="0" w:line="116" w:lineRule="exact"/>
        <w:rPr>
          <w:rFonts w:ascii="Arial" w:cs="Arial" w:eastAsia="Arial" w:hAnsi="Arial"/>
          <w:sz w:val="18"/>
          <w:szCs w:val="18"/>
          <w:color w:val="auto"/>
        </w:rPr>
      </w:pPr>
    </w:p>
    <w:p>
      <w:pPr>
        <w:ind w:left="1320" w:right="40" w:hanging="322"/>
        <w:spacing w:after="0" w:line="262" w:lineRule="auto"/>
        <w:tabs>
          <w:tab w:leader="none" w:pos="131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Differentiated support experience</w:t>
      </w:r>
      <w:r>
        <w:rPr>
          <w:rFonts w:ascii="Arial" w:cs="Arial" w:eastAsia="Arial" w:hAnsi="Arial"/>
          <w:sz w:val="18"/>
          <w:szCs w:val="18"/>
          <w:color w:val="auto"/>
        </w:rPr>
        <w:t>. We offer an exceptional support experience that combines our self-serve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tools with 24/7 live service through chat or phone. Users can select from three different levels of support, typically connecting with a dedicated agent within minutes. More than % of interactions were being handled without live agent intervention as of , 2025.</w:t>
      </w:r>
    </w:p>
    <w:p>
      <w:pPr>
        <w:spacing w:after="0" w:line="122" w:lineRule="exact"/>
        <w:rPr>
          <w:rFonts w:ascii="Arial" w:cs="Arial" w:eastAsia="Arial" w:hAnsi="Arial"/>
          <w:sz w:val="18"/>
          <w:szCs w:val="18"/>
          <w:color w:val="auto"/>
        </w:rPr>
      </w:pPr>
    </w:p>
    <w:p>
      <w:pPr>
        <w:ind w:left="1320" w:right="140" w:hanging="322"/>
        <w:spacing w:after="0" w:line="262" w:lineRule="auto"/>
        <w:tabs>
          <w:tab w:leader="none" w:pos="131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Increased productivity. </w:t>
      </w:r>
      <w:r>
        <w:rPr>
          <w:rFonts w:ascii="Arial" w:cs="Arial" w:eastAsia="Arial" w:hAnsi="Arial"/>
          <w:sz w:val="18"/>
          <w:szCs w:val="18"/>
          <w:color w:val="auto"/>
        </w:rPr>
        <w:t>Our platform makes changes simple and fast. Users receive timely notifications as a trip</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approaches, and our AI-powered virtual agent chatbot, Ava, can make trip changes directly without involving a live agent. With Navan, the average time to book a trip is seven minutes, compared with 45 minutes through outside channels, according to Booking.com.</w:t>
      </w:r>
    </w:p>
    <w:p>
      <w:pPr>
        <w:spacing w:after="0" w:line="122" w:lineRule="exact"/>
        <w:rPr>
          <w:rFonts w:ascii="Arial" w:cs="Arial" w:eastAsia="Arial" w:hAnsi="Arial"/>
          <w:sz w:val="18"/>
          <w:szCs w:val="18"/>
          <w:color w:val="auto"/>
        </w:rPr>
      </w:pPr>
    </w:p>
    <w:p>
      <w:pPr>
        <w:ind w:left="1320" w:right="100" w:hanging="322"/>
        <w:spacing w:after="0" w:line="262" w:lineRule="auto"/>
        <w:tabs>
          <w:tab w:leader="none" w:pos="131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Ability to share in rewards</w:t>
      </w:r>
      <w:r>
        <w:rPr>
          <w:rFonts w:ascii="Arial" w:cs="Arial" w:eastAsia="Arial" w:hAnsi="Arial"/>
          <w:sz w:val="18"/>
          <w:szCs w:val="18"/>
          <w:color w:val="auto"/>
        </w:rPr>
        <w:t>. Our rewards program allows users to share in a portion of the savings realized by their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Our platform gives users a “price to beat,” designed to incentivize users to save money by focusing on what a booking should reasonably cost. Users can redeem rewards for personal travel, travel upgrades, or gift cards.</w:t>
      </w:r>
    </w:p>
    <w:p>
      <w:pPr>
        <w:spacing w:after="0" w:line="122" w:lineRule="exact"/>
        <w:rPr>
          <w:rFonts w:ascii="Arial" w:cs="Arial" w:eastAsia="Arial" w:hAnsi="Arial"/>
          <w:sz w:val="18"/>
          <w:szCs w:val="18"/>
          <w:color w:val="auto"/>
        </w:rPr>
      </w:pPr>
    </w:p>
    <w:p>
      <w:pPr>
        <w:ind w:left="1320" w:right="180" w:hanging="322"/>
        <w:spacing w:after="0" w:line="268" w:lineRule="auto"/>
        <w:tabs>
          <w:tab w:leader="none" w:pos="131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Real-time visibility into expenses and faster reimbursement process. </w:t>
      </w:r>
      <w:r>
        <w:rPr>
          <w:rFonts w:ascii="Arial" w:cs="Arial" w:eastAsia="Arial" w:hAnsi="Arial"/>
          <w:sz w:val="18"/>
          <w:szCs w:val="18"/>
          <w:color w:val="auto"/>
        </w:rPr>
        <w:t>Users are able to track expenses in real-time</w:t>
      </w:r>
      <w:r>
        <w:rPr>
          <w:rFonts w:ascii="Arial" w:cs="Arial" w:eastAsia="Arial" w:hAnsi="Arial"/>
          <w:sz w:val="18"/>
          <w:szCs w:val="18"/>
          <w:i w:val="1"/>
          <w:iCs w:val="1"/>
          <w:color w:val="auto"/>
        </w:rPr>
        <w:t xml:space="preserve"> </w:t>
      </w:r>
      <w:r>
        <w:rPr>
          <w:rFonts w:ascii="Arial" w:cs="Arial" w:eastAsia="Arial" w:hAnsi="Arial"/>
          <w:sz w:val="18"/>
          <w:szCs w:val="18"/>
          <w:color w:val="auto"/>
        </w:rPr>
        <w:t>and can easily check spend relative to per diems. Navan also streamlines the reimbursement process to enable users to get paid back faster.</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Customers experience the following key benefits:</w:t>
      </w:r>
    </w:p>
    <w:p>
      <w:pPr>
        <w:spacing w:after="0" w:line="171" w:lineRule="exact"/>
        <w:rPr>
          <w:sz w:val="20"/>
          <w:szCs w:val="20"/>
          <w:color w:val="auto"/>
        </w:rPr>
      </w:pPr>
    </w:p>
    <w:p>
      <w:pPr>
        <w:ind w:left="1320" w:right="60" w:hanging="322"/>
        <w:spacing w:after="0" w:line="262" w:lineRule="auto"/>
        <w:tabs>
          <w:tab w:leader="none" w:pos="131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Unified platform experience. </w:t>
      </w:r>
      <w:r>
        <w:rPr>
          <w:rFonts w:ascii="Arial" w:cs="Arial" w:eastAsia="Arial" w:hAnsi="Arial"/>
          <w:sz w:val="18"/>
          <w:szCs w:val="18"/>
          <w:color w:val="auto"/>
        </w:rPr>
        <w:t>Our intuitive interface and dedicated customer success teams simplify adoption across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Flexible payment options through Navan Connect, and our partnerships give customers the ability to choose their preferred mechanisms, making our platform intuitive and delightful to both travelers and administrators alike.</w:t>
      </w:r>
    </w:p>
    <w:p>
      <w:pPr>
        <w:spacing w:after="0" w:line="122" w:lineRule="exact"/>
        <w:rPr>
          <w:rFonts w:ascii="Arial" w:cs="Arial" w:eastAsia="Arial" w:hAnsi="Arial"/>
          <w:sz w:val="18"/>
          <w:szCs w:val="18"/>
          <w:color w:val="auto"/>
        </w:rPr>
      </w:pPr>
    </w:p>
    <w:p>
      <w:pPr>
        <w:ind w:left="1320" w:right="260" w:hanging="322"/>
        <w:spacing w:after="0" w:line="262" w:lineRule="auto"/>
        <w:tabs>
          <w:tab w:leader="none" w:pos="131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Increased user adoption of our platform for all travel, payments, and expense management needs. </w:t>
      </w:r>
      <w:r>
        <w:rPr>
          <w:rFonts w:ascii="Arial" w:cs="Arial" w:eastAsia="Arial" w:hAnsi="Arial"/>
          <w:sz w:val="18"/>
          <w:szCs w:val="18"/>
          <w:color w:val="auto"/>
        </w:rPr>
        <w:t>By enabling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ramp faster and incentivizing users to increase spend on our platform, we create visibility and cost savings for customers. We also allow companies to maintain their duty of care for users such as providing critical travel alerts or locating and assisting travelers during emergencies.</w:t>
      </w:r>
    </w:p>
    <w:p>
      <w:pPr>
        <w:spacing w:after="0" w:line="122" w:lineRule="exact"/>
        <w:rPr>
          <w:rFonts w:ascii="Arial" w:cs="Arial" w:eastAsia="Arial" w:hAnsi="Arial"/>
          <w:sz w:val="18"/>
          <w:szCs w:val="18"/>
          <w:color w:val="auto"/>
        </w:rPr>
      </w:pPr>
    </w:p>
    <w:p>
      <w:pPr>
        <w:ind w:left="1320" w:right="280" w:hanging="322"/>
        <w:spacing w:after="0" w:line="268" w:lineRule="auto"/>
        <w:tabs>
          <w:tab w:leader="none" w:pos="131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Real-time visibility into spend trends and ability to forecast costs</w:t>
      </w:r>
      <w:r>
        <w:rPr>
          <w:rFonts w:ascii="Arial" w:cs="Arial" w:eastAsia="Arial" w:hAnsi="Arial"/>
          <w:sz w:val="18"/>
          <w:szCs w:val="18"/>
          <w:color w:val="auto"/>
        </w:rPr>
        <w:t>. Our dashboards include company-specific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benchmarks and trend analysis across trips and travelers, enabling visibility into total and per-user spend in real-time. These reporting capabilities support proactive</w:t>
      </w:r>
    </w:p>
    <w:p>
      <w:pPr>
        <w:sectPr>
          <w:pgSz w:w="11900" w:h="16838" w:orient="portrait"/>
          <w:cols w:equalWidth="0" w:num="1">
            <w:col w:w="10540"/>
          </w:cols>
          <w:pgMar w:left="320" w:top="22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40"/>
          </w:cols>
          <w:pgMar w:left="320" w:top="229" w:right="10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6647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64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budgeting, save company cost, improve forecasting accuracy, and streamline reporting workflows.</w:t>
      </w:r>
    </w:p>
    <w:p>
      <w:pPr>
        <w:spacing w:after="0" w:line="171" w:lineRule="exact"/>
        <w:rPr>
          <w:sz w:val="20"/>
          <w:szCs w:val="20"/>
          <w:color w:val="auto"/>
        </w:rPr>
      </w:pPr>
    </w:p>
    <w:p>
      <w:pPr>
        <w:ind w:left="1320" w:right="140" w:hanging="322"/>
        <w:spacing w:after="0" w:line="268" w:lineRule="auto"/>
        <w:tabs>
          <w:tab w:leader="none" w:pos="1315"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Automated expense management. </w:t>
      </w:r>
      <w:r>
        <w:rPr>
          <w:rFonts w:ascii="Arial" w:cs="Arial" w:eastAsia="Arial" w:hAnsi="Arial"/>
          <w:sz w:val="18"/>
          <w:szCs w:val="18"/>
          <w:color w:val="auto"/>
        </w:rPr>
        <w:t>Navan automates the entire expense workflow, aiming to eliminate the need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to front personal money, chase down receipts, or fill out forms, while giving finance teams real-time visibility into spend, faster month-end close, and direct ERP integrations.</w:t>
      </w:r>
    </w:p>
    <w:p>
      <w:pPr>
        <w:spacing w:after="0" w:line="116" w:lineRule="exact"/>
        <w:rPr>
          <w:rFonts w:ascii="Arial" w:cs="Arial" w:eastAsia="Arial" w:hAnsi="Arial"/>
          <w:sz w:val="18"/>
          <w:szCs w:val="18"/>
          <w:color w:val="auto"/>
        </w:rPr>
      </w:pPr>
    </w:p>
    <w:p>
      <w:pPr>
        <w:ind w:left="1320" w:right="240" w:hanging="322"/>
        <w:spacing w:after="0" w:line="268" w:lineRule="auto"/>
        <w:tabs>
          <w:tab w:leader="none" w:pos="1315"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Deepest range of content on the market. </w:t>
      </w:r>
      <w:r>
        <w:rPr>
          <w:rFonts w:ascii="Arial" w:cs="Arial" w:eastAsia="Arial" w:hAnsi="Arial"/>
          <w:sz w:val="18"/>
          <w:szCs w:val="18"/>
          <w:color w:val="auto"/>
        </w:rPr>
        <w:t>Navan has direct connections and integrations with over 600 airlines via</w:t>
      </w:r>
      <w:r>
        <w:rPr>
          <w:rFonts w:ascii="Arial" w:cs="Arial" w:eastAsia="Arial" w:hAnsi="Arial"/>
          <w:sz w:val="18"/>
          <w:szCs w:val="18"/>
          <w:i w:val="1"/>
          <w:iCs w:val="1"/>
          <w:color w:val="auto"/>
        </w:rPr>
        <w:t xml:space="preserve"> </w:t>
      </w:r>
      <w:r>
        <w:rPr>
          <w:rFonts w:ascii="Arial" w:cs="Arial" w:eastAsia="Arial" w:hAnsi="Arial"/>
          <w:sz w:val="18"/>
          <w:szCs w:val="18"/>
          <w:color w:val="auto"/>
        </w:rPr>
        <w:t>GDSs, NDC, and LCCs and over two million lodging properties, which provide our customers with access to dynamic pricing and ultimately cost savings.</w:t>
      </w:r>
    </w:p>
    <w:p>
      <w:pPr>
        <w:spacing w:after="0" w:line="116" w:lineRule="exact"/>
        <w:rPr>
          <w:rFonts w:ascii="Arial" w:cs="Arial" w:eastAsia="Arial" w:hAnsi="Arial"/>
          <w:sz w:val="18"/>
          <w:szCs w:val="18"/>
          <w:color w:val="auto"/>
        </w:rPr>
      </w:pPr>
    </w:p>
    <w:p>
      <w:pPr>
        <w:ind w:left="680" w:right="80" w:hanging="6"/>
        <w:spacing w:after="0" w:line="259" w:lineRule="auto"/>
        <w:tabs>
          <w:tab w:leader="none" w:pos="1296"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Cost savings and reduced administrative burden. </w:t>
      </w:r>
      <w:r>
        <w:rPr>
          <w:rFonts w:ascii="Arial" w:cs="Arial" w:eastAsia="Arial" w:hAnsi="Arial"/>
          <w:sz w:val="18"/>
          <w:szCs w:val="18"/>
          <w:color w:val="auto"/>
        </w:rPr>
        <w:t>Cost savings from automation and operational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reduce administrative burden and enable customers to close their books faster. In fiscal 2025, customers using our platform realized median savings of approximately 15% on travel compared to their budgeted travel spend, with certain customers saving as much as 25%. We believe use of our platform also helps customers unlock greater value through time savings and reduced overhead, delivering a step change in total T&amp;E efficiency.</w:t>
      </w:r>
    </w:p>
    <w:p>
      <w:pPr>
        <w:spacing w:after="0" w:line="124" w:lineRule="exact"/>
        <w:rPr>
          <w:sz w:val="20"/>
          <w:szCs w:val="20"/>
          <w:color w:val="auto"/>
        </w:rPr>
      </w:pPr>
    </w:p>
    <w:p>
      <w:pPr>
        <w:ind w:left="680" w:right="400" w:firstLine="324"/>
        <w:spacing w:after="0" w:line="287" w:lineRule="auto"/>
        <w:rPr>
          <w:sz w:val="20"/>
          <w:szCs w:val="20"/>
          <w:color w:val="auto"/>
        </w:rPr>
      </w:pPr>
      <w:r>
        <w:rPr>
          <w:rFonts w:ascii="Arial" w:cs="Arial" w:eastAsia="Arial" w:hAnsi="Arial"/>
          <w:sz w:val="18"/>
          <w:szCs w:val="18"/>
          <w:color w:val="auto"/>
        </w:rPr>
        <w:t>Our global platform provides the following key benefits to our key categories of supplier partners (such as inventory suppliers and GDSs):</w:t>
      </w:r>
    </w:p>
    <w:p>
      <w:pPr>
        <w:spacing w:after="0" w:line="99" w:lineRule="exact"/>
        <w:rPr>
          <w:sz w:val="20"/>
          <w:szCs w:val="20"/>
          <w:color w:val="auto"/>
        </w:rPr>
      </w:pPr>
    </w:p>
    <w:p>
      <w:pPr>
        <w:jc w:val="both"/>
        <w:ind w:left="1320" w:hanging="322"/>
        <w:spacing w:after="0" w:line="268"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Direct access to high-value travelers. </w:t>
      </w:r>
      <w:r>
        <w:rPr>
          <w:rFonts w:ascii="Arial" w:cs="Arial" w:eastAsia="Arial" w:hAnsi="Arial"/>
          <w:sz w:val="18"/>
          <w:szCs w:val="18"/>
          <w:color w:val="auto"/>
        </w:rPr>
        <w:t>We give suppliers access to a large and highly engaged user base of frequent</w:t>
      </w:r>
      <w:r>
        <w:rPr>
          <w:rFonts w:ascii="Arial" w:cs="Arial" w:eastAsia="Arial" w:hAnsi="Arial"/>
          <w:sz w:val="18"/>
          <w:szCs w:val="18"/>
          <w:i w:val="1"/>
          <w:iCs w:val="1"/>
          <w:color w:val="auto"/>
        </w:rPr>
        <w:t xml:space="preserve"> </w:t>
      </w:r>
      <w:r>
        <w:rPr>
          <w:rFonts w:ascii="Arial" w:cs="Arial" w:eastAsia="Arial" w:hAnsi="Arial"/>
          <w:sz w:val="18"/>
          <w:szCs w:val="18"/>
          <w:color w:val="auto"/>
        </w:rPr>
        <w:t>travelers, enabling them to reach premium, high-margin customers in a consistent and repeatable way. This helps to drive better yield and more strategic distribution compared to fragmented legacy platforms.</w:t>
      </w:r>
    </w:p>
    <w:p>
      <w:pPr>
        <w:spacing w:after="0" w:line="116" w:lineRule="exact"/>
        <w:rPr>
          <w:rFonts w:ascii="Arial" w:cs="Arial" w:eastAsia="Arial" w:hAnsi="Arial"/>
          <w:sz w:val="18"/>
          <w:szCs w:val="18"/>
          <w:color w:val="auto"/>
        </w:rPr>
      </w:pPr>
    </w:p>
    <w:p>
      <w:pPr>
        <w:ind w:left="1320" w:right="140" w:hanging="322"/>
        <w:spacing w:after="0" w:line="262"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Flexible retailing and brand control. </w:t>
      </w:r>
      <w:r>
        <w:rPr>
          <w:rFonts w:ascii="Arial" w:cs="Arial" w:eastAsia="Arial" w:hAnsi="Arial"/>
          <w:sz w:val="18"/>
          <w:szCs w:val="18"/>
          <w:color w:val="auto"/>
        </w:rPr>
        <w:t>We provide a single, integrated system where suppliers can showcase brand-forward content, control fare and ancillary pricing, and iterate on their merchandising strategy in real-time. This allows suppliers to differentiate their offerings, adjust to market dynamics, and align their retail goals with how their products are discovered and booked by end users.</w:t>
      </w:r>
    </w:p>
    <w:p>
      <w:pPr>
        <w:spacing w:after="0" w:line="122" w:lineRule="exact"/>
        <w:rPr>
          <w:rFonts w:ascii="Arial" w:cs="Arial" w:eastAsia="Arial" w:hAnsi="Arial"/>
          <w:sz w:val="18"/>
          <w:szCs w:val="18"/>
          <w:color w:val="auto"/>
        </w:rPr>
      </w:pPr>
    </w:p>
    <w:p>
      <w:pPr>
        <w:ind w:left="1320" w:right="260" w:hanging="322"/>
        <w:spacing w:after="0" w:line="262"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Accelerated innovation through collaborative distribution. </w:t>
      </w:r>
      <w:r>
        <w:rPr>
          <w:rFonts w:ascii="Arial" w:cs="Arial" w:eastAsia="Arial" w:hAnsi="Arial"/>
          <w:sz w:val="18"/>
          <w:szCs w:val="18"/>
          <w:color w:val="auto"/>
        </w:rPr>
        <w:t>Our NDC enables us to have swift access to updates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travel distribution ecosystem and positions us as a partner to these suppliers. Suppliers can test, launch, and evolve their offerings in a controlled and collaborative environment, unlocking speed-to-market and visibility that legacy intermediaries often cannot provide.</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Market Opportunity</w:t>
      </w:r>
    </w:p>
    <w:p>
      <w:pPr>
        <w:spacing w:after="0" w:line="171" w:lineRule="exact"/>
        <w:rPr>
          <w:sz w:val="20"/>
          <w:szCs w:val="20"/>
          <w:color w:val="auto"/>
        </w:rPr>
      </w:pPr>
    </w:p>
    <w:p>
      <w:pPr>
        <w:ind w:left="680" w:firstLine="324"/>
        <w:spacing w:after="0" w:line="257" w:lineRule="auto"/>
        <w:rPr>
          <w:sz w:val="20"/>
          <w:szCs w:val="20"/>
          <w:color w:val="auto"/>
        </w:rPr>
      </w:pPr>
      <w:r>
        <w:rPr>
          <w:rFonts w:ascii="Arial" w:cs="Arial" w:eastAsia="Arial" w:hAnsi="Arial"/>
          <w:sz w:val="18"/>
          <w:szCs w:val="18"/>
          <w:color w:val="auto"/>
        </w:rPr>
        <w:t>Navan addresses a large, growing, and global total addressable market, or TAM, by providing an all-in-one software platform for customers of all sizes. Even in the face of macroeconomic uncertainty, our data suggests that companies continue to prioritize business travel. The Navan Business Travel Index, or Navan BTI, is our own proprietary indicator of the strength of the business travel economy, based on volume- and spend-based data derived from our platform. The Navan BTI indicates that business travel activity during the period from April 1, 2025 through June 30, 2025 grew at an annualized rate of 15% relative to the same period in 2024</w:t>
      </w:r>
      <w:r>
        <w:rPr>
          <w:rFonts w:ascii="Arial" w:cs="Arial" w:eastAsia="Arial" w:hAnsi="Arial"/>
          <w:sz w:val="18"/>
          <w:szCs w:val="18"/>
          <w:u w:val="single" w:color="auto"/>
          <w:color w:val="auto"/>
        </w:rPr>
        <w:t>.</w:t>
      </w:r>
    </w:p>
    <w:p>
      <w:pPr>
        <w:spacing w:after="0" w:line="128" w:lineRule="exact"/>
        <w:rPr>
          <w:sz w:val="20"/>
          <w:szCs w:val="20"/>
          <w:color w:val="auto"/>
        </w:rPr>
      </w:pPr>
    </w:p>
    <w:p>
      <w:pPr>
        <w:ind w:left="680" w:right="80" w:firstLine="324"/>
        <w:spacing w:after="0" w:line="268" w:lineRule="auto"/>
        <w:rPr>
          <w:sz w:val="20"/>
          <w:szCs w:val="20"/>
          <w:color w:val="auto"/>
        </w:rPr>
      </w:pPr>
      <w:r>
        <w:rPr>
          <w:rFonts w:ascii="Arial" w:cs="Arial" w:eastAsia="Arial" w:hAnsi="Arial"/>
          <w:sz w:val="18"/>
          <w:szCs w:val="18"/>
          <w:color w:val="auto"/>
        </w:rPr>
        <w:t>Our TAM spans travel management, both managed and traditionally unmanaged, as well as expense management and payments. We estimate the TAM for the services we offer today to be approximately $185 billion globally. To estimate our total TAM, we identified four categories of market opportunities: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320" w:top="229" w:right="10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7059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640"/>
        <w:spacing w:after="0" w:line="287" w:lineRule="auto"/>
        <w:rPr>
          <w:sz w:val="20"/>
          <w:szCs w:val="20"/>
          <w:color w:val="auto"/>
        </w:rPr>
      </w:pPr>
      <w:r>
        <w:rPr>
          <w:rFonts w:ascii="Arial" w:cs="Arial" w:eastAsia="Arial" w:hAnsi="Arial"/>
          <w:sz w:val="18"/>
          <w:szCs w:val="18"/>
          <w:color w:val="auto"/>
        </w:rPr>
        <w:t>managed and unmanaged business travel management, referred to as the managed and unmanaged categories, (2) bleisure, (3) expense management, and (4) payments.</w:t>
      </w:r>
    </w:p>
    <w:p>
      <w:pPr>
        <w:spacing w:after="0" w:line="99" w:lineRule="exact"/>
        <w:rPr>
          <w:sz w:val="20"/>
          <w:szCs w:val="20"/>
          <w:color w:val="auto"/>
        </w:rPr>
      </w:pPr>
    </w:p>
    <w:p>
      <w:pPr>
        <w:jc w:val="both"/>
        <w:ind w:left="1320" w:right="220" w:hanging="322"/>
        <w:spacing w:after="0" w:line="268"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Business Travel Management. </w:t>
      </w:r>
      <w:r>
        <w:rPr>
          <w:rFonts w:ascii="Arial" w:cs="Arial" w:eastAsia="Arial" w:hAnsi="Arial"/>
          <w:sz w:val="18"/>
          <w:szCs w:val="18"/>
          <w:color w:val="auto"/>
        </w:rPr>
        <w:t>We estimate our revenue opportunity in the business travel management category</w:t>
      </w:r>
      <w:r>
        <w:rPr>
          <w:rFonts w:ascii="Arial" w:cs="Arial" w:eastAsia="Arial" w:hAnsi="Arial"/>
          <w:sz w:val="18"/>
          <w:szCs w:val="18"/>
          <w:i w:val="1"/>
          <w:iCs w:val="1"/>
          <w:color w:val="auto"/>
        </w:rPr>
        <w:t xml:space="preserve"> </w:t>
      </w:r>
      <w:r>
        <w:rPr>
          <w:rFonts w:ascii="Arial" w:cs="Arial" w:eastAsia="Arial" w:hAnsi="Arial"/>
          <w:sz w:val="18"/>
          <w:szCs w:val="18"/>
          <w:color w:val="auto"/>
        </w:rPr>
        <w:t>today to be approximately $86 billion globally across both the managed and unmanaged categories, based on our own monetization of business travel.</w:t>
      </w:r>
    </w:p>
    <w:p>
      <w:pPr>
        <w:spacing w:after="0" w:line="116" w:lineRule="exact"/>
        <w:rPr>
          <w:rFonts w:ascii="Arial" w:cs="Arial" w:eastAsia="Arial" w:hAnsi="Arial"/>
          <w:sz w:val="18"/>
          <w:szCs w:val="18"/>
          <w:color w:val="auto"/>
        </w:rPr>
      </w:pPr>
    </w:p>
    <w:p>
      <w:pPr>
        <w:ind w:left="1320" w:right="60" w:hanging="322"/>
        <w:spacing w:after="0" w:line="262"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Bleisure</w:t>
      </w:r>
      <w:r>
        <w:rPr>
          <w:rFonts w:ascii="Arial" w:cs="Arial" w:eastAsia="Arial" w:hAnsi="Arial"/>
          <w:sz w:val="18"/>
          <w:szCs w:val="18"/>
          <w:color w:val="auto"/>
        </w:rPr>
        <w:t>. We estimate our revenue opportunity in the bleisure category today to be approximately $24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 Euromonitor report commissioned by us, the bleisure serviceable addressable market was estimated to be $324 billion in 2024, which when multiplied by our usage yield of approximately 7% for fiscal 2025 results in a revenue opportunity of $24 billion. We currently penetrate a small portion of this category.</w:t>
      </w:r>
    </w:p>
    <w:p>
      <w:pPr>
        <w:spacing w:after="0" w:line="122" w:lineRule="exact"/>
        <w:rPr>
          <w:rFonts w:ascii="Arial" w:cs="Arial" w:eastAsia="Arial" w:hAnsi="Arial"/>
          <w:sz w:val="18"/>
          <w:szCs w:val="18"/>
          <w:color w:val="auto"/>
        </w:rPr>
      </w:pPr>
    </w:p>
    <w:p>
      <w:pPr>
        <w:ind w:left="1320" w:right="140" w:hanging="322"/>
        <w:spacing w:after="0" w:line="259"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We estimate the revenue opportunity in the expense management category today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$39 billion globally. Our Expense Management offering is a software-driven expense and payments management system, and we calculate the $39 billion global addressable market by multiplying the total number of small-and-medium-sized businesses, according to FactSet data, by our internal estimate of average revenue per customer.</w:t>
      </w:r>
    </w:p>
    <w:p>
      <w:pPr>
        <w:spacing w:after="0" w:line="125" w:lineRule="exact"/>
        <w:rPr>
          <w:rFonts w:ascii="Arial" w:cs="Arial" w:eastAsia="Arial" w:hAnsi="Arial"/>
          <w:sz w:val="18"/>
          <w:szCs w:val="18"/>
          <w:color w:val="auto"/>
        </w:rPr>
      </w:pPr>
    </w:p>
    <w:p>
      <w:pPr>
        <w:ind w:left="1320" w:right="240" w:hanging="322"/>
        <w:spacing w:after="0" w:line="259"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 We estimate the revenue opportunity in the payments category based on total spending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$37 billion for fiscal 2025 globally. According to Euromonitor, commercial charge and credit card spend is estimated to be $3.1 trillion by the end of 2025. To calculate our addressable market in the payments category, we multiplied the total spend by our internal estimate of net interchange. We believe we have significant room to grow our relationship with partners and expand in the corporate card market opportunity.</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Growth Strategies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Key elements of our growth strategy include the following:</w:t>
      </w:r>
    </w:p>
    <w:p>
      <w:pPr>
        <w:spacing w:after="0" w:line="171" w:lineRule="exact"/>
        <w:rPr>
          <w:sz w:val="20"/>
          <w:szCs w:val="20"/>
          <w:color w:val="auto"/>
        </w:rPr>
      </w:pPr>
    </w:p>
    <w:p>
      <w:pPr>
        <w:ind w:left="1320" w:right="80" w:hanging="322"/>
        <w:spacing w:after="0" w:line="255" w:lineRule="auto"/>
        <w:tabs>
          <w:tab w:leader="none" w:pos="131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Add new customers to the Navan platform</w:t>
      </w:r>
      <w:r>
        <w:rPr>
          <w:rFonts w:ascii="Arial" w:cs="Arial" w:eastAsia="Arial" w:hAnsi="Arial"/>
          <w:sz w:val="18"/>
          <w:szCs w:val="18"/>
          <w:color w:val="auto"/>
        </w:rPr>
        <w:t>. We believe the market for our solutions is large. Our platform is intuitive</w:t>
      </w:r>
      <w:r>
        <w:rPr>
          <w:rFonts w:ascii="Arial" w:cs="Arial" w:eastAsia="Arial" w:hAnsi="Arial"/>
          <w:sz w:val="18"/>
          <w:szCs w:val="18"/>
          <w:i w:val="1"/>
          <w:iCs w:val="1"/>
          <w:color w:val="auto"/>
        </w:rPr>
        <w:t xml:space="preserve"> </w:t>
      </w:r>
      <w:r>
        <w:rPr>
          <w:rFonts w:ascii="Arial" w:cs="Arial" w:eastAsia="Arial" w:hAnsi="Arial"/>
          <w:sz w:val="18"/>
          <w:szCs w:val="18"/>
          <w:color w:val="auto"/>
        </w:rPr>
        <w:t>to use and scalable for customers of all sizes across industries and geographies. We believe that customers with travel and expense systems today (managed customers) are underserved by existing vendors and frustrated by the fragmented experience that they face via these solutions. In addition to this managed category of the market, we believe there is sizable greenfield opportunity in helping manage travel and expense spend across customers who do not have a travel and expense platform today. We believe our end-to-end, intuitive, and easy to implement solution is well positioned to meet the needs of both the managed and unmanaged categories, and we have successfully grown to have over 10,000 active customers as of January 31, 2025.</w:t>
      </w:r>
    </w:p>
    <w:p>
      <w:pPr>
        <w:spacing w:after="0" w:line="130" w:lineRule="exact"/>
        <w:rPr>
          <w:rFonts w:ascii="Arial" w:cs="Arial" w:eastAsia="Arial" w:hAnsi="Arial"/>
          <w:sz w:val="18"/>
          <w:szCs w:val="18"/>
          <w:color w:val="auto"/>
        </w:rPr>
      </w:pPr>
    </w:p>
    <w:p>
      <w:pPr>
        <w:ind w:left="1320" w:hanging="322"/>
        <w:spacing w:after="0" w:line="254" w:lineRule="auto"/>
        <w:tabs>
          <w:tab w:leader="none" w:pos="131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Drive higher penetration and adoption across our existing customers</w:t>
      </w:r>
      <w:r>
        <w:rPr>
          <w:rFonts w:ascii="Arial" w:cs="Arial" w:eastAsia="Arial" w:hAnsi="Arial"/>
          <w:sz w:val="18"/>
          <w:szCs w:val="18"/>
          <w:color w:val="auto"/>
        </w:rPr>
        <w:t>. We are focused on continuing to expand our</w:t>
      </w:r>
      <w:r>
        <w:rPr>
          <w:rFonts w:ascii="Arial" w:cs="Arial" w:eastAsia="Arial" w:hAnsi="Arial"/>
          <w:sz w:val="18"/>
          <w:szCs w:val="18"/>
          <w:i w:val="1"/>
          <w:iCs w:val="1"/>
          <w:color w:val="auto"/>
        </w:rPr>
        <w:t xml:space="preserve"> </w:t>
      </w:r>
      <w:r>
        <w:rPr>
          <w:rFonts w:ascii="Arial" w:cs="Arial" w:eastAsia="Arial" w:hAnsi="Arial"/>
          <w:sz w:val="18"/>
          <w:szCs w:val="18"/>
          <w:color w:val="auto"/>
        </w:rPr>
        <w:t>wallet share across existing customer relationships by driving cross-sell and increasing platform adoption. We typically land our customers with our Travel offering. We then help customers integrate additional offerings across our platform such as Corporate Payments, Expense Management, and VIP, based on the customer’s evolving needs, especially as the customer continues to grow and scale their own business and employee base. Our Bleisure capability expands this potential by enabling employees to seamlessly add personal travel to business trips, further deepening adoption and increasing engagement. This cross-sell motion remains a significant whitespace opportunity for us to grow within our customer base. In addition to benefiting from continued underlying growth in business travel spend, we also see significant opportunity for growth alongside our customers as they scale their underlying business and increase their investment in T&amp;E to support their growth. We also see opportunities to increase platform adoption across the existing user base for our customers.</w:t>
      </w:r>
    </w:p>
    <w:p>
      <w:pPr>
        <w:sectPr>
          <w:pgSz w:w="11900" w:h="16838" w:orient="portrait"/>
          <w:cols w:equalWidth="0" w:num="1">
            <w:col w:w="10580"/>
          </w:cols>
          <w:pgMar w:left="320" w:top="229"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80"/>
          </w:cols>
          <w:pgMar w:left="320" w:top="229"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6613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20" w:right="20" w:hanging="322"/>
        <w:spacing w:after="0" w:line="251"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Continue to invest in our platform and offerings. </w:t>
      </w:r>
      <w:r>
        <w:rPr>
          <w:rFonts w:ascii="Arial" w:cs="Arial" w:eastAsia="Arial" w:hAnsi="Arial"/>
          <w:sz w:val="18"/>
          <w:szCs w:val="18"/>
          <w:color w:val="auto"/>
        </w:rPr>
        <w:t>We have a strong history of technology innovation, and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ample opportunity for growth as we continue to invest in the development of our platform capabilities to serve current and future travelers and customers. Across our platform, we see a particularly strong opportunity to continue to scale our capabilities through the continued deployment of advanced technologies to streamline the overall booking experience for travelers and drive costs down for our customers, as well as evolve our customer-facing UI to further simplify and personalize their booking and support experience. In addition to our ML investments, we have invested heavily in deploying generative artificial intelligence, or Gen AI, capabilities to complement our ML-based capabilities, leading to our development of Navan Cognition. Navan Cognition is our innovative proprietary AI framework that combines the precision and predictive power of ML with the reasoning capabilities of LLMs. On our platform, Navan Cognition enables us to create, train, deploy, and supervise specialized virtual agents that can handle complex tasks previously requiring human intervention. Navan Cognition has also been core to helping improve the service offering of our platform without adding cost to our customers and enabling us to further optimize margins. We view our AI-enabled capabilities as core to our platform and expect the continued advancement of these capabilities to enable us to continuously improve user experiences, further streamline workflows and unlock new use cases, which should in turn continue to expand the value we are able to deliver to customers as we move forward. Looking ahead, we expect to continue to invest in Navan Cognition in order to further enable us, and potentially to enable outside organizations, to create and oversee AI-powered virtual agents with enterprise-grade reliability. We also expect to continue to invest in future product interface enhancements such as Navan Go, which is powered by Navan Cognition and designed to redefine how travelers book, modify, and manage trips on the go via their mobile devices. In addition to making investments to grow our platform organically, we have selectively pursued inorganic growth opportunities from time to time. Our history of acquisitions for both platform expansion and the development of greater geographic expertise has demonstrated our ability to grow effectively. Should the opportunity for future inorganic growth present itself for developing future capabilities, supplier relationships, geographic expertise, or other means of serving our travelers and customers, we may consider pursuing them.</w:t>
      </w:r>
    </w:p>
    <w:p>
      <w:pPr>
        <w:spacing w:after="0" w:line="150" w:lineRule="exact"/>
        <w:rPr>
          <w:rFonts w:ascii="Arial" w:cs="Arial" w:eastAsia="Arial" w:hAnsi="Arial"/>
          <w:sz w:val="18"/>
          <w:szCs w:val="18"/>
          <w:color w:val="auto"/>
        </w:rPr>
      </w:pPr>
    </w:p>
    <w:p>
      <w:pPr>
        <w:ind w:left="1320" w:hanging="322"/>
        <w:spacing w:after="0" w:line="254"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Grow our international presence. </w:t>
      </w:r>
      <w:r>
        <w:rPr>
          <w:rFonts w:ascii="Arial" w:cs="Arial" w:eastAsia="Arial" w:hAnsi="Arial"/>
          <w:sz w:val="18"/>
          <w:szCs w:val="18"/>
          <w:color w:val="auto"/>
        </w:rPr>
        <w:t>We continue to broaden the scope and extent of our offerings outside of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The inherently international nature of travel has meant that we invested in building out a global infrastructure for our platform from the very beginning. These early investments in integrating travel suppliers from across the globe, as well as the development of localized partner relationships has allowed us to offer a truly global inventory of travel offerings, as well as supplement our platform with regional knowledge, personalized support, and multi-currency payment services. For fiscal 2025, revenue generated from customers and suppliers outside of the United States represented 41% of our revenue, underscoring the success we have had to date in growing across international markets and the sizable opportunity that remains across those markets for us to increase our presence. We have been active in pursuing both organic and inorganic actions to expand the geographic reach of our platform and improve cross-selling capabilities of our offerings to international customers, with plans to continue to invest in these areas to drive continued growth across these international markets.</w:t>
      </w:r>
    </w:p>
    <w:p>
      <w:pPr>
        <w:spacing w:after="0" w:line="130"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Risk Factors Summary</w:t>
      </w:r>
    </w:p>
    <w:p>
      <w:pPr>
        <w:spacing w:after="0" w:line="169" w:lineRule="exact"/>
        <w:rPr>
          <w:sz w:val="20"/>
          <w:szCs w:val="20"/>
          <w:color w:val="auto"/>
        </w:rPr>
      </w:pPr>
    </w:p>
    <w:p>
      <w:pPr>
        <w:jc w:val="both"/>
        <w:ind w:left="680" w:right="340" w:firstLine="324"/>
        <w:spacing w:after="0" w:line="268" w:lineRule="auto"/>
        <w:rPr>
          <w:sz w:val="20"/>
          <w:szCs w:val="20"/>
          <w:color w:val="auto"/>
        </w:rPr>
      </w:pPr>
      <w:r>
        <w:rPr>
          <w:rFonts w:ascii="Arial" w:cs="Arial" w:eastAsia="Arial" w:hAnsi="Arial"/>
          <w:sz w:val="18"/>
          <w:szCs w:val="18"/>
          <w:color w:val="auto"/>
        </w:rPr>
        <w:t>Investing in our Class A common stock involves numerous risks, including those described in the section titled “Risk Factors” immediately following this prospectus summary and elsewhere in this prospectus. You should carefully consider these risks before making an investment. Below are some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320" w:top="229"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7745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74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320"/>
        <w:spacing w:after="0" w:line="287" w:lineRule="auto"/>
        <w:rPr>
          <w:sz w:val="20"/>
          <w:szCs w:val="20"/>
          <w:color w:val="auto"/>
        </w:rPr>
      </w:pPr>
      <w:r>
        <w:rPr>
          <w:rFonts w:ascii="Arial" w:cs="Arial" w:eastAsia="Arial" w:hAnsi="Arial"/>
          <w:sz w:val="18"/>
          <w:szCs w:val="18"/>
          <w:color w:val="auto"/>
        </w:rPr>
        <w:t>these risks, any one of which could negatively impact our business, financial condition, results of operations, and growth prospects.</w:t>
      </w:r>
    </w:p>
    <w:p>
      <w:pPr>
        <w:spacing w:after="0" w:line="99" w:lineRule="exact"/>
        <w:rPr>
          <w:sz w:val="20"/>
          <w:szCs w:val="20"/>
          <w:color w:val="auto"/>
        </w:rPr>
      </w:pPr>
    </w:p>
    <w:p>
      <w:pPr>
        <w:ind w:left="1320" w:right="320" w:hanging="322"/>
        <w:spacing w:after="0" w:line="268"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116" w:lineRule="exact"/>
        <w:rPr>
          <w:rFonts w:ascii="Arial" w:cs="Arial" w:eastAsia="Arial" w:hAnsi="Arial"/>
          <w:sz w:val="18"/>
          <w:szCs w:val="18"/>
          <w:color w:val="auto"/>
        </w:rPr>
      </w:pPr>
    </w:p>
    <w:p>
      <w:pPr>
        <w:ind w:left="1320" w:right="240" w:hanging="322"/>
        <w:spacing w:after="0" w:line="268"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revenue has historically been, and is expected to continue to be, significantly dependent on our Travel </w:t>
      </w:r>
      <w:r>
        <w:rPr>
          <w:rFonts w:ascii="Arial" w:cs="Arial" w:eastAsia="Arial" w:hAnsi="Arial"/>
          <w:sz w:val="18"/>
          <w:szCs w:val="18"/>
          <w:color w:val="auto"/>
          <w:highlight w:val="white"/>
        </w:rPr>
        <w:t>Management offerings, and a prolonged or substantial decrease in, or systemic disruptions to, global travel could adversely affect us.</w:t>
      </w:r>
    </w:p>
    <w:p>
      <w:pPr>
        <w:spacing w:after="0" w:line="116" w:lineRule="exact"/>
        <w:rPr>
          <w:rFonts w:ascii="Arial" w:cs="Arial" w:eastAsia="Arial" w:hAnsi="Arial"/>
          <w:sz w:val="18"/>
          <w:szCs w:val="18"/>
          <w:color w:val="auto"/>
        </w:rPr>
      </w:pPr>
    </w:p>
    <w:p>
      <w:pPr>
        <w:ind w:left="1320" w:right="400" w:hanging="322"/>
        <w:spacing w:after="0" w:line="287"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Shifts in business travel trends or any decline in business travel demand would negatively impact our business, </w:t>
      </w:r>
      <w:r>
        <w:rPr>
          <w:rFonts w:ascii="Arial" w:cs="Arial" w:eastAsia="Arial" w:hAnsi="Arial"/>
          <w:sz w:val="18"/>
          <w:szCs w:val="18"/>
          <w:color w:val="auto"/>
          <w:highlight w:val="white"/>
        </w:rPr>
        <w:t>growth, results of operations, and financial condition.</w:t>
      </w:r>
    </w:p>
    <w:p>
      <w:pPr>
        <w:spacing w:after="0" w:line="98" w:lineRule="exact"/>
        <w:rPr>
          <w:rFonts w:ascii="Arial" w:cs="Arial" w:eastAsia="Arial" w:hAnsi="Arial"/>
          <w:sz w:val="18"/>
          <w:szCs w:val="18"/>
          <w:color w:val="auto"/>
        </w:rPr>
      </w:pPr>
    </w:p>
    <w:p>
      <w:pPr>
        <w:ind w:left="1320" w:right="560" w:hanging="322"/>
        <w:spacing w:after="0" w:line="287"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We may be unable to attract new customers and grow our customer base, which would negatively impact our </w:t>
      </w:r>
      <w:r>
        <w:rPr>
          <w:rFonts w:ascii="Arial" w:cs="Arial" w:eastAsia="Arial" w:hAnsi="Arial"/>
          <w:sz w:val="18"/>
          <w:szCs w:val="18"/>
          <w:color w:val="auto"/>
          <w:highlight w:val="white"/>
        </w:rPr>
        <w:t>revenue growth and results of operations.</w:t>
      </w:r>
    </w:p>
    <w:p>
      <w:pPr>
        <w:spacing w:after="0" w:line="98" w:lineRule="exact"/>
        <w:rPr>
          <w:rFonts w:ascii="Arial" w:cs="Arial" w:eastAsia="Arial" w:hAnsi="Arial"/>
          <w:sz w:val="18"/>
          <w:szCs w:val="18"/>
          <w:color w:val="auto"/>
        </w:rPr>
      </w:pPr>
    </w:p>
    <w:p>
      <w:pPr>
        <w:jc w:val="both"/>
        <w:ind w:left="1320" w:right="60" w:hanging="322"/>
        <w:spacing w:after="0" w:line="268"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We may not be successful in our efforts to retain and increase revenue from our customers, including by promoting </w:t>
      </w:r>
      <w:r>
        <w:rPr>
          <w:rFonts w:ascii="Arial" w:cs="Arial" w:eastAsia="Arial" w:hAnsi="Arial"/>
          <w:sz w:val="18"/>
          <w:szCs w:val="18"/>
          <w:color w:val="auto"/>
          <w:highlight w:val="white"/>
        </w:rPr>
        <w:t>and expanding adoption and usage of our offerings, which could adversely impact our business, financial condition, and results of operations.</w:t>
      </w:r>
    </w:p>
    <w:p>
      <w:pPr>
        <w:spacing w:after="0" w:line="116" w:lineRule="exact"/>
        <w:rPr>
          <w:rFonts w:ascii="Arial" w:cs="Arial" w:eastAsia="Arial" w:hAnsi="Arial"/>
          <w:sz w:val="18"/>
          <w:szCs w:val="18"/>
          <w:color w:val="auto"/>
        </w:rPr>
      </w:pPr>
    </w:p>
    <w:p>
      <w:pPr>
        <w:ind w:left="1320" w:right="140" w:hanging="322"/>
        <w:spacing w:after="0" w:line="287"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If we fail to offer high-quality customer support, including through our AI-powered virtual agents, or if our support is </w:t>
      </w:r>
      <w:r>
        <w:rPr>
          <w:rFonts w:ascii="Arial" w:cs="Arial" w:eastAsia="Arial" w:hAnsi="Arial"/>
          <w:sz w:val="18"/>
          <w:szCs w:val="18"/>
          <w:color w:val="auto"/>
          <w:highlight w:val="white"/>
        </w:rPr>
        <w:t>more expensive than anticipated, our business, margins, and reputation could suffer.</w:t>
      </w:r>
    </w:p>
    <w:p>
      <w:pPr>
        <w:spacing w:after="0" w:line="98" w:lineRule="exact"/>
        <w:rPr>
          <w:rFonts w:ascii="Arial" w:cs="Arial" w:eastAsia="Arial" w:hAnsi="Arial"/>
          <w:sz w:val="18"/>
          <w:szCs w:val="18"/>
          <w:color w:val="auto"/>
        </w:rPr>
      </w:pPr>
    </w:p>
    <w:p>
      <w:pPr>
        <w:ind w:left="1320" w:hanging="322"/>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Travel Management offerings depend on our relationships with suppliers.</w:t>
      </w:r>
    </w:p>
    <w:p>
      <w:pPr>
        <w:spacing w:after="0" w:line="171" w:lineRule="exact"/>
        <w:rPr>
          <w:rFonts w:ascii="Arial" w:cs="Arial" w:eastAsia="Arial" w:hAnsi="Arial"/>
          <w:sz w:val="18"/>
          <w:szCs w:val="18"/>
          <w:color w:val="auto"/>
        </w:rPr>
      </w:pPr>
    </w:p>
    <w:p>
      <w:pPr>
        <w:ind w:left="1320" w:hanging="322"/>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71" w:lineRule="exact"/>
        <w:rPr>
          <w:rFonts w:ascii="Arial" w:cs="Arial" w:eastAsia="Arial" w:hAnsi="Arial"/>
          <w:sz w:val="18"/>
          <w:szCs w:val="18"/>
          <w:color w:val="auto"/>
        </w:rPr>
      </w:pPr>
    </w:p>
    <w:p>
      <w:pPr>
        <w:ind w:left="1320" w:right="100" w:hanging="322"/>
        <w:spacing w:after="0" w:line="262"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We have a limited history operating our business at its current scale, scope, and complexity in an evolving market </w:t>
      </w:r>
      <w:r>
        <w:rPr>
          <w:rFonts w:ascii="Arial" w:cs="Arial" w:eastAsia="Arial" w:hAnsi="Arial"/>
          <w:sz w:val="18"/>
          <w:szCs w:val="18"/>
          <w:color w:val="auto"/>
          <w:highlight w:val="white"/>
        </w:rPr>
        <w:t>and economic environment, which makes it difficult to evaluate our current business, plan for future operations and strategic initiatives, predict future results, and evaluate our future prospects, increasing the risks associated with your investment.</w:t>
      </w:r>
    </w:p>
    <w:p>
      <w:pPr>
        <w:spacing w:after="0" w:line="122" w:lineRule="exact"/>
        <w:rPr>
          <w:rFonts w:ascii="Arial" w:cs="Arial" w:eastAsia="Arial" w:hAnsi="Arial"/>
          <w:sz w:val="18"/>
          <w:szCs w:val="18"/>
          <w:color w:val="auto"/>
        </w:rPr>
      </w:pPr>
    </w:p>
    <w:p>
      <w:pPr>
        <w:ind w:left="1320" w:hanging="322"/>
        <w:spacing w:after="0" w:line="287"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results of operations may fluctuate significantly, which could make our future results difficult to predict and could </w:t>
      </w:r>
      <w:r>
        <w:rPr>
          <w:rFonts w:ascii="Arial" w:cs="Arial" w:eastAsia="Arial" w:hAnsi="Arial"/>
          <w:sz w:val="18"/>
          <w:szCs w:val="18"/>
          <w:color w:val="auto"/>
          <w:highlight w:val="white"/>
        </w:rPr>
        <w:t>cause our results of operations to fall below expectations.</w:t>
      </w:r>
    </w:p>
    <w:p>
      <w:pPr>
        <w:spacing w:after="0" w:line="98" w:lineRule="exact"/>
        <w:rPr>
          <w:rFonts w:ascii="Arial" w:cs="Arial" w:eastAsia="Arial" w:hAnsi="Arial"/>
          <w:sz w:val="18"/>
          <w:szCs w:val="18"/>
          <w:color w:val="auto"/>
        </w:rPr>
      </w:pPr>
    </w:p>
    <w:p>
      <w:pPr>
        <w:ind w:left="1320" w:right="100" w:hanging="322"/>
        <w:spacing w:after="0" w:line="268"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Future acquisitions, strategic investments, partnerships, collaborations, or alliances could be difficult to identify and </w:t>
      </w:r>
      <w:r>
        <w:rPr>
          <w:rFonts w:ascii="Arial" w:cs="Arial" w:eastAsia="Arial" w:hAnsi="Arial"/>
          <w:sz w:val="18"/>
          <w:szCs w:val="18"/>
          <w:color w:val="auto"/>
          <w:highlight w:val="white"/>
        </w:rPr>
        <w:t>integrate, divert the attention of management, disrupt our business, dilute stockholder value, and adversely affect our business, financial condition, results of operations, and prospects.</w:t>
      </w:r>
    </w:p>
    <w:p>
      <w:pPr>
        <w:spacing w:after="0" w:line="116" w:lineRule="exact"/>
        <w:rPr>
          <w:rFonts w:ascii="Arial" w:cs="Arial" w:eastAsia="Arial" w:hAnsi="Arial"/>
          <w:sz w:val="18"/>
          <w:szCs w:val="18"/>
          <w:color w:val="auto"/>
        </w:rPr>
      </w:pPr>
    </w:p>
    <w:p>
      <w:pPr>
        <w:ind w:left="1320" w:right="20" w:hanging="322"/>
        <w:spacing w:after="0" w:line="287"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We plan to continue expanding our international operations which could subject us to additional costs and risks, and </w:t>
      </w:r>
      <w:r>
        <w:rPr>
          <w:rFonts w:ascii="Arial" w:cs="Arial" w:eastAsia="Arial" w:hAnsi="Arial"/>
          <w:sz w:val="18"/>
          <w:szCs w:val="18"/>
          <w:color w:val="auto"/>
          <w:highlight w:val="white"/>
        </w:rPr>
        <w:t>our continued expansion internationally may not be successful.</w:t>
      </w:r>
    </w:p>
    <w:p>
      <w:pPr>
        <w:spacing w:after="0" w:line="98" w:lineRule="exact"/>
        <w:rPr>
          <w:rFonts w:ascii="Arial" w:cs="Arial" w:eastAsia="Arial" w:hAnsi="Arial"/>
          <w:sz w:val="18"/>
          <w:szCs w:val="18"/>
          <w:color w:val="auto"/>
        </w:rPr>
      </w:pPr>
    </w:p>
    <w:p>
      <w:pPr>
        <w:ind w:left="1320" w:right="40" w:hanging="322"/>
        <w:spacing w:after="0" w:line="287"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platform.</w:t>
      </w:r>
    </w:p>
    <w:p>
      <w:pPr>
        <w:spacing w:after="0" w:line="98" w:lineRule="exact"/>
        <w:rPr>
          <w:rFonts w:ascii="Arial" w:cs="Arial" w:eastAsia="Arial" w:hAnsi="Arial"/>
          <w:sz w:val="18"/>
          <w:szCs w:val="18"/>
          <w:color w:val="auto"/>
        </w:rPr>
      </w:pPr>
    </w:p>
    <w:p>
      <w:pPr>
        <w:ind w:left="1320" w:right="40" w:hanging="322"/>
        <w:spacing w:after="0" w:line="287"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preferences, our platform may become less competitive.</w:t>
      </w:r>
    </w:p>
    <w:p>
      <w:pPr>
        <w:spacing w:after="0" w:line="98" w:lineRule="exact"/>
        <w:rPr>
          <w:rFonts w:ascii="Arial" w:cs="Arial" w:eastAsia="Arial" w:hAnsi="Arial"/>
          <w:sz w:val="18"/>
          <w:szCs w:val="18"/>
          <w:color w:val="auto"/>
        </w:rPr>
      </w:pPr>
    </w:p>
    <w:p>
      <w:pPr>
        <w:ind w:left="1320" w:right="80" w:hanging="322"/>
        <w:spacing w:after="0" w:line="268"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use of artificial intelligence, including Gen AI and ML, gives rise to legal, business, and operational risks, which may result in diminished performance, regulatory scrutiny, social impacts, reputational harm, and liability arising from the use of this technology.</w:t>
      </w:r>
    </w:p>
    <w:p>
      <w:pPr>
        <w:spacing w:after="0" w:line="116" w:lineRule="exact"/>
        <w:rPr>
          <w:rFonts w:ascii="Arial" w:cs="Arial" w:eastAsia="Arial" w:hAnsi="Arial"/>
          <w:sz w:val="18"/>
          <w:szCs w:val="18"/>
          <w:color w:val="auto"/>
        </w:rPr>
      </w:pPr>
    </w:p>
    <w:p>
      <w:pPr>
        <w:ind w:left="1320" w:right="480" w:hanging="322"/>
        <w:spacing w:after="0" w:line="287"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material weakness in our internal control over financial reporting, which we first identified in the fiscal year </w:t>
      </w:r>
      <w:r>
        <w:rPr>
          <w:rFonts w:ascii="Arial" w:cs="Arial" w:eastAsia="Arial" w:hAnsi="Arial"/>
          <w:sz w:val="18"/>
          <w:szCs w:val="18"/>
          <w:color w:val="auto"/>
          <w:highlight w:val="white"/>
        </w:rPr>
        <w:t>ended January 31, 2023, has been remediated as of the end of fiscal 2025. In the</w:t>
      </w:r>
    </w:p>
    <w:p>
      <w:pPr>
        <w:sectPr>
          <w:pgSz w:w="11900" w:h="16838" w:orient="portrait"/>
          <w:cols w:equalWidth="0" w:num="1">
            <w:col w:w="10540"/>
          </w:cols>
          <w:pgMar w:left="320" w:top="22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40"/>
          </w:cols>
          <w:pgMar w:left="320" w:top="229" w:right="10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7299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320" w:right="140"/>
        <w:spacing w:after="0" w:line="268" w:lineRule="auto"/>
        <w:rPr>
          <w:sz w:val="20"/>
          <w:szCs w:val="20"/>
          <w:color w:val="auto"/>
        </w:rPr>
      </w:pPr>
      <w:r>
        <w:rPr>
          <w:rFonts w:ascii="Arial" w:cs="Arial" w:eastAsia="Arial" w:hAnsi="Arial"/>
          <w:sz w:val="18"/>
          <w:szCs w:val="18"/>
          <w:color w:val="auto"/>
          <w:highlight w:val="white"/>
        </w:rPr>
        <w:t>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117" w:lineRule="exact"/>
        <w:rPr>
          <w:sz w:val="20"/>
          <w:szCs w:val="20"/>
          <w:color w:val="auto"/>
        </w:rPr>
      </w:pPr>
    </w:p>
    <w:p>
      <w:pPr>
        <w:ind w:left="1320" w:hanging="322"/>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price of our Class A common stock may be volatile, and you could lose all or part of your investment.</w:t>
      </w:r>
    </w:p>
    <w:p>
      <w:pPr>
        <w:spacing w:after="0" w:line="171" w:lineRule="exact"/>
        <w:rPr>
          <w:rFonts w:ascii="Arial" w:cs="Arial" w:eastAsia="Arial" w:hAnsi="Arial"/>
          <w:sz w:val="18"/>
          <w:szCs w:val="18"/>
          <w:color w:val="auto"/>
        </w:rPr>
      </w:pPr>
    </w:p>
    <w:p>
      <w:pPr>
        <w:ind w:left="1320" w:hanging="322"/>
        <w:spacing w:after="0" w:line="268"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dual class structure of our common stock has the effect of concentrating voting power with Ariel Cohen and Ilan </w:t>
      </w:r>
      <w:r>
        <w:rPr>
          <w:rFonts w:ascii="Arial" w:cs="Arial" w:eastAsia="Arial" w:hAnsi="Arial"/>
          <w:sz w:val="18"/>
          <w:szCs w:val="18"/>
          <w:color w:val="auto"/>
          <w:highlight w:val="white"/>
        </w:rPr>
        <w:t>Twig, our co-founders, which will limit your ability to influence the outcome of important transactions, including a change in control.</w:t>
      </w:r>
    </w:p>
    <w:p>
      <w:pPr>
        <w:spacing w:after="0" w:line="11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Channels for Disclosure of Information</w:t>
      </w:r>
    </w:p>
    <w:p>
      <w:pPr>
        <w:spacing w:after="0" w:line="169" w:lineRule="exact"/>
        <w:rPr>
          <w:sz w:val="20"/>
          <w:szCs w:val="20"/>
          <w:color w:val="auto"/>
        </w:rPr>
      </w:pPr>
    </w:p>
    <w:p>
      <w:pPr>
        <w:ind w:left="680" w:firstLine="324"/>
        <w:spacing w:after="0" w:line="272" w:lineRule="auto"/>
        <w:rPr>
          <w:sz w:val="20"/>
          <w:szCs w:val="20"/>
          <w:color w:val="auto"/>
        </w:rPr>
      </w:pPr>
      <w:r>
        <w:rPr>
          <w:rFonts w:ascii="Arial" w:cs="Arial" w:eastAsia="Arial" w:hAnsi="Arial"/>
          <w:sz w:val="17"/>
          <w:szCs w:val="17"/>
          <w:color w:val="auto"/>
        </w:rPr>
        <w:t>Following the effectiveness of the registration statement of which this prospectus forms a part, we intend to announce material information to the public through filings with the Securities and Exchange Commission, or the SEC, the investor relations page on our website (www.navan.com/investors), press releases, public conference calls, public webcasts, our X account (@Navan), our co-founders’ X accounts (@arielcoco and @itwig), our LinkedIn page (www.linkedin.com/company/navan/), our co-founders’ LinkedIn pages (www.linkedin.com/in/arielmcohen/ and www.linkedin.com/in/itwig/), our company news site (www.navan.com/press), and our company blog (www.navan.com/blog). The information contained on, or that can be accessed through, the foregoing websites are not a part of this prospectus. Investors should not rely on any such information in deciding whether to purchase our Class A common stock.</w:t>
      </w:r>
    </w:p>
    <w:p>
      <w:pPr>
        <w:spacing w:after="0" w:line="118" w:lineRule="exact"/>
        <w:rPr>
          <w:sz w:val="20"/>
          <w:szCs w:val="20"/>
          <w:color w:val="auto"/>
        </w:rPr>
      </w:pPr>
    </w:p>
    <w:p>
      <w:pPr>
        <w:ind w:left="680" w:right="440" w:firstLine="324"/>
        <w:spacing w:after="0" w:line="268"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17" w:lineRule="exact"/>
        <w:rPr>
          <w:sz w:val="20"/>
          <w:szCs w:val="20"/>
          <w:color w:val="auto"/>
        </w:rPr>
      </w:pPr>
    </w:p>
    <w:p>
      <w:pPr>
        <w:ind w:left="680" w:right="20" w:firstLine="324"/>
        <w:spacing w:after="0" w:line="287"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 and in our periodic reports filed with the SEC following this offering.</w:t>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69" w:lineRule="exact"/>
        <w:rPr>
          <w:sz w:val="20"/>
          <w:szCs w:val="20"/>
          <w:color w:val="auto"/>
        </w:rPr>
      </w:pPr>
    </w:p>
    <w:p>
      <w:pPr>
        <w:ind w:left="680" w:right="120" w:firstLine="324"/>
        <w:spacing w:after="0" w:line="282" w:lineRule="auto"/>
        <w:rPr>
          <w:sz w:val="20"/>
          <w:szCs w:val="20"/>
          <w:color w:val="auto"/>
        </w:rPr>
      </w:pPr>
      <w:r>
        <w:rPr>
          <w:rFonts w:ascii="Arial" w:cs="Arial" w:eastAsia="Arial" w:hAnsi="Arial"/>
          <w:sz w:val="17"/>
          <w:szCs w:val="17"/>
          <w:color w:val="auto"/>
        </w:rPr>
        <w:t>We were incorporated in the State of Delaware in February 2015. Our principal executive offices are located at 3045 Park Boulevard, Palo Alto, California 94306. Our telephone number is (888) 505-8747. Our website address is www.navan.com. The information contained on, or that can be accessed through, our website is not a part of this prospectus. Investors should not rely on any such information in deciding whether to purchase our Class A common stock.</w:t>
      </w:r>
    </w:p>
    <w:p>
      <w:pPr>
        <w:spacing w:after="0" w:line="107" w:lineRule="exact"/>
        <w:rPr>
          <w:sz w:val="20"/>
          <w:szCs w:val="20"/>
          <w:color w:val="auto"/>
        </w:rPr>
      </w:pPr>
    </w:p>
    <w:p>
      <w:pPr>
        <w:ind w:left="680" w:right="140" w:firstLine="324"/>
        <w:spacing w:after="0" w:line="255" w:lineRule="auto"/>
        <w:rPr>
          <w:sz w:val="20"/>
          <w:szCs w:val="20"/>
          <w:color w:val="auto"/>
        </w:rPr>
      </w:pPr>
      <w:r>
        <w:rPr>
          <w:rFonts w:ascii="Arial" w:cs="Arial" w:eastAsia="Arial" w:hAnsi="Arial"/>
          <w:sz w:val="18"/>
          <w:szCs w:val="18"/>
          <w:color w:val="auto"/>
        </w:rPr>
        <w:t>Navan, the Navan logo, and other registered or common law trade names, trademarks, or service marks of Navan appearing in this prospectus are the property of Navan. This prospectus contains additional trade names, trademarks, and service marks of ours and of other companies. We do not intend our use or display of other companies’ trade names, trademarks, or service marks to imply a relationship with these other companies, or endorsement or sponsorship of us by these other companies. Other trademarks appearing in this prospectus are the property of their respective holders. Solely for convenience, our trademarks and trade names referred to in this prospectus appear without the ® and ™ symbols, but those references are not intended to indicate, in any way, that we will not assert, to the fullest extent under applicable law, our rights, or the right of the applicable licensor, to these trademarks and trade names.</w:t>
      </w:r>
    </w:p>
    <w:p>
      <w:pPr>
        <w:spacing w:after="0" w:line="133"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Implications of Being an Emerging Growth Company</w:t>
      </w:r>
    </w:p>
    <w:p>
      <w:pPr>
        <w:spacing w:after="0" w:line="169" w:lineRule="exact"/>
        <w:rPr>
          <w:sz w:val="20"/>
          <w:szCs w:val="20"/>
          <w:color w:val="auto"/>
        </w:rPr>
      </w:pPr>
    </w:p>
    <w:p>
      <w:pPr>
        <w:jc w:val="both"/>
        <w:ind w:left="680" w:right="120" w:firstLine="324"/>
        <w:spacing w:after="0" w:line="262" w:lineRule="auto"/>
        <w:rPr>
          <w:sz w:val="20"/>
          <w:szCs w:val="20"/>
          <w:color w:val="auto"/>
        </w:rPr>
      </w:pPr>
      <w:r>
        <w:rPr>
          <w:rFonts w:ascii="Arial" w:cs="Arial" w:eastAsia="Arial" w:hAnsi="Arial"/>
          <w:sz w:val="18"/>
          <w:szCs w:val="18"/>
          <w:color w:val="auto"/>
        </w:rPr>
        <w:t>As a company with less than $1.235 billion in revenue during our most recently completed fiscal year, we qualify as an “emerging growth company” as defined in Section 2(a) of the Securities Act of 1933, as amended, or the Securities Act, as modified by the Jumpstart Our Business Startups Act of 2012, or the JOBS Act. As an emerging growth company, we may take advantage of specified reduced disclosure and</w:t>
      </w:r>
    </w:p>
    <w:p>
      <w:pPr>
        <w:sectPr>
          <w:pgSz w:w="11900" w:h="16838" w:orient="portrait"/>
          <w:cols w:equalWidth="0" w:num="1">
            <w:col w:w="10520"/>
          </w:cols>
          <w:pgMar w:left="320" w:top="229"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20"/>
          </w:cols>
          <w:pgMar w:left="320" w:top="229" w:right="10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5413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541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other requirements that are otherwise applicable, in general, to public companies that are not emerging growth companies.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These provisions include:</w:t>
      </w:r>
    </w:p>
    <w:p>
      <w:pPr>
        <w:spacing w:after="0" w:line="153" w:lineRule="exact"/>
        <w:rPr>
          <w:sz w:val="20"/>
          <w:szCs w:val="20"/>
          <w:color w:val="auto"/>
        </w:rPr>
      </w:pPr>
    </w:p>
    <w:p>
      <w:pPr>
        <w:ind w:left="1320" w:right="660" w:hanging="322"/>
        <w:spacing w:after="0" w:line="268" w:lineRule="auto"/>
        <w:tabs>
          <w:tab w:leader="none" w:pos="1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disclosure in this prospectus;</w:t>
      </w:r>
    </w:p>
    <w:p>
      <w:pPr>
        <w:spacing w:after="0" w:line="116" w:lineRule="exact"/>
        <w:rPr>
          <w:rFonts w:ascii="Arial" w:cs="Arial" w:eastAsia="Arial" w:hAnsi="Arial"/>
          <w:sz w:val="18"/>
          <w:szCs w:val="18"/>
          <w:color w:val="auto"/>
        </w:rPr>
      </w:pPr>
    </w:p>
    <w:p>
      <w:pPr>
        <w:ind w:left="1320" w:right="240" w:hanging="322"/>
        <w:spacing w:after="0" w:line="287" w:lineRule="auto"/>
        <w:tabs>
          <w:tab w:leader="none" w:pos="1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 pursuant to the Sarbanes-Oxley Act of 2002, as amended;</w:t>
      </w:r>
    </w:p>
    <w:p>
      <w:pPr>
        <w:spacing w:after="0" w:line="98" w:lineRule="exact"/>
        <w:rPr>
          <w:rFonts w:ascii="Arial" w:cs="Arial" w:eastAsia="Arial" w:hAnsi="Arial"/>
          <w:sz w:val="18"/>
          <w:szCs w:val="18"/>
          <w:color w:val="auto"/>
        </w:rPr>
      </w:pPr>
    </w:p>
    <w:p>
      <w:pPr>
        <w:ind w:left="1320" w:right="60" w:hanging="322"/>
        <w:spacing w:after="0" w:line="262" w:lineRule="auto"/>
        <w:tabs>
          <w:tab w:leader="none" w:pos="1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p>
      <w:pPr>
        <w:spacing w:after="0" w:line="122" w:lineRule="exact"/>
        <w:rPr>
          <w:rFonts w:ascii="Arial" w:cs="Arial" w:eastAsia="Arial" w:hAnsi="Arial"/>
          <w:sz w:val="18"/>
          <w:szCs w:val="18"/>
          <w:color w:val="auto"/>
        </w:rPr>
      </w:pPr>
    </w:p>
    <w:p>
      <w:pPr>
        <w:ind w:left="1320" w:hanging="322"/>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71" w:lineRule="exact"/>
        <w:rPr>
          <w:rFonts w:ascii="Arial" w:cs="Arial" w:eastAsia="Arial" w:hAnsi="Arial"/>
          <w:sz w:val="18"/>
          <w:szCs w:val="18"/>
          <w:color w:val="auto"/>
        </w:rPr>
      </w:pPr>
    </w:p>
    <w:p>
      <w:pPr>
        <w:ind w:left="1320" w:right="940" w:hanging="322"/>
        <w:spacing w:after="0" w:line="287" w:lineRule="auto"/>
        <w:tabs>
          <w:tab w:leader="none" w:pos="1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arrangements; and</w:t>
      </w:r>
    </w:p>
    <w:p>
      <w:pPr>
        <w:spacing w:after="0" w:line="98" w:lineRule="exact"/>
        <w:rPr>
          <w:rFonts w:ascii="Arial" w:cs="Arial" w:eastAsia="Arial" w:hAnsi="Arial"/>
          <w:sz w:val="18"/>
          <w:szCs w:val="18"/>
          <w:color w:val="auto"/>
        </w:rPr>
      </w:pPr>
    </w:p>
    <w:p>
      <w:pPr>
        <w:ind w:left="1320" w:hanging="322"/>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71" w:lineRule="exact"/>
        <w:rPr>
          <w:sz w:val="20"/>
          <w:szCs w:val="20"/>
          <w:color w:val="auto"/>
        </w:rPr>
      </w:pPr>
    </w:p>
    <w:p>
      <w:pPr>
        <w:ind w:left="680" w:firstLine="324"/>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$1.235 billion in annual revenue, (ii) the date we qualify as a “large accelerated filer,” as defined in the rules under the Securities Exchange Act of 1934, as amended, with at least $700 million of common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125" w:lineRule="exact"/>
        <w:rPr>
          <w:sz w:val="20"/>
          <w:szCs w:val="20"/>
          <w:color w:val="auto"/>
        </w:rPr>
      </w:pPr>
    </w:p>
    <w:p>
      <w:pPr>
        <w:ind w:left="680" w:right="60" w:firstLine="324"/>
        <w:spacing w:after="0" w:line="255" w:lineRule="auto"/>
        <w:rPr>
          <w:sz w:val="20"/>
          <w:szCs w:val="20"/>
          <w:color w:val="auto"/>
        </w:rPr>
      </w:pPr>
      <w:r>
        <w:rPr>
          <w:rFonts w:ascii="Arial" w:cs="Arial" w:eastAsia="Arial" w:hAnsi="Arial"/>
          <w:sz w:val="18"/>
          <w:szCs w:val="18"/>
          <w:color w:val="auto"/>
        </w:rPr>
        <w:t xml:space="preserve">We may take advantage of these exemptions until such time that we are no longer an emerging growth company. Accordingly, the information contained herein may be different from the information you receive from other public companies.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w:t>
      </w:r>
      <w:r>
        <w:rPr>
          <w:rFonts w:ascii="Arial" w:cs="Arial" w:eastAsia="Arial" w:hAnsi="Arial"/>
          <w:sz w:val="18"/>
          <w:szCs w:val="18"/>
          <w:color w:val="auto"/>
          <w:highlight w:val="white"/>
        </w:rPr>
        <w:t>results of operations</w:t>
      </w:r>
      <w:r>
        <w:rPr>
          <w:rFonts w:ascii="Arial" w:cs="Arial" w:eastAsia="Arial" w:hAnsi="Arial"/>
          <w:sz w:val="18"/>
          <w:szCs w:val="18"/>
          <w:color w:val="auto"/>
        </w:rPr>
        <w:t xml:space="preserve"> and financial statements may not be comparable to the </w:t>
      </w:r>
      <w:r>
        <w:rPr>
          <w:rFonts w:ascii="Arial" w:cs="Arial" w:eastAsia="Arial" w:hAnsi="Arial"/>
          <w:sz w:val="18"/>
          <w:szCs w:val="18"/>
          <w:color w:val="auto"/>
          <w:highlight w:val="white"/>
        </w:rPr>
        <w:t>results of operations</w:t>
      </w:r>
      <w:r>
        <w:rPr>
          <w:rFonts w:ascii="Arial" w:cs="Arial" w:eastAsia="Arial" w:hAnsi="Arial"/>
          <w:sz w:val="18"/>
          <w:szCs w:val="18"/>
          <w:color w:val="auto"/>
        </w:rPr>
        <w:t xml:space="preserve"> and financial statements of other companies that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320" w:top="229" w:right="101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68364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83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4240"/>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540"/>
          </w:cols>
          <w:pgMar w:left="320" w:top="229" w:right="1039" w:bottom="1440" w:gutter="0" w:footer="0" w:header="0"/>
        </w:sectPr>
      </w:pP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A common stock offered by us</w:t>
      </w:r>
    </w:p>
    <w:p>
      <w:pPr>
        <w:spacing w:after="0" w:line="77" w:lineRule="exact"/>
        <w:rPr>
          <w:sz w:val="20"/>
          <w:szCs w:val="20"/>
          <w:color w:val="auto"/>
        </w:rPr>
      </w:pPr>
    </w:p>
    <w:p>
      <w:pPr>
        <w:ind w:left="860" w:right="480" w:hanging="161"/>
        <w:spacing w:after="0" w:line="256" w:lineRule="auto"/>
        <w:rPr>
          <w:sz w:val="20"/>
          <w:szCs w:val="20"/>
          <w:color w:val="auto"/>
        </w:rPr>
      </w:pPr>
      <w:r>
        <w:rPr>
          <w:rFonts w:ascii="Arial" w:cs="Arial" w:eastAsia="Arial" w:hAnsi="Arial"/>
          <w:sz w:val="18"/>
          <w:szCs w:val="18"/>
          <w:color w:val="auto"/>
        </w:rPr>
        <w:t>Class A common stock offered by the selling stockholders</w:t>
      </w:r>
    </w:p>
    <w:p>
      <w:pPr>
        <w:spacing w:after="0" w:line="31" w:lineRule="exact"/>
        <w:rPr>
          <w:sz w:val="20"/>
          <w:szCs w:val="20"/>
          <w:color w:val="auto"/>
        </w:rPr>
      </w:pPr>
    </w:p>
    <w:p>
      <w:pPr>
        <w:ind w:left="860" w:hanging="161"/>
        <w:spacing w:after="0" w:line="256" w:lineRule="auto"/>
        <w:rPr>
          <w:sz w:val="20"/>
          <w:szCs w:val="20"/>
          <w:color w:val="auto"/>
        </w:rPr>
      </w:pPr>
      <w:r>
        <w:rPr>
          <w:rFonts w:ascii="Arial" w:cs="Arial" w:eastAsia="Arial" w:hAnsi="Arial"/>
          <w:sz w:val="18"/>
          <w:szCs w:val="18"/>
          <w:color w:val="auto"/>
        </w:rPr>
        <w:t>Underwriters’ option to purchase additional shares of Class A common stock from us</w:t>
      </w:r>
    </w:p>
    <w:p>
      <w:pPr>
        <w:spacing w:after="0" w:line="31" w:lineRule="exact"/>
        <w:rPr>
          <w:sz w:val="20"/>
          <w:szCs w:val="20"/>
          <w:color w:val="auto"/>
        </w:rPr>
      </w:pPr>
    </w:p>
    <w:p>
      <w:pPr>
        <w:ind w:left="860" w:hanging="161"/>
        <w:spacing w:after="0" w:line="256" w:lineRule="auto"/>
        <w:rPr>
          <w:sz w:val="20"/>
          <w:szCs w:val="20"/>
          <w:color w:val="auto"/>
        </w:rPr>
      </w:pPr>
      <w:r>
        <w:rPr>
          <w:rFonts w:ascii="Arial" w:cs="Arial" w:eastAsia="Arial" w:hAnsi="Arial"/>
          <w:sz w:val="18"/>
          <w:szCs w:val="18"/>
          <w:color w:val="auto"/>
        </w:rPr>
        <w:t>Class A common stock to be outstanding after this offering</w:t>
      </w:r>
    </w:p>
    <w:p>
      <w:pPr>
        <w:spacing w:after="0" w:line="31" w:lineRule="exact"/>
        <w:rPr>
          <w:sz w:val="20"/>
          <w:szCs w:val="20"/>
          <w:color w:val="auto"/>
        </w:rPr>
      </w:pPr>
    </w:p>
    <w:p>
      <w:pPr>
        <w:ind w:left="860" w:hanging="161"/>
        <w:spacing w:after="0" w:line="256" w:lineRule="auto"/>
        <w:rPr>
          <w:sz w:val="20"/>
          <w:szCs w:val="20"/>
          <w:color w:val="auto"/>
        </w:rPr>
      </w:pPr>
      <w:r>
        <w:rPr>
          <w:rFonts w:ascii="Arial" w:cs="Arial" w:eastAsia="Arial" w:hAnsi="Arial"/>
          <w:sz w:val="18"/>
          <w:szCs w:val="18"/>
          <w:color w:val="auto"/>
        </w:rPr>
        <w:t>Class B common stock to be outstanding after this offering</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Total Class A common stock and Class B</w:t>
      </w:r>
    </w:p>
    <w:p>
      <w:pPr>
        <w:spacing w:after="0" w:line="12" w:lineRule="exact"/>
        <w:rPr>
          <w:sz w:val="20"/>
          <w:szCs w:val="20"/>
          <w:color w:val="auto"/>
        </w:rPr>
      </w:pPr>
    </w:p>
    <w:p>
      <w:pPr>
        <w:ind w:left="860" w:right="520"/>
        <w:spacing w:after="0" w:line="229" w:lineRule="auto"/>
        <w:rPr>
          <w:sz w:val="20"/>
          <w:szCs w:val="20"/>
          <w:color w:val="auto"/>
        </w:rPr>
      </w:pPr>
      <w:r>
        <w:rPr>
          <w:rFonts w:ascii="Arial" w:cs="Arial" w:eastAsia="Arial" w:hAnsi="Arial"/>
          <w:sz w:val="18"/>
          <w:szCs w:val="18"/>
          <w:color w:val="auto"/>
        </w:rPr>
        <w:t>common stock to be outstanding after this offering</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ind w:right="240" w:firstLine="500"/>
        <w:spacing w:after="0" w:line="256" w:lineRule="auto"/>
        <w:rPr>
          <w:sz w:val="20"/>
          <w:szCs w:val="20"/>
          <w:color w:val="auto"/>
        </w:rPr>
      </w:pPr>
      <w:r>
        <w:rPr>
          <w:rFonts w:ascii="Arial" w:cs="Arial" w:eastAsia="Arial" w:hAnsi="Arial"/>
          <w:sz w:val="18"/>
          <w:szCs w:val="18"/>
          <w:color w:val="auto"/>
        </w:rPr>
        <w:t>shares ( shares if the underwriters exercise their option to purchase additional shares in full)</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from our sale of shares of our Class A</w:t>
      </w:r>
    </w:p>
    <w:p>
      <w:pPr>
        <w:spacing w:after="0" w:line="215" w:lineRule="auto"/>
        <w:tabs>
          <w:tab w:leader="none" w:pos="4680" w:val="left"/>
        </w:tabs>
        <w:rPr>
          <w:sz w:val="20"/>
          <w:szCs w:val="20"/>
          <w:color w:val="auto"/>
        </w:rPr>
      </w:pPr>
      <w:r>
        <w:rPr>
          <w:rFonts w:ascii="Arial" w:cs="Arial" w:eastAsia="Arial" w:hAnsi="Arial"/>
          <w:sz w:val="18"/>
          <w:szCs w:val="18"/>
          <w:color w:val="auto"/>
        </w:rPr>
        <w:t>common stock in this offering will be approximately $</w:t>
      </w:r>
      <w:r>
        <w:rPr>
          <w:sz w:val="20"/>
          <w:szCs w:val="20"/>
          <w:color w:val="auto"/>
        </w:rPr>
        <w:tab/>
      </w:r>
      <w:r>
        <w:rPr>
          <w:rFonts w:ascii="Arial" w:cs="Arial" w:eastAsia="Arial" w:hAnsi="Arial"/>
          <w:sz w:val="17"/>
          <w:szCs w:val="17"/>
          <w:color w:val="auto"/>
        </w:rPr>
        <w:t>, or</w:t>
      </w:r>
    </w:p>
    <w:p>
      <w:pPr>
        <w:spacing w:after="0" w:line="215" w:lineRule="auto"/>
        <w:tabs>
          <w:tab w:leader="none" w:pos="17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if the underwriters’ option to purchase additional</w:t>
      </w:r>
    </w:p>
    <w:p>
      <w:pPr>
        <w:spacing w:after="0" w:line="220" w:lineRule="auto"/>
        <w:rPr>
          <w:sz w:val="20"/>
          <w:szCs w:val="20"/>
          <w:color w:val="auto"/>
        </w:rPr>
      </w:pPr>
      <w:r>
        <w:rPr>
          <w:rFonts w:ascii="Arial" w:cs="Arial" w:eastAsia="Arial" w:hAnsi="Arial"/>
          <w:sz w:val="18"/>
          <w:szCs w:val="18"/>
          <w:color w:val="auto"/>
        </w:rPr>
        <w:t>shares is exercised in full, based upon the assumed initial public offering</w:t>
      </w:r>
    </w:p>
    <w:p>
      <w:pPr>
        <w:ind w:right="60"/>
        <w:spacing w:after="0" w:line="208" w:lineRule="auto"/>
        <w:rPr>
          <w:sz w:val="20"/>
          <w:szCs w:val="20"/>
          <w:color w:val="auto"/>
        </w:rPr>
      </w:pPr>
      <w:r>
        <w:rPr>
          <w:rFonts w:ascii="Arial" w:cs="Arial" w:eastAsia="Arial" w:hAnsi="Arial"/>
          <w:sz w:val="18"/>
          <w:szCs w:val="18"/>
          <w:color w:val="auto"/>
        </w:rPr>
        <w:t>price of $ per share, which is the midpoint of the offering price range set forth on the cover page of this prospectus, and after deducting underwriting discounts and commissions and estimated offering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expenses payable by us.</w:t>
      </w:r>
    </w:p>
    <w:p>
      <w:pPr>
        <w:spacing w:after="0" w:line="113"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We primarily intend to use the net proceeds from this offering for working capital and other general corporate purposes. We intend to use</w:t>
      </w:r>
    </w:p>
    <w:p>
      <w:pPr>
        <w:spacing w:after="0" w:line="217" w:lineRule="auto"/>
        <w:tabs>
          <w:tab w:leader="none" w:pos="15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of the net proceeds from this offering to repay the</w:t>
      </w:r>
    </w:p>
    <w:p>
      <w:pPr>
        <w:spacing w:after="0" w:line="203" w:lineRule="auto"/>
        <w:rPr>
          <w:sz w:val="20"/>
          <w:szCs w:val="20"/>
          <w:color w:val="auto"/>
        </w:rPr>
      </w:pPr>
      <w:r>
        <w:rPr>
          <w:rFonts w:ascii="Arial" w:cs="Arial" w:eastAsia="Arial" w:hAnsi="Arial"/>
          <w:sz w:val="18"/>
          <w:szCs w:val="18"/>
          <w:color w:val="auto"/>
        </w:rPr>
        <w:t>outstanding term loans under and terminate our credit agreement with</w:t>
      </w:r>
    </w:p>
    <w:p>
      <w:pPr>
        <w:spacing w:after="0" w:line="219" w:lineRule="auto"/>
        <w:rPr>
          <w:sz w:val="20"/>
          <w:szCs w:val="20"/>
          <w:color w:val="auto"/>
        </w:rPr>
      </w:pPr>
      <w:r>
        <w:rPr>
          <w:rFonts w:ascii="Arial" w:cs="Arial" w:eastAsia="Arial" w:hAnsi="Arial"/>
          <w:sz w:val="18"/>
          <w:szCs w:val="18"/>
          <w:color w:val="auto"/>
        </w:rPr>
        <w:t>VCP Capital Markets, LLC, referred to as the Vista Facility, the terms of</w:t>
      </w:r>
    </w:p>
    <w:p>
      <w:pPr>
        <w:spacing w:after="0" w:line="1" w:lineRule="exact"/>
        <w:rPr>
          <w:sz w:val="20"/>
          <w:szCs w:val="20"/>
          <w:color w:val="auto"/>
        </w:rPr>
      </w:pPr>
    </w:p>
    <w:p>
      <w:pPr>
        <w:ind w:right="200"/>
        <w:spacing w:after="0" w:line="208" w:lineRule="auto"/>
        <w:rPr>
          <w:sz w:val="20"/>
          <w:szCs w:val="20"/>
          <w:color w:val="auto"/>
        </w:rPr>
      </w:pPr>
      <w:r>
        <w:rPr>
          <w:rFonts w:ascii="Arial" w:cs="Arial" w:eastAsia="Arial" w:hAnsi="Arial"/>
          <w:sz w:val="18"/>
          <w:szCs w:val="18"/>
          <w:color w:val="auto"/>
        </w:rPr>
        <w:t>which are described further in the section titled “Description of Material Indebtedness.” We also intend to use approximately $ of the net proceeds to satisfy the anticipated tax withholding and remittance</w:t>
      </w:r>
    </w:p>
    <w:p>
      <w:pPr>
        <w:spacing w:after="0" w:line="2"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obligations related to the RSU Net Settlement (as defined below). Assuming (i) the fair market value of our Class A common stock at the time of settlement will be equal to the assumed initial public offering price</w:t>
      </w:r>
    </w:p>
    <w:p>
      <w:pPr>
        <w:spacing w:after="0" w:line="2" w:lineRule="exact"/>
        <w:rPr>
          <w:sz w:val="20"/>
          <w:szCs w:val="20"/>
          <w:color w:val="auto"/>
        </w:rPr>
      </w:pPr>
    </w:p>
    <w:p>
      <w:pPr>
        <w:ind w:right="80"/>
        <w:spacing w:after="0" w:line="208" w:lineRule="auto"/>
        <w:rPr>
          <w:sz w:val="20"/>
          <w:szCs w:val="20"/>
          <w:color w:val="auto"/>
        </w:rPr>
      </w:pPr>
      <w:r>
        <w:rPr>
          <w:rFonts w:ascii="Arial" w:cs="Arial" w:eastAsia="Arial" w:hAnsi="Arial"/>
          <w:sz w:val="18"/>
          <w:szCs w:val="18"/>
          <w:color w:val="auto"/>
        </w:rPr>
        <w:t>per share of $ , the midpoint of the price range set forth on the cover page of this prospectus, and (ii) an assumed % tax withholding rate, we estimate that these tax withholding and remittance obligations on the</w:t>
      </w:r>
    </w:p>
    <w:p>
      <w:pPr>
        <w:spacing w:after="0" w:line="2"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RSU Net Settlement will be $ million in the aggregate. We may also use a portion of the proceeds for the acquisition of, or investment in, technologies, solutions, or businesses that complement our business.</w:t>
      </w:r>
    </w:p>
    <w:p>
      <w:pPr>
        <w:spacing w:after="0" w:line="2" w:lineRule="exact"/>
        <w:rPr>
          <w:sz w:val="20"/>
          <w:szCs w:val="20"/>
          <w:color w:val="auto"/>
        </w:rPr>
      </w:pPr>
    </w:p>
    <w:p>
      <w:pPr>
        <w:ind w:right="280"/>
        <w:spacing w:after="0" w:line="208" w:lineRule="auto"/>
        <w:rPr>
          <w:sz w:val="20"/>
          <w:szCs w:val="20"/>
          <w:color w:val="auto"/>
        </w:rPr>
      </w:pPr>
      <w:r>
        <w:rPr>
          <w:rFonts w:ascii="Arial" w:cs="Arial" w:eastAsia="Arial" w:hAnsi="Arial"/>
          <w:sz w:val="18"/>
          <w:szCs w:val="18"/>
          <w:color w:val="auto"/>
        </w:rPr>
        <w:t>However, we do not have agreements or commitments for any acquisitions or investments outside the ordinary course of business at this time. See the section titled “Use of Proceeds” for additional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113" w:lineRule="exact"/>
        <w:rPr>
          <w:sz w:val="20"/>
          <w:szCs w:val="20"/>
          <w:color w:val="auto"/>
        </w:rPr>
      </w:pPr>
    </w:p>
    <w:p>
      <w:pPr>
        <w:ind w:right="640"/>
        <w:spacing w:after="0"/>
        <w:rPr>
          <w:sz w:val="20"/>
          <w:szCs w:val="20"/>
          <w:color w:val="auto"/>
        </w:rPr>
      </w:pPr>
      <w:r>
        <w:rPr>
          <w:rFonts w:ascii="Arial" w:cs="Arial" w:eastAsia="Arial" w:hAnsi="Arial"/>
          <w:sz w:val="18"/>
          <w:szCs w:val="18"/>
          <w:color w:val="auto"/>
        </w:rPr>
        <w:t>We will not receive any proceeds from sales of shares of Class A common stock by the selling stockholders.</w:t>
      </w:r>
    </w:p>
    <w:p>
      <w:pPr>
        <w:spacing w:after="0" w:line="200" w:lineRule="exact"/>
        <w:rPr>
          <w:sz w:val="20"/>
          <w:szCs w:val="20"/>
          <w:color w:val="auto"/>
        </w:rPr>
      </w:pPr>
    </w:p>
    <w:p>
      <w:pPr>
        <w:sectPr>
          <w:pgSz w:w="11900" w:h="16838" w:orient="portrait"/>
          <w:cols w:equalWidth="0" w:num="2">
            <w:col w:w="4700" w:space="20"/>
            <w:col w:w="5820"/>
          </w:cols>
          <w:pgMar w:left="320" w:top="229"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540"/>
          </w:cols>
          <w:pgMar w:left="320" w:top="229" w:right="10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7110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11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00" w:type="dxa"/>
        <w:tblCellMar>
          <w:top w:w="0" w:type="dxa"/>
          <w:left w:w="0" w:type="dxa"/>
          <w:bottom w:w="0" w:type="dxa"/>
          <w:right w:w="0" w:type="dxa"/>
        </w:tblCellMar>
      </w:tblP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Voting rights</w:t>
            </w: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Following the completion of this offering, shares of our Class A common</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stock will be entitled to one vote per share. Shares of our Class B</w:t>
            </w:r>
          </w:p>
        </w:tc>
      </w:tr>
      <w:tr>
        <w:trPr>
          <w:trHeight w:val="216"/>
        </w:trPr>
        <w:tc>
          <w:tcPr>
            <w:tcW w:w="3340" w:type="dxa"/>
            <w:vAlign w:val="bottom"/>
          </w:tcPr>
          <w:p>
            <w:pPr>
              <w:spacing w:after="0"/>
              <w:rPr>
                <w:sz w:val="18"/>
                <w:szCs w:val="18"/>
                <w:color w:val="auto"/>
              </w:rPr>
            </w:pPr>
          </w:p>
        </w:tc>
        <w:tc>
          <w:tcPr>
            <w:tcW w:w="3460" w:type="dxa"/>
            <w:vAlign w:val="bottom"/>
            <w:gridSpan w:val="3"/>
          </w:tcPr>
          <w:p>
            <w:pPr>
              <w:ind w:left="680"/>
              <w:spacing w:after="0"/>
              <w:rPr>
                <w:sz w:val="20"/>
                <w:szCs w:val="20"/>
                <w:color w:val="auto"/>
              </w:rPr>
            </w:pPr>
            <w:r>
              <w:rPr>
                <w:rFonts w:ascii="Arial" w:cs="Arial" w:eastAsia="Arial" w:hAnsi="Arial"/>
                <w:sz w:val="18"/>
                <w:szCs w:val="18"/>
                <w:color w:val="auto"/>
              </w:rPr>
              <w:t>common stock will be entitled to</w:t>
            </w:r>
          </w:p>
        </w:tc>
        <w:tc>
          <w:tcPr>
            <w:tcW w:w="3040" w:type="dxa"/>
            <w:vAlign w:val="bottom"/>
          </w:tcPr>
          <w:p>
            <w:pPr>
              <w:ind w:left="120"/>
              <w:spacing w:after="0"/>
              <w:rPr>
                <w:sz w:val="20"/>
                <w:szCs w:val="20"/>
                <w:color w:val="auto"/>
              </w:rPr>
            </w:pPr>
            <w:r>
              <w:rPr>
                <w:rFonts w:ascii="Arial" w:cs="Arial" w:eastAsia="Arial" w:hAnsi="Arial"/>
                <w:sz w:val="18"/>
                <w:szCs w:val="18"/>
                <w:color w:val="auto"/>
              </w:rPr>
              <w:t>votes per share. Holders of our</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Class A common stock and Class B common stock will generally vote</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together as a single class, unless otherwise required by law or our</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amended and restated certificate of incorporation. Following the</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completion of this offering, each share of our Class B common stock will</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be convertible into one share of our Class A common stock at any time</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and will convert automatically upon certain transfers and upon the earlier</w:t>
            </w:r>
          </w:p>
        </w:tc>
      </w:tr>
      <w:tr>
        <w:trPr>
          <w:trHeight w:val="216"/>
        </w:trPr>
        <w:tc>
          <w:tcPr>
            <w:tcW w:w="3340" w:type="dxa"/>
            <w:vAlign w:val="bottom"/>
          </w:tcPr>
          <w:p>
            <w:pPr>
              <w:spacing w:after="0"/>
              <w:rPr>
                <w:sz w:val="18"/>
                <w:szCs w:val="18"/>
                <w:color w:val="auto"/>
              </w:rPr>
            </w:pPr>
          </w:p>
        </w:tc>
        <w:tc>
          <w:tcPr>
            <w:tcW w:w="1200" w:type="dxa"/>
            <w:vAlign w:val="bottom"/>
          </w:tcPr>
          <w:p>
            <w:pPr>
              <w:ind w:left="680"/>
              <w:spacing w:after="0"/>
              <w:rPr>
                <w:sz w:val="20"/>
                <w:szCs w:val="20"/>
                <w:color w:val="auto"/>
              </w:rPr>
            </w:pPr>
            <w:r>
              <w:rPr>
                <w:rFonts w:ascii="Arial" w:cs="Arial" w:eastAsia="Arial" w:hAnsi="Arial"/>
                <w:sz w:val="18"/>
                <w:szCs w:val="18"/>
                <w:color w:val="auto"/>
              </w:rPr>
              <w:t>of</w:t>
            </w: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 Immediately following the completion of this offering, and</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assuming no exercise of the underwriters’ option to purchase additional</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shares, Ariel Cohen, our co-founder, chairperson of our board of</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directors, and Chief Executive Officer, and a member of our board of</w:t>
            </w:r>
          </w:p>
        </w:tc>
      </w:tr>
      <w:tr>
        <w:trPr>
          <w:trHeight w:val="216"/>
        </w:trPr>
        <w:tc>
          <w:tcPr>
            <w:tcW w:w="3340" w:type="dxa"/>
            <w:vAlign w:val="bottom"/>
          </w:tcPr>
          <w:p>
            <w:pPr>
              <w:spacing w:after="0"/>
              <w:rPr>
                <w:sz w:val="18"/>
                <w:szCs w:val="18"/>
                <w:color w:val="auto"/>
              </w:rPr>
            </w:pPr>
          </w:p>
        </w:tc>
        <w:tc>
          <w:tcPr>
            <w:tcW w:w="3460" w:type="dxa"/>
            <w:vAlign w:val="bottom"/>
            <w:gridSpan w:val="3"/>
          </w:tcPr>
          <w:p>
            <w:pPr>
              <w:ind w:left="680"/>
              <w:spacing w:after="0"/>
              <w:rPr>
                <w:sz w:val="20"/>
                <w:szCs w:val="20"/>
                <w:color w:val="auto"/>
              </w:rPr>
            </w:pPr>
            <w:r>
              <w:rPr>
                <w:rFonts w:ascii="Arial" w:cs="Arial" w:eastAsia="Arial" w:hAnsi="Arial"/>
                <w:sz w:val="18"/>
                <w:szCs w:val="18"/>
                <w:color w:val="auto"/>
              </w:rPr>
              <w:t>directors, will hold approximately</w:t>
            </w:r>
          </w:p>
        </w:tc>
        <w:tc>
          <w:tcPr>
            <w:tcW w:w="3040" w:type="dxa"/>
            <w:vAlign w:val="bottom"/>
          </w:tcPr>
          <w:p>
            <w:pPr>
              <w:jc w:val="center"/>
              <w:ind w:right="550"/>
              <w:spacing w:after="0"/>
              <w:rPr>
                <w:sz w:val="20"/>
                <w:szCs w:val="20"/>
                <w:color w:val="auto"/>
              </w:rPr>
            </w:pPr>
            <w:r>
              <w:rPr>
                <w:rFonts w:ascii="Arial" w:cs="Arial" w:eastAsia="Arial" w:hAnsi="Arial"/>
                <w:sz w:val="18"/>
                <w:szCs w:val="18"/>
                <w:color w:val="auto"/>
                <w:w w:val="99"/>
              </w:rPr>
              <w:t>% of the voting power of our</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outstanding capital stock, and Ilan Twig, our co-founder, Chief</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Technology Officer, and a member of our board of directors, will hold</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approximately  % of the voting power of our outstanding capital stock,</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which voting power may increase over time upon the exercise or</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settlement and exchange of equity awards held by our co-founders</w:t>
            </w:r>
          </w:p>
        </w:tc>
      </w:tr>
      <w:tr>
        <w:trPr>
          <w:trHeight w:val="239"/>
        </w:trPr>
        <w:tc>
          <w:tcPr>
            <w:tcW w:w="3340" w:type="dxa"/>
            <w:vAlign w:val="bottom"/>
          </w:tcPr>
          <w:p>
            <w:pPr>
              <w:spacing w:after="0"/>
              <w:rPr>
                <w:sz w:val="20"/>
                <w:szCs w:val="20"/>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pursuant to their Equity Exchange Rights (as defined below).</w:t>
            </w:r>
          </w:p>
        </w:tc>
      </w:tr>
      <w:tr>
        <w:trPr>
          <w:trHeight w:val="355"/>
        </w:trPr>
        <w:tc>
          <w:tcPr>
            <w:tcW w:w="3340" w:type="dxa"/>
            <w:vAlign w:val="bottom"/>
          </w:tcPr>
          <w:p>
            <w:pPr>
              <w:spacing w:after="0"/>
              <w:rPr>
                <w:sz w:val="24"/>
                <w:szCs w:val="24"/>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If all currently outstanding stock options to purchase shares of our Class</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w w:val="99"/>
              </w:rPr>
              <w:t>A common stock held by our co-founders were exercised and exchanged</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for an equal number of shares of Class B common stock pursuant to the</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Equity Exchange Rights, then immediately following the completion of</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this offering, Messrs. Cohen and Twig would hold approximately  %</w:t>
            </w:r>
          </w:p>
        </w:tc>
      </w:tr>
      <w:tr>
        <w:trPr>
          <w:trHeight w:val="216"/>
        </w:trPr>
        <w:tc>
          <w:tcPr>
            <w:tcW w:w="3340" w:type="dxa"/>
            <w:vAlign w:val="bottom"/>
          </w:tcPr>
          <w:p>
            <w:pPr>
              <w:spacing w:after="0"/>
              <w:rPr>
                <w:sz w:val="18"/>
                <w:szCs w:val="18"/>
                <w:color w:val="auto"/>
              </w:rPr>
            </w:pPr>
          </w:p>
        </w:tc>
        <w:tc>
          <w:tcPr>
            <w:tcW w:w="1200" w:type="dxa"/>
            <w:vAlign w:val="bottom"/>
          </w:tcPr>
          <w:p>
            <w:pPr>
              <w:ind w:left="680"/>
              <w:spacing w:after="0"/>
              <w:rPr>
                <w:sz w:val="20"/>
                <w:szCs w:val="20"/>
                <w:color w:val="auto"/>
              </w:rPr>
            </w:pPr>
            <w:r>
              <w:rPr>
                <w:rFonts w:ascii="Arial" w:cs="Arial" w:eastAsia="Arial" w:hAnsi="Arial"/>
                <w:sz w:val="18"/>
                <w:szCs w:val="18"/>
                <w:color w:val="auto"/>
              </w:rPr>
              <w:t>and</w:t>
            </w:r>
          </w:p>
        </w:tc>
        <w:tc>
          <w:tcPr>
            <w:tcW w:w="5300" w:type="dxa"/>
            <w:vAlign w:val="bottom"/>
            <w:gridSpan w:val="3"/>
          </w:tcPr>
          <w:p>
            <w:pPr>
              <w:ind w:left="40"/>
              <w:spacing w:after="0"/>
              <w:rPr>
                <w:sz w:val="20"/>
                <w:szCs w:val="20"/>
                <w:color w:val="auto"/>
              </w:rPr>
            </w:pPr>
            <w:r>
              <w:rPr>
                <w:rFonts w:ascii="Arial" w:cs="Arial" w:eastAsia="Arial" w:hAnsi="Arial"/>
                <w:sz w:val="18"/>
                <w:szCs w:val="18"/>
                <w:color w:val="auto"/>
              </w:rPr>
              <w:t>%, respectively, of the voting power of our outstanding capital</w:t>
            </w:r>
          </w:p>
        </w:tc>
      </w:tr>
      <w:tr>
        <w:trPr>
          <w:trHeight w:val="239"/>
        </w:trPr>
        <w:tc>
          <w:tcPr>
            <w:tcW w:w="3340" w:type="dxa"/>
            <w:vAlign w:val="bottom"/>
          </w:tcPr>
          <w:p>
            <w:pPr>
              <w:spacing w:after="0"/>
              <w:rPr>
                <w:sz w:val="20"/>
                <w:szCs w:val="20"/>
                <w:color w:val="auto"/>
              </w:rPr>
            </w:pPr>
          </w:p>
        </w:tc>
        <w:tc>
          <w:tcPr>
            <w:tcW w:w="1200" w:type="dxa"/>
            <w:vAlign w:val="bottom"/>
          </w:tcPr>
          <w:p>
            <w:pPr>
              <w:ind w:left="680"/>
              <w:spacing w:after="0"/>
              <w:rPr>
                <w:sz w:val="20"/>
                <w:szCs w:val="20"/>
                <w:color w:val="auto"/>
              </w:rPr>
            </w:pPr>
            <w:r>
              <w:rPr>
                <w:rFonts w:ascii="Arial" w:cs="Arial" w:eastAsia="Arial" w:hAnsi="Arial"/>
                <w:sz w:val="18"/>
                <w:szCs w:val="18"/>
                <w:color w:val="auto"/>
              </w:rPr>
              <w:t>stock.</w:t>
            </w: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55"/>
        </w:trPr>
        <w:tc>
          <w:tcPr>
            <w:tcW w:w="3340" w:type="dxa"/>
            <w:vAlign w:val="bottom"/>
          </w:tcPr>
          <w:p>
            <w:pPr>
              <w:spacing w:after="0"/>
              <w:rPr>
                <w:sz w:val="24"/>
                <w:szCs w:val="24"/>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As a result, our co-founders may have significant influence over the</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outcome of matters submitted to our stockholders for approval, including</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the election of our directors and the approval of any change of control</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transaction. These risks are more fully described in the section titled</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“Risk Factors.” See the sections titled “Principal and Selling</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Stockholders” and “Description of Capital Stock” for additional</w:t>
            </w:r>
          </w:p>
        </w:tc>
      </w:tr>
      <w:tr>
        <w:trPr>
          <w:trHeight w:val="239"/>
        </w:trPr>
        <w:tc>
          <w:tcPr>
            <w:tcW w:w="3340" w:type="dxa"/>
            <w:vAlign w:val="bottom"/>
          </w:tcPr>
          <w:p>
            <w:pPr>
              <w:spacing w:after="0"/>
              <w:rPr>
                <w:sz w:val="20"/>
                <w:szCs w:val="20"/>
                <w:color w:val="auto"/>
              </w:rPr>
            </w:pPr>
          </w:p>
        </w:tc>
        <w:tc>
          <w:tcPr>
            <w:tcW w:w="3460" w:type="dxa"/>
            <w:vAlign w:val="bottom"/>
            <w:gridSpan w:val="3"/>
          </w:tcPr>
          <w:p>
            <w:pPr>
              <w:ind w:left="680"/>
              <w:spacing w:after="0"/>
              <w:rPr>
                <w:sz w:val="20"/>
                <w:szCs w:val="20"/>
                <w:color w:val="auto"/>
              </w:rPr>
            </w:pPr>
            <w:r>
              <w:rPr>
                <w:rFonts w:ascii="Arial" w:cs="Arial" w:eastAsia="Arial" w:hAnsi="Arial"/>
                <w:sz w:val="18"/>
                <w:szCs w:val="18"/>
                <w:color w:val="auto"/>
              </w:rPr>
              <w:t>information.</w:t>
            </w:r>
          </w:p>
        </w:tc>
        <w:tc>
          <w:tcPr>
            <w:tcW w:w="3040" w:type="dxa"/>
            <w:vAlign w:val="bottom"/>
          </w:tcPr>
          <w:p>
            <w:pPr>
              <w:spacing w:after="0"/>
              <w:rPr>
                <w:sz w:val="20"/>
                <w:szCs w:val="20"/>
                <w:color w:val="auto"/>
              </w:rPr>
            </w:pPr>
          </w:p>
        </w:tc>
      </w:tr>
      <w:tr>
        <w:trPr>
          <w:trHeight w:val="428"/>
        </w:trPr>
        <w:tc>
          <w:tcPr>
            <w:tcW w:w="3340" w:type="dxa"/>
            <w:vAlign w:val="bottom"/>
          </w:tcPr>
          <w:p>
            <w:pPr>
              <w:spacing w:after="0"/>
              <w:rPr>
                <w:sz w:val="20"/>
                <w:szCs w:val="20"/>
                <w:color w:val="auto"/>
              </w:rPr>
            </w:pPr>
            <w:r>
              <w:rPr>
                <w:rFonts w:ascii="Arial" w:cs="Arial" w:eastAsia="Arial" w:hAnsi="Arial"/>
                <w:sz w:val="18"/>
                <w:szCs w:val="18"/>
                <w:color w:val="auto"/>
              </w:rPr>
              <w:t>Risk factors</w:t>
            </w: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color w:val="0000FF"/>
              </w:rPr>
              <w:t>Risk Factors</w:t>
            </w:r>
            <w:r>
              <w:rPr>
                <w:rFonts w:ascii="Arial" w:cs="Arial" w:eastAsia="Arial" w:hAnsi="Arial"/>
                <w:sz w:val="18"/>
                <w:szCs w:val="18"/>
                <w:color w:val="auto"/>
              </w:rPr>
              <w:t>” and other information included in</w:t>
            </w:r>
          </w:p>
        </w:tc>
      </w:tr>
      <w:tr>
        <w:trPr>
          <w:trHeight w:val="155"/>
        </w:trPr>
        <w:tc>
          <w:tcPr>
            <w:tcW w:w="3340" w:type="dxa"/>
            <w:vAlign w:val="bottom"/>
          </w:tcPr>
          <w:p>
            <w:pPr>
              <w:spacing w:after="0"/>
              <w:rPr>
                <w:sz w:val="13"/>
                <w:szCs w:val="13"/>
                <w:color w:val="auto"/>
              </w:rPr>
            </w:pPr>
          </w:p>
        </w:tc>
        <w:tc>
          <w:tcPr>
            <w:tcW w:w="2460" w:type="dxa"/>
            <w:vAlign w:val="bottom"/>
            <w:gridSpan w:val="2"/>
          </w:tcPr>
          <w:p>
            <w:pPr>
              <w:ind w:left="680"/>
              <w:spacing w:after="0" w:line="156" w:lineRule="exact"/>
              <w:rPr>
                <w:sz w:val="20"/>
                <w:szCs w:val="20"/>
                <w:color w:val="auto"/>
              </w:rPr>
            </w:pPr>
            <w:r>
              <w:rPr>
                <w:rFonts w:ascii="Arial" w:cs="Arial" w:eastAsia="Arial" w:hAnsi="Arial"/>
                <w:sz w:val="18"/>
                <w:szCs w:val="18"/>
                <w:color w:val="auto"/>
              </w:rPr>
              <w:t>this prospectus for a</w:t>
            </w:r>
          </w:p>
        </w:tc>
        <w:tc>
          <w:tcPr>
            <w:tcW w:w="1000" w:type="dxa"/>
            <w:vAlign w:val="bottom"/>
            <w:tcBorders>
              <w:top w:val="single" w:sz="8" w:color="0000FF"/>
            </w:tcBorders>
          </w:tcPr>
          <w:p>
            <w:pPr>
              <w:spacing w:after="0" w:line="156" w:lineRule="exact"/>
              <w:rPr>
                <w:sz w:val="20"/>
                <w:szCs w:val="20"/>
                <w:color w:val="auto"/>
              </w:rPr>
            </w:pPr>
            <w:r>
              <w:rPr>
                <w:rFonts w:ascii="Arial" w:cs="Arial" w:eastAsia="Arial" w:hAnsi="Arial"/>
                <w:sz w:val="18"/>
                <w:szCs w:val="18"/>
                <w:color w:val="auto"/>
                <w:w w:val="94"/>
              </w:rPr>
              <w:t>discussion of</w:t>
            </w:r>
          </w:p>
        </w:tc>
        <w:tc>
          <w:tcPr>
            <w:tcW w:w="3040" w:type="dxa"/>
            <w:vAlign w:val="bottom"/>
          </w:tcPr>
          <w:p>
            <w:pPr>
              <w:jc w:val="center"/>
              <w:ind w:right="510"/>
              <w:spacing w:after="0" w:line="156" w:lineRule="exact"/>
              <w:rPr>
                <w:sz w:val="20"/>
                <w:szCs w:val="20"/>
                <w:color w:val="auto"/>
              </w:rPr>
            </w:pPr>
            <w:r>
              <w:rPr>
                <w:rFonts w:ascii="Arial" w:cs="Arial" w:eastAsia="Arial" w:hAnsi="Arial"/>
                <w:sz w:val="18"/>
                <w:szCs w:val="18"/>
                <w:color w:val="auto"/>
                <w:w w:val="99"/>
              </w:rPr>
              <w:t>some of the factors you should</w:t>
            </w:r>
          </w:p>
        </w:tc>
      </w:tr>
      <w:tr>
        <w:trPr>
          <w:trHeight w:val="176"/>
        </w:trPr>
        <w:tc>
          <w:tcPr>
            <w:tcW w:w="3340" w:type="dxa"/>
            <w:vAlign w:val="bottom"/>
          </w:tcPr>
          <w:p>
            <w:pPr>
              <w:spacing w:after="0"/>
              <w:rPr>
                <w:sz w:val="15"/>
                <w:szCs w:val="15"/>
                <w:color w:val="auto"/>
              </w:rPr>
            </w:pPr>
          </w:p>
        </w:tc>
        <w:tc>
          <w:tcPr>
            <w:tcW w:w="6500" w:type="dxa"/>
            <w:vAlign w:val="bottom"/>
            <w:gridSpan w:val="4"/>
          </w:tcPr>
          <w:p>
            <w:pPr>
              <w:ind w:left="680"/>
              <w:spacing w:after="0" w:line="176" w:lineRule="exact"/>
              <w:rPr>
                <w:sz w:val="20"/>
                <w:szCs w:val="20"/>
                <w:color w:val="auto"/>
              </w:rPr>
            </w:pPr>
            <w:r>
              <w:rPr>
                <w:rFonts w:ascii="Arial" w:cs="Arial" w:eastAsia="Arial" w:hAnsi="Arial"/>
                <w:sz w:val="18"/>
                <w:szCs w:val="18"/>
                <w:color w:val="auto"/>
              </w:rPr>
              <w:t>consider before deciding to purchase shares of our Class A common</w:t>
            </w:r>
          </w:p>
        </w:tc>
      </w:tr>
      <w:tr>
        <w:trPr>
          <w:trHeight w:val="239"/>
        </w:trPr>
        <w:tc>
          <w:tcPr>
            <w:tcW w:w="3340" w:type="dxa"/>
            <w:vAlign w:val="bottom"/>
          </w:tcPr>
          <w:p>
            <w:pPr>
              <w:spacing w:after="0"/>
              <w:rPr>
                <w:sz w:val="20"/>
                <w:szCs w:val="20"/>
                <w:color w:val="auto"/>
              </w:rPr>
            </w:pPr>
          </w:p>
        </w:tc>
        <w:tc>
          <w:tcPr>
            <w:tcW w:w="1200" w:type="dxa"/>
            <w:vAlign w:val="bottom"/>
          </w:tcPr>
          <w:p>
            <w:pPr>
              <w:ind w:left="680"/>
              <w:spacing w:after="0"/>
              <w:rPr>
                <w:sz w:val="20"/>
                <w:szCs w:val="20"/>
                <w:color w:val="auto"/>
              </w:rPr>
            </w:pPr>
            <w:r>
              <w:rPr>
                <w:rFonts w:ascii="Arial" w:cs="Arial" w:eastAsia="Arial" w:hAnsi="Arial"/>
                <w:sz w:val="18"/>
                <w:szCs w:val="18"/>
                <w:color w:val="auto"/>
              </w:rPr>
              <w:t>stock.</w:t>
            </w: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78"/>
        </w:trPr>
        <w:tc>
          <w:tcPr>
            <w:tcW w:w="3340" w:type="dxa"/>
            <w:vAlign w:val="bottom"/>
          </w:tcPr>
          <w:p>
            <w:pPr>
              <w:spacing w:after="0"/>
              <w:rPr>
                <w:sz w:val="20"/>
                <w:szCs w:val="20"/>
                <w:color w:val="auto"/>
              </w:rPr>
            </w:pPr>
            <w:r>
              <w:rPr>
                <w:rFonts w:ascii="Arial" w:cs="Arial" w:eastAsia="Arial" w:hAnsi="Arial"/>
                <w:sz w:val="18"/>
                <w:szCs w:val="18"/>
                <w:color w:val="auto"/>
              </w:rPr>
              <w:t>Proposed Nasdaq trading symbol</w:t>
            </w:r>
          </w:p>
        </w:tc>
        <w:tc>
          <w:tcPr>
            <w:tcW w:w="3460" w:type="dxa"/>
            <w:vAlign w:val="bottom"/>
            <w:gridSpan w:val="3"/>
          </w:tcPr>
          <w:p>
            <w:pPr>
              <w:ind w:left="680"/>
              <w:spacing w:after="0"/>
              <w:rPr>
                <w:sz w:val="20"/>
                <w:szCs w:val="20"/>
                <w:color w:val="auto"/>
              </w:rPr>
            </w:pPr>
            <w:r>
              <w:rPr>
                <w:rFonts w:ascii="Arial" w:cs="Arial" w:eastAsia="Arial" w:hAnsi="Arial"/>
                <w:sz w:val="18"/>
                <w:szCs w:val="18"/>
                <w:color w:val="auto"/>
              </w:rPr>
              <w:t>“NAVN”</w:t>
            </w:r>
          </w:p>
        </w:tc>
        <w:tc>
          <w:tcPr>
            <w:tcW w:w="3040" w:type="dxa"/>
            <w:vAlign w:val="bottom"/>
          </w:tcPr>
          <w:p>
            <w:pPr>
              <w:spacing w:after="0"/>
              <w:rPr>
                <w:sz w:val="24"/>
                <w:szCs w:val="24"/>
                <w:color w:val="auto"/>
              </w:rPr>
            </w:pPr>
          </w:p>
        </w:tc>
      </w:tr>
    </w:tbl>
    <w:p>
      <w:pPr>
        <w:spacing w:after="0" w:line="23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number of shares of our Class A common stock and Class B common stock that will be outstanding after this</w:t>
      </w:r>
    </w:p>
    <w:p>
      <w:pPr>
        <w:spacing w:after="0" w:line="27" w:lineRule="exact"/>
        <w:rPr>
          <w:sz w:val="20"/>
          <w:szCs w:val="20"/>
          <w:color w:val="auto"/>
        </w:rPr>
      </w:pPr>
    </w:p>
    <w:p>
      <w:pPr>
        <w:ind w:left="680" w:right="100"/>
        <w:spacing w:after="0" w:line="266" w:lineRule="auto"/>
        <w:rPr>
          <w:sz w:val="20"/>
          <w:szCs w:val="20"/>
          <w:color w:val="auto"/>
        </w:rPr>
      </w:pPr>
      <w:r>
        <w:rPr>
          <w:rFonts w:ascii="Arial" w:cs="Arial" w:eastAsia="Arial" w:hAnsi="Arial"/>
          <w:sz w:val="18"/>
          <w:szCs w:val="18"/>
          <w:color w:val="auto"/>
        </w:rPr>
        <w:t>offering is based on shares of our Class A common stock outstanding and shares of our Class B common stock outstanding (after giving effect to the Capital Stock</w:t>
      </w:r>
    </w:p>
    <w:p>
      <w:pPr>
        <w:sectPr>
          <w:pgSz w:w="11900" w:h="16838" w:orient="portrait"/>
          <w:cols w:equalWidth="0" w:num="1">
            <w:col w:w="10540"/>
          </w:cols>
          <w:pgMar w:left="320" w:top="22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40"/>
          </w:cols>
          <w:pgMar w:left="320" w:top="229" w:right="10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7265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Conversion, the Note Conversion, the SAFE Conversion, and the RSU Net Settlement, each as defined below), in each</w:t>
      </w:r>
    </w:p>
    <w:p>
      <w:pPr>
        <w:spacing w:after="0" w:line="27" w:lineRule="exact"/>
        <w:rPr>
          <w:sz w:val="20"/>
          <w:szCs w:val="20"/>
          <w:color w:val="auto"/>
        </w:rPr>
      </w:pPr>
    </w:p>
    <w:p>
      <w:pPr>
        <w:ind w:left="680"/>
        <w:spacing w:after="0"/>
        <w:tabs>
          <w:tab w:leader="none" w:pos="1980" w:val="left"/>
        </w:tabs>
        <w:rPr>
          <w:sz w:val="20"/>
          <w:szCs w:val="20"/>
          <w:color w:val="auto"/>
        </w:rPr>
      </w:pPr>
      <w:r>
        <w:rPr>
          <w:rFonts w:ascii="Arial" w:cs="Arial" w:eastAsia="Arial" w:hAnsi="Arial"/>
          <w:sz w:val="18"/>
          <w:szCs w:val="18"/>
          <w:color w:val="auto"/>
        </w:rPr>
        <w:t>case as of</w:t>
      </w:r>
      <w:r>
        <w:rPr>
          <w:sz w:val="20"/>
          <w:szCs w:val="20"/>
          <w:color w:val="auto"/>
        </w:rPr>
        <w:tab/>
      </w:r>
      <w:r>
        <w:rPr>
          <w:rFonts w:ascii="Arial" w:cs="Arial" w:eastAsia="Arial" w:hAnsi="Arial"/>
          <w:sz w:val="17"/>
          <w:szCs w:val="17"/>
          <w:color w:val="auto"/>
        </w:rPr>
        <w:t>, 2025, and excludes:</w:t>
      </w:r>
    </w:p>
    <w:p>
      <w:pPr>
        <w:spacing w:after="0" w:line="153" w:lineRule="exact"/>
        <w:rPr>
          <w:sz w:val="20"/>
          <w:szCs w:val="20"/>
          <w:color w:val="auto"/>
        </w:rPr>
      </w:pPr>
    </w:p>
    <w:p>
      <w:pPr>
        <w:ind w:left="1000"/>
        <w:spacing w:after="0"/>
        <w:tabs>
          <w:tab w:leader="none" w:pos="1740" w:val="left"/>
          <w:tab w:leader="none" w:pos="10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the exercise of stock options outstanding as of</w:t>
      </w:r>
      <w:r>
        <w:rPr>
          <w:sz w:val="20"/>
          <w:szCs w:val="20"/>
          <w:color w:val="auto"/>
        </w:rPr>
        <w:tab/>
      </w:r>
      <w:r>
        <w:rPr>
          <w:rFonts w:ascii="Arial" w:cs="Arial" w:eastAsia="Arial" w:hAnsi="Arial"/>
          <w:sz w:val="17"/>
          <w:szCs w:val="17"/>
          <w:color w:val="auto"/>
        </w:rPr>
        <w:t>, 2025</w:t>
      </w:r>
    </w:p>
    <w:p>
      <w:pPr>
        <w:spacing w:after="0" w:line="27" w:lineRule="exact"/>
        <w:rPr>
          <w:sz w:val="20"/>
          <w:szCs w:val="20"/>
          <w:color w:val="auto"/>
        </w:rPr>
      </w:pPr>
    </w:p>
    <w:p>
      <w:pPr>
        <w:ind w:left="1320"/>
        <w:spacing w:after="0"/>
        <w:tabs>
          <w:tab w:leader="none" w:pos="9640" w:val="left"/>
        </w:tabs>
        <w:rPr>
          <w:sz w:val="20"/>
          <w:szCs w:val="20"/>
          <w:color w:val="auto"/>
        </w:rPr>
      </w:pPr>
      <w:r>
        <w:rPr>
          <w:rFonts w:ascii="Arial" w:cs="Arial" w:eastAsia="Arial" w:hAnsi="Arial"/>
          <w:sz w:val="18"/>
          <w:szCs w:val="18"/>
          <w:color w:val="auto"/>
        </w:rPr>
        <w:t>under our 2015 Equity Incentive Plan, or our 2015 Plan, with a weighted-average exercise price of $</w:t>
      </w:r>
      <w:r>
        <w:rPr>
          <w:sz w:val="20"/>
          <w:szCs w:val="20"/>
          <w:color w:val="auto"/>
        </w:rPr>
        <w:tab/>
      </w:r>
      <w:r>
        <w:rPr>
          <w:rFonts w:ascii="Arial" w:cs="Arial" w:eastAsia="Arial" w:hAnsi="Arial"/>
          <w:sz w:val="18"/>
          <w:szCs w:val="18"/>
          <w:color w:val="auto"/>
        </w:rPr>
        <w:t>per share,</w:t>
      </w:r>
    </w:p>
    <w:p>
      <w:pPr>
        <w:spacing w:after="0" w:line="9" w:lineRule="exact"/>
        <w:rPr>
          <w:sz w:val="20"/>
          <w:szCs w:val="20"/>
          <w:color w:val="auto"/>
        </w:rPr>
      </w:pPr>
    </w:p>
    <w:p>
      <w:pPr>
        <w:ind w:left="1320"/>
        <w:spacing w:after="0"/>
        <w:tabs>
          <w:tab w:leader="none" w:pos="2460" w:val="left"/>
        </w:tabs>
        <w:rPr>
          <w:sz w:val="20"/>
          <w:szCs w:val="20"/>
          <w:color w:val="auto"/>
        </w:rPr>
      </w:pPr>
      <w:r>
        <w:rPr>
          <w:rFonts w:ascii="Arial" w:cs="Arial" w:eastAsia="Arial" w:hAnsi="Arial"/>
          <w:sz w:val="18"/>
          <w:szCs w:val="18"/>
          <w:color w:val="auto"/>
        </w:rPr>
        <w:t>of which</w:t>
      </w:r>
      <w:r>
        <w:rPr>
          <w:sz w:val="20"/>
          <w:szCs w:val="20"/>
          <w:color w:val="auto"/>
        </w:rPr>
        <w:tab/>
      </w:r>
      <w:r>
        <w:rPr>
          <w:rFonts w:ascii="Arial" w:cs="Arial" w:eastAsia="Arial" w:hAnsi="Arial"/>
          <w:sz w:val="17"/>
          <w:szCs w:val="17"/>
          <w:color w:val="auto"/>
        </w:rPr>
        <w:t>shares will be exchangeable for an equal number of shares of Class B common stock at the election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of our co-founders upon exercise;</w:t>
      </w:r>
    </w:p>
    <w:p>
      <w:pPr>
        <w:spacing w:after="0" w:line="153" w:lineRule="exact"/>
        <w:rPr>
          <w:sz w:val="20"/>
          <w:szCs w:val="20"/>
          <w:color w:val="auto"/>
        </w:rPr>
      </w:pPr>
    </w:p>
    <w:p>
      <w:pPr>
        <w:ind w:left="1000"/>
        <w:spacing w:after="0"/>
        <w:tabs>
          <w:tab w:leader="none" w:pos="174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the exercise of stock options granted after</w:t>
      </w:r>
      <w:r>
        <w:rPr>
          <w:sz w:val="20"/>
          <w:szCs w:val="20"/>
          <w:color w:val="auto"/>
        </w:rPr>
        <w:tab/>
      </w:r>
      <w:r>
        <w:rPr>
          <w:rFonts w:ascii="Arial" w:cs="Arial" w:eastAsia="Arial" w:hAnsi="Arial"/>
          <w:sz w:val="17"/>
          <w:szCs w:val="17"/>
          <w:color w:val="auto"/>
        </w:rPr>
        <w:t>, 2025</w:t>
      </w:r>
    </w:p>
    <w:p>
      <w:pPr>
        <w:spacing w:after="0" w:line="27" w:lineRule="exact"/>
        <w:rPr>
          <w:sz w:val="20"/>
          <w:szCs w:val="20"/>
          <w:color w:val="auto"/>
        </w:rPr>
      </w:pPr>
    </w:p>
    <w:p>
      <w:pPr>
        <w:ind w:left="1320" w:right="440"/>
        <w:spacing w:after="0" w:line="258" w:lineRule="auto"/>
        <w:rPr>
          <w:sz w:val="20"/>
          <w:szCs w:val="20"/>
          <w:color w:val="auto"/>
        </w:rPr>
      </w:pPr>
      <w:r>
        <w:rPr>
          <w:rFonts w:ascii="Arial" w:cs="Arial" w:eastAsia="Arial" w:hAnsi="Arial"/>
          <w:sz w:val="18"/>
          <w:szCs w:val="18"/>
          <w:color w:val="auto"/>
        </w:rPr>
        <w:t>under our 2015 Plan with a weighted-average exercise price of $ per share, of which shares will be exchangeable for an equal number of shares of Class B common stock at the election of our co-founders upon exercise;</w:t>
      </w:r>
    </w:p>
    <w:p>
      <w:pPr>
        <w:spacing w:after="0" w:line="124" w:lineRule="exact"/>
        <w:rPr>
          <w:sz w:val="20"/>
          <w:szCs w:val="20"/>
          <w:color w:val="auto"/>
        </w:rPr>
      </w:pPr>
    </w:p>
    <w:p>
      <w:pPr>
        <w:ind w:left="1320" w:right="120" w:hanging="322"/>
        <w:spacing w:after="0" w:line="259" w:lineRule="auto"/>
        <w:tabs>
          <w:tab w:leader="none" w:pos="1765" w:val="left"/>
        </w:tabs>
        <w:numPr>
          <w:ilvl w:val="0"/>
          <w:numId w:val="15"/>
        </w:numPr>
        <w:rPr>
          <w:rFonts w:ascii="Arial" w:cs="Arial" w:eastAsia="Arial" w:hAnsi="Arial"/>
          <w:sz w:val="18"/>
          <w:szCs w:val="18"/>
          <w:color w:val="auto"/>
        </w:rPr>
      </w:pPr>
      <w:r>
        <w:rPr>
          <w:rFonts w:ascii="Arial" w:cs="Arial" w:eastAsia="Arial" w:hAnsi="Arial"/>
          <w:sz w:val="18"/>
          <w:szCs w:val="18"/>
          <w:color w:val="auto"/>
          <w:highlight w:val="white"/>
        </w:rPr>
        <w:t>shares of Class A common stock issuable upon the vesting and settlement of restricted stock units, or RSUs, outstanding as of the date of this prospectus subject to service-based and/or performance-based conditions, for which (i) the service-based condition was not satisfied as of such date and (ii) the performance-based condition, if applicable, will be satisfied upon the effectiveness of the registration statement of which this prospectus forms a part;</w:t>
      </w:r>
    </w:p>
    <w:p>
      <w:pPr>
        <w:spacing w:after="0" w:line="125" w:lineRule="exact"/>
        <w:rPr>
          <w:sz w:val="20"/>
          <w:szCs w:val="20"/>
          <w:color w:val="auto"/>
        </w:rPr>
      </w:pPr>
    </w:p>
    <w:p>
      <w:pPr>
        <w:ind w:left="1000"/>
        <w:spacing w:after="0"/>
        <w:tabs>
          <w:tab w:leader="none" w:pos="1740" w:val="left"/>
          <w:tab w:leader="none" w:pos="9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the exercise of warrants to purchase</w:t>
      </w:r>
      <w:r>
        <w:rPr>
          <w:sz w:val="20"/>
          <w:szCs w:val="20"/>
          <w:color w:val="auto"/>
        </w:rPr>
        <w:tab/>
      </w:r>
      <w:r>
        <w:rPr>
          <w:rFonts w:ascii="Arial" w:cs="Arial" w:eastAsia="Arial" w:hAnsi="Arial"/>
          <w:sz w:val="17"/>
          <w:szCs w:val="17"/>
          <w:color w:val="auto"/>
        </w:rPr>
        <w:t>shares of Class</w:t>
      </w:r>
    </w:p>
    <w:p>
      <w:pPr>
        <w:spacing w:after="0" w:line="27" w:lineRule="exact"/>
        <w:rPr>
          <w:sz w:val="20"/>
          <w:szCs w:val="20"/>
          <w:color w:val="auto"/>
        </w:rPr>
      </w:pPr>
    </w:p>
    <w:p>
      <w:pPr>
        <w:ind w:left="1320"/>
        <w:spacing w:after="0"/>
        <w:tabs>
          <w:tab w:leader="none" w:pos="5160" w:val="left"/>
          <w:tab w:leader="none" w:pos="9520" w:val="left"/>
        </w:tabs>
        <w:rPr>
          <w:sz w:val="20"/>
          <w:szCs w:val="20"/>
          <w:color w:val="auto"/>
        </w:rPr>
      </w:pPr>
      <w:r>
        <w:rPr>
          <w:rFonts w:ascii="Arial" w:cs="Arial" w:eastAsia="Arial" w:hAnsi="Arial"/>
          <w:sz w:val="18"/>
          <w:szCs w:val="18"/>
          <w:color w:val="auto"/>
        </w:rPr>
        <w:t>A common stock outstanding as of</w:t>
      </w:r>
      <w:r>
        <w:rPr>
          <w:sz w:val="20"/>
          <w:szCs w:val="20"/>
          <w:color w:val="auto"/>
        </w:rPr>
        <w:tab/>
      </w:r>
      <w:r>
        <w:rPr>
          <w:rFonts w:ascii="Arial" w:cs="Arial" w:eastAsia="Arial" w:hAnsi="Arial"/>
          <w:sz w:val="18"/>
          <w:szCs w:val="18"/>
          <w:color w:val="auto"/>
        </w:rPr>
        <w:t>, 2025, with a weighted-average exercise price of $</w:t>
      </w:r>
      <w:r>
        <w:rPr>
          <w:sz w:val="20"/>
          <w:szCs w:val="20"/>
          <w:color w:val="auto"/>
        </w:rPr>
        <w:tab/>
      </w:r>
      <w:r>
        <w:rPr>
          <w:rFonts w:ascii="Arial" w:cs="Arial" w:eastAsia="Arial" w:hAnsi="Arial"/>
          <w:sz w:val="17"/>
          <w:szCs w:val="17"/>
          <w:color w:val="auto"/>
        </w:rPr>
        <w:t>per share;</w:t>
      </w:r>
    </w:p>
    <w:p>
      <w:pPr>
        <w:spacing w:after="0" w:line="153" w:lineRule="exact"/>
        <w:rPr>
          <w:sz w:val="20"/>
          <w:szCs w:val="20"/>
          <w:color w:val="auto"/>
        </w:rPr>
      </w:pPr>
    </w:p>
    <w:p>
      <w:pPr>
        <w:ind w:left="1000"/>
        <w:spacing w:after="0"/>
        <w:tabs>
          <w:tab w:leader="none" w:pos="1300" w:val="left"/>
          <w:tab w:leader="none" w:pos="2240" w:val="left"/>
        </w:tabs>
        <w:rPr>
          <w:sz w:val="20"/>
          <w:szCs w:val="20"/>
          <w:color w:val="auto"/>
        </w:rPr>
      </w:pPr>
      <w:r>
        <w:rPr>
          <w:rFonts w:ascii="Arial" w:cs="Arial" w:eastAsia="Arial" w:hAnsi="Arial"/>
          <w:sz w:val="18"/>
          <w:szCs w:val="18"/>
          <w:color w:val="auto"/>
        </w:rPr>
        <w:t>•</w:t>
        <w:tab/>
        <w:t>up to</w:t>
      </w:r>
      <w:r>
        <w:rPr>
          <w:sz w:val="20"/>
          <w:szCs w:val="20"/>
          <w:color w:val="auto"/>
        </w:rPr>
        <w:tab/>
      </w:r>
      <w:r>
        <w:rPr>
          <w:rFonts w:ascii="Arial" w:cs="Arial" w:eastAsia="Arial" w:hAnsi="Arial"/>
          <w:sz w:val="17"/>
          <w:szCs w:val="17"/>
          <w:color w:val="auto"/>
        </w:rPr>
        <w:t>shares of our Class A common stock reserved for future issuance under our 2025 Equity Incentive Plan,</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or the 2025 Plan, which will become effective on the day before the date of the underwriting agreement for this</w:t>
      </w:r>
    </w:p>
    <w:p>
      <w:pPr>
        <w:spacing w:after="0" w:line="9" w:lineRule="exact"/>
        <w:rPr>
          <w:sz w:val="20"/>
          <w:szCs w:val="20"/>
          <w:color w:val="auto"/>
        </w:rPr>
      </w:pPr>
    </w:p>
    <w:p>
      <w:pPr>
        <w:ind w:left="1320"/>
        <w:spacing w:after="0"/>
        <w:tabs>
          <w:tab w:leader="none" w:pos="3540" w:val="left"/>
          <w:tab w:leader="none" w:pos="5820" w:val="left"/>
        </w:tabs>
        <w:rPr>
          <w:sz w:val="20"/>
          <w:szCs w:val="20"/>
          <w:color w:val="auto"/>
        </w:rPr>
      </w:pPr>
      <w:r>
        <w:rPr>
          <w:rFonts w:ascii="Arial" w:cs="Arial" w:eastAsia="Arial" w:hAnsi="Arial"/>
          <w:sz w:val="18"/>
          <w:szCs w:val="18"/>
          <w:color w:val="auto"/>
        </w:rPr>
        <w:t>offering, consisting of</w:t>
      </w:r>
      <w:r>
        <w:rPr>
          <w:sz w:val="20"/>
          <w:szCs w:val="20"/>
          <w:color w:val="auto"/>
        </w:rPr>
        <w:tab/>
      </w:r>
      <w:r>
        <w:rPr>
          <w:rFonts w:ascii="Arial" w:cs="Arial" w:eastAsia="Arial" w:hAnsi="Arial"/>
          <w:sz w:val="18"/>
          <w:szCs w:val="18"/>
          <w:color w:val="auto"/>
        </w:rPr>
        <w:t>new shares and up to</w:t>
      </w:r>
      <w:r>
        <w:rPr>
          <w:sz w:val="20"/>
          <w:szCs w:val="20"/>
          <w:color w:val="auto"/>
        </w:rPr>
        <w:tab/>
      </w:r>
      <w:r>
        <w:rPr>
          <w:rFonts w:ascii="Arial" w:cs="Arial" w:eastAsia="Arial" w:hAnsi="Arial"/>
          <w:sz w:val="18"/>
          <w:szCs w:val="18"/>
          <w:color w:val="auto"/>
        </w:rPr>
        <w:t>shares underlying outstanding awards granted under our</w:t>
      </w:r>
    </w:p>
    <w:p>
      <w:pPr>
        <w:spacing w:after="0" w:line="9" w:lineRule="exact"/>
        <w:rPr>
          <w:sz w:val="20"/>
          <w:szCs w:val="20"/>
          <w:color w:val="auto"/>
        </w:rPr>
      </w:pPr>
    </w:p>
    <w:p>
      <w:pPr>
        <w:ind w:left="1320" w:right="80"/>
        <w:spacing w:after="0" w:line="258" w:lineRule="auto"/>
        <w:rPr>
          <w:sz w:val="20"/>
          <w:szCs w:val="20"/>
          <w:color w:val="auto"/>
        </w:rPr>
      </w:pPr>
      <w:r>
        <w:rPr>
          <w:rFonts w:ascii="Arial" w:cs="Arial" w:eastAsia="Arial" w:hAnsi="Arial"/>
          <w:sz w:val="18"/>
          <w:szCs w:val="18"/>
          <w:color w:val="auto"/>
        </w:rPr>
        <w:t>2015 Plan that, after the date the 2025 Plan becomes effective, either are not issued (due to the awards expiring or being settled in cash), are forfeited or repurchased due to failure to vest, or are withheld to satisfy the exercise, strike, or purchase price or tax withholding obligations; and</w:t>
      </w:r>
    </w:p>
    <w:p>
      <w:pPr>
        <w:spacing w:after="0" w:line="124" w:lineRule="exact"/>
        <w:rPr>
          <w:sz w:val="20"/>
          <w:szCs w:val="20"/>
          <w:color w:val="auto"/>
        </w:rPr>
      </w:pPr>
    </w:p>
    <w:p>
      <w:pPr>
        <w:ind w:left="1320" w:right="40" w:hanging="322"/>
        <w:spacing w:after="0" w:line="287" w:lineRule="auto"/>
        <w:tabs>
          <w:tab w:leader="none" w:pos="18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2025 Employee Stock Purchase Plan, which will become effective in connection with this offering.</w:t>
      </w:r>
    </w:p>
    <w:p>
      <w:pPr>
        <w:spacing w:after="0" w:line="9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171" w:lineRule="exact"/>
        <w:rPr>
          <w:sz w:val="20"/>
          <w:szCs w:val="20"/>
          <w:color w:val="auto"/>
        </w:rPr>
      </w:pPr>
    </w:p>
    <w:p>
      <w:pPr>
        <w:ind w:left="1000"/>
        <w:spacing w:after="0"/>
        <w:tabs>
          <w:tab w:leader="none" w:pos="1740" w:val="left"/>
          <w:tab w:leader="none" w:pos="8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redeemable convertible preferred stock outstanding as of</w:t>
      </w:r>
      <w:r>
        <w:rPr>
          <w:sz w:val="20"/>
          <w:szCs w:val="20"/>
          <w:color w:val="auto"/>
        </w:rPr>
        <w:tab/>
      </w:r>
      <w:r>
        <w:rPr>
          <w:rFonts w:ascii="Arial" w:cs="Arial" w:eastAsia="Arial" w:hAnsi="Arial"/>
          <w:sz w:val="17"/>
          <w:szCs w:val="17"/>
          <w:color w:val="auto"/>
        </w:rPr>
        <w:t>, 2025 that will automatically</w:t>
      </w:r>
    </w:p>
    <w:p>
      <w:pPr>
        <w:spacing w:after="0" w:line="27" w:lineRule="exact"/>
        <w:rPr>
          <w:sz w:val="20"/>
          <w:szCs w:val="20"/>
          <w:color w:val="auto"/>
        </w:rPr>
      </w:pPr>
    </w:p>
    <w:p>
      <w:pPr>
        <w:ind w:left="1320"/>
        <w:spacing w:after="0"/>
        <w:tabs>
          <w:tab w:leader="none" w:pos="2740" w:val="left"/>
        </w:tabs>
        <w:rPr>
          <w:sz w:val="20"/>
          <w:szCs w:val="20"/>
          <w:color w:val="auto"/>
        </w:rPr>
      </w:pPr>
      <w:r>
        <w:rPr>
          <w:rFonts w:ascii="Arial" w:cs="Arial" w:eastAsia="Arial" w:hAnsi="Arial"/>
          <w:sz w:val="18"/>
          <w:szCs w:val="18"/>
          <w:color w:val="auto"/>
        </w:rPr>
        <w:t>convert into</w:t>
      </w:r>
      <w:r>
        <w:rPr>
          <w:sz w:val="20"/>
          <w:szCs w:val="20"/>
          <w:color w:val="auto"/>
        </w:rPr>
        <w:tab/>
      </w:r>
      <w:r>
        <w:rPr>
          <w:rFonts w:ascii="Arial" w:cs="Arial" w:eastAsia="Arial" w:hAnsi="Arial"/>
          <w:sz w:val="17"/>
          <w:szCs w:val="17"/>
          <w:color w:val="auto"/>
        </w:rPr>
        <w:t>shares of Class A common stock in connection with the closing of this offering pursuant to the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terms of our amended and restated certificate of incorporation, which we refer to as the Capital Stock Conversion;</w:t>
      </w:r>
    </w:p>
    <w:p>
      <w:pPr>
        <w:spacing w:after="0" w:line="153" w:lineRule="exact"/>
        <w:rPr>
          <w:sz w:val="20"/>
          <w:szCs w:val="20"/>
          <w:color w:val="auto"/>
        </w:rPr>
      </w:pPr>
    </w:p>
    <w:p>
      <w:pPr>
        <w:ind w:left="1000"/>
        <w:spacing w:after="0"/>
        <w:tabs>
          <w:tab w:leader="none" w:pos="1740" w:val="left"/>
          <w:tab w:leader="none" w:pos="7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conversion of $</w:t>
      </w:r>
      <w:r>
        <w:rPr>
          <w:sz w:val="20"/>
          <w:szCs w:val="20"/>
          <w:color w:val="auto"/>
        </w:rPr>
        <w:tab/>
      </w:r>
      <w:r>
        <w:rPr>
          <w:rFonts w:ascii="Arial" w:cs="Arial" w:eastAsia="Arial" w:hAnsi="Arial"/>
          <w:sz w:val="17"/>
          <w:szCs w:val="17"/>
          <w:color w:val="auto"/>
        </w:rPr>
        <w:t>million aggregate principal amount of</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our outstanding unsecured convertible notes due 2027, or the Convertible Notes, including accrued and unpaid</w:t>
      </w:r>
    </w:p>
    <w:p>
      <w:pPr>
        <w:spacing w:after="0" w:line="9" w:lineRule="exact"/>
        <w:rPr>
          <w:sz w:val="20"/>
          <w:szCs w:val="20"/>
          <w:color w:val="auto"/>
        </w:rPr>
      </w:pPr>
    </w:p>
    <w:p>
      <w:pPr>
        <w:jc w:val="right"/>
        <w:ind w:right="20"/>
        <w:spacing w:after="0"/>
        <w:tabs>
          <w:tab w:leader="none" w:pos="4900" w:val="left"/>
        </w:tabs>
        <w:rPr>
          <w:sz w:val="20"/>
          <w:szCs w:val="20"/>
          <w:color w:val="auto"/>
        </w:rPr>
      </w:pPr>
      <w:r>
        <w:rPr>
          <w:rFonts w:ascii="Arial" w:cs="Arial" w:eastAsia="Arial" w:hAnsi="Arial"/>
          <w:sz w:val="18"/>
          <w:szCs w:val="18"/>
          <w:color w:val="auto"/>
        </w:rPr>
        <w:t>interest through an assumed conversion date of</w:t>
      </w:r>
      <w:r>
        <w:rPr>
          <w:sz w:val="20"/>
          <w:szCs w:val="20"/>
          <w:color w:val="auto"/>
        </w:rPr>
        <w:tab/>
      </w:r>
      <w:r>
        <w:rPr>
          <w:rFonts w:ascii="Arial" w:cs="Arial" w:eastAsia="Arial" w:hAnsi="Arial"/>
          <w:sz w:val="18"/>
          <w:szCs w:val="18"/>
          <w:color w:val="auto"/>
        </w:rPr>
        <w:t>, 2025, based upon the assumed initial public offering price of</w:t>
      </w:r>
    </w:p>
    <w:p>
      <w:pPr>
        <w:spacing w:after="0" w:line="9" w:lineRule="exact"/>
        <w:rPr>
          <w:sz w:val="20"/>
          <w:szCs w:val="20"/>
          <w:color w:val="auto"/>
        </w:rPr>
      </w:pPr>
    </w:p>
    <w:p>
      <w:pPr>
        <w:jc w:val="both"/>
        <w:ind w:left="1320" w:right="20" w:firstLine="2"/>
        <w:spacing w:after="0" w:line="258" w:lineRule="auto"/>
        <w:tabs>
          <w:tab w:leader="none" w:pos="16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 share, which is the midpoint of the offering price range set forth on the cover page of this prospectus, which Convertible Notes will convert in connection with the closing of this offering pursuant to the terms of the Convertible Notes, which we refer to as the Note Conversion;</w:t>
      </w:r>
    </w:p>
    <w:p>
      <w:pPr>
        <w:spacing w:after="0" w:line="124" w:lineRule="exact"/>
        <w:rPr>
          <w:sz w:val="20"/>
          <w:szCs w:val="20"/>
          <w:color w:val="auto"/>
        </w:rPr>
      </w:pPr>
    </w:p>
    <w:p>
      <w:pPr>
        <w:ind w:left="1000"/>
        <w:spacing w:after="0"/>
        <w:tabs>
          <w:tab w:leader="none" w:pos="1900" w:val="left"/>
          <w:tab w:leader="none" w:pos="7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conversion of $</w:t>
      </w:r>
      <w:r>
        <w:rPr>
          <w:sz w:val="20"/>
          <w:szCs w:val="20"/>
          <w:color w:val="auto"/>
        </w:rPr>
        <w:tab/>
      </w:r>
      <w:r>
        <w:rPr>
          <w:rFonts w:ascii="Arial" w:cs="Arial" w:eastAsia="Arial" w:hAnsi="Arial"/>
          <w:sz w:val="17"/>
          <w:szCs w:val="17"/>
          <w:color w:val="auto"/>
        </w:rPr>
        <w:t>million principal amount of our</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outstanding Simple Agreements for Future Equity, or the SAFEs, including accrued and unpaid interest through an</w:t>
      </w:r>
    </w:p>
    <w:p>
      <w:pPr>
        <w:spacing w:after="0" w:line="9" w:lineRule="exact"/>
        <w:rPr>
          <w:sz w:val="20"/>
          <w:szCs w:val="20"/>
          <w:color w:val="auto"/>
        </w:rPr>
      </w:pPr>
    </w:p>
    <w:p>
      <w:pPr>
        <w:ind w:left="1320"/>
        <w:spacing w:after="0"/>
        <w:tabs>
          <w:tab w:leader="none" w:pos="4060" w:val="left"/>
        </w:tabs>
        <w:rPr>
          <w:sz w:val="20"/>
          <w:szCs w:val="20"/>
          <w:color w:val="auto"/>
        </w:rPr>
      </w:pPr>
      <w:r>
        <w:rPr>
          <w:rFonts w:ascii="Arial" w:cs="Arial" w:eastAsia="Arial" w:hAnsi="Arial"/>
          <w:sz w:val="18"/>
          <w:szCs w:val="18"/>
          <w:color w:val="auto"/>
        </w:rPr>
        <w:t>assumed conversion date of</w:t>
      </w:r>
      <w:r>
        <w:rPr>
          <w:sz w:val="20"/>
          <w:szCs w:val="20"/>
          <w:color w:val="auto"/>
        </w:rPr>
        <w:tab/>
      </w:r>
      <w:r>
        <w:rPr>
          <w:rFonts w:ascii="Arial" w:cs="Arial" w:eastAsia="Arial" w:hAnsi="Arial"/>
          <w:sz w:val="17"/>
          <w:szCs w:val="17"/>
          <w:color w:val="auto"/>
        </w:rPr>
        <w:t>, 2025, upon the closing of this offering, based upon the assumed initial public</w:t>
      </w:r>
    </w:p>
    <w:p>
      <w:pPr>
        <w:spacing w:after="0" w:line="9" w:lineRule="exact"/>
        <w:rPr>
          <w:sz w:val="20"/>
          <w:szCs w:val="20"/>
          <w:color w:val="auto"/>
        </w:rPr>
      </w:pPr>
    </w:p>
    <w:p>
      <w:pPr>
        <w:ind w:left="1320" w:right="240"/>
        <w:spacing w:after="0" w:line="266" w:lineRule="auto"/>
        <w:rPr>
          <w:sz w:val="20"/>
          <w:szCs w:val="20"/>
          <w:color w:val="auto"/>
        </w:rPr>
      </w:pPr>
      <w:r>
        <w:rPr>
          <w:rFonts w:ascii="Arial" w:cs="Arial" w:eastAsia="Arial" w:hAnsi="Arial"/>
          <w:sz w:val="18"/>
          <w:szCs w:val="18"/>
          <w:color w:val="auto"/>
        </w:rPr>
        <w:t>offering price of $ per share, which is the midpoint of the offering price range set forth on the cover page of this prospectus, which we refer to as the SAFE Conversion;</w:t>
      </w:r>
    </w:p>
    <w:p>
      <w:pPr>
        <w:sectPr>
          <w:pgSz w:w="11900" w:h="16838" w:orient="portrait"/>
          <w:cols w:equalWidth="0" w:num="1">
            <w:col w:w="10540"/>
          </w:cols>
          <w:pgMar w:left="320" w:top="22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40"/>
          </w:cols>
          <w:pgMar w:left="320" w:top="229" w:right="10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7136130" cy="5447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544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20" w:right="60" w:hanging="323"/>
        <w:spacing w:after="0" w:line="253" w:lineRule="auto"/>
        <w:tabs>
          <w:tab w:leader="none" w:pos="1300" w:val="left"/>
        </w:tabs>
        <w:rPr>
          <w:sz w:val="20"/>
          <w:szCs w:val="20"/>
          <w:color w:val="auto"/>
        </w:rPr>
      </w:pPr>
      <w:r>
        <w:rPr>
          <w:rFonts w:ascii="Arial" w:cs="Arial" w:eastAsia="Arial" w:hAnsi="Arial"/>
          <w:sz w:val="18"/>
          <w:szCs w:val="18"/>
          <w:color w:val="auto"/>
        </w:rPr>
        <w:t>•</w:t>
        <w:tab/>
        <w:t>the net issuance of shares of Class A common stock in connection with the vesting and settlement of certain RSUs outstanding as of the date of this prospectus subject to service- based and/or performance-based conditions, for which (i) the service-based condition was fully or partially satisfied as of such date and (ii) the performance-based condition, if applicable, will be satisfied upon the effectiveness of the registration statement of which this prospectus forms a part, which we refer to as the IPO Vesting RSUs, after giving effect to the withholding of shares of our Class A common stock to satisfy the associated estimated tax withholding and remittance</w:t>
      </w:r>
    </w:p>
    <w:p>
      <w:pPr>
        <w:spacing w:after="0" w:line="5" w:lineRule="exact"/>
        <w:rPr>
          <w:sz w:val="20"/>
          <w:szCs w:val="20"/>
          <w:color w:val="auto"/>
        </w:rPr>
      </w:pPr>
    </w:p>
    <w:p>
      <w:pPr>
        <w:ind w:left="1320" w:right="120"/>
        <w:spacing w:after="0" w:line="258" w:lineRule="auto"/>
        <w:rPr>
          <w:sz w:val="20"/>
          <w:szCs w:val="20"/>
          <w:color w:val="auto"/>
        </w:rPr>
      </w:pPr>
      <w:r>
        <w:rPr>
          <w:rFonts w:ascii="Arial" w:cs="Arial" w:eastAsia="Arial" w:hAnsi="Arial"/>
          <w:sz w:val="18"/>
          <w:szCs w:val="18"/>
          <w:color w:val="auto"/>
        </w:rPr>
        <w:t>obligations (based on the assumed initial public offering price of $ per share, the midpoint of the price range set forth on the cover page of this prospectus, and an assumed % tax withholding rate), which we refer to as the RSU Net Settlement;</w:t>
      </w:r>
    </w:p>
    <w:p>
      <w:pPr>
        <w:spacing w:after="0" w:line="124" w:lineRule="exact"/>
        <w:rPr>
          <w:sz w:val="20"/>
          <w:szCs w:val="20"/>
          <w:color w:val="auto"/>
        </w:rPr>
      </w:pPr>
    </w:p>
    <w:p>
      <w:pPr>
        <w:ind w:left="1320" w:right="380" w:hanging="322"/>
        <w:spacing w:after="0" w:line="287"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each of which will occur immediately prior to the completion of this offering;</w:t>
      </w:r>
    </w:p>
    <w:p>
      <w:pPr>
        <w:spacing w:after="0" w:line="98" w:lineRule="exact"/>
        <w:rPr>
          <w:rFonts w:ascii="Arial" w:cs="Arial" w:eastAsia="Arial" w:hAnsi="Arial"/>
          <w:sz w:val="18"/>
          <w:szCs w:val="18"/>
          <w:color w:val="auto"/>
        </w:rPr>
      </w:pPr>
    </w:p>
    <w:p>
      <w:pPr>
        <w:ind w:left="1320" w:hanging="322"/>
        <w:spacing w:after="0" w:line="287"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described above, no exercise of outstanding stock options or warrants or settlement of outstanding RSUs; and</w:t>
      </w:r>
    </w:p>
    <w:p>
      <w:pPr>
        <w:sectPr>
          <w:pgSz w:w="11900" w:h="16838" w:orient="portrait"/>
          <w:cols w:equalWidth="0" w:num="1">
            <w:col w:w="10540"/>
          </w:cols>
          <w:pgMar w:left="320" w:top="229" w:right="1039" w:bottom="1440" w:gutter="0" w:footer="0" w:header="0"/>
        </w:sectPr>
      </w:pPr>
    </w:p>
    <w:p>
      <w:pPr>
        <w:spacing w:after="0" w:line="9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hanging="4"/>
        <w:spacing w:after="0" w:line="287" w:lineRule="auto"/>
        <w:rPr>
          <w:sz w:val="20"/>
          <w:szCs w:val="20"/>
          <w:color w:val="auto"/>
        </w:rPr>
      </w:pPr>
      <w:r>
        <w:rPr>
          <w:rFonts w:ascii="Arial" w:cs="Arial" w:eastAsia="Arial" w:hAnsi="Arial"/>
          <w:sz w:val="18"/>
          <w:szCs w:val="18"/>
          <w:color w:val="auto"/>
        </w:rPr>
        <w:t>no exercise by the underwriters of their option to purchase this offering.</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of our Class A common stock in</w:t>
      </w:r>
    </w:p>
    <w:p>
      <w:pPr>
        <w:spacing w:after="0" w:line="398" w:lineRule="exact"/>
        <w:rPr>
          <w:sz w:val="20"/>
          <w:szCs w:val="20"/>
          <w:color w:val="auto"/>
        </w:rPr>
      </w:pPr>
    </w:p>
    <w:p>
      <w:pPr>
        <w:sectPr>
          <w:pgSz w:w="11900" w:h="16838" w:orient="portrait"/>
          <w:cols w:equalWidth="0" w:num="3">
            <w:col w:w="1060" w:space="260"/>
            <w:col w:w="4620" w:space="560"/>
            <w:col w:w="4040"/>
          </w:cols>
          <w:pgMar w:left="320" w:top="229" w:right="1039" w:bottom="1440" w:gutter="0" w:footer="0" w:header="0"/>
          <w:type w:val="continuous"/>
        </w:sectPr>
      </w:pPr>
    </w:p>
    <w:p>
      <w:pPr>
        <w:ind w:left="680" w:right="40" w:firstLine="324"/>
        <w:spacing w:after="0" w:line="268" w:lineRule="auto"/>
        <w:rPr>
          <w:sz w:val="20"/>
          <w:szCs w:val="20"/>
          <w:color w:val="auto"/>
        </w:rPr>
      </w:pPr>
      <w:r>
        <w:rPr>
          <w:rFonts w:ascii="Arial" w:cs="Arial" w:eastAsia="Arial" w:hAnsi="Arial"/>
          <w:sz w:val="17"/>
          <w:szCs w:val="17"/>
          <w:color w:val="auto"/>
        </w:rPr>
        <w:t>The assumed % tax withholding rate used in this prospectus is an assumed blended withholding rate for the IPO Vesting RSUs that are subject to withholding in the RSU Net Settlement. A portion of the IPO Vesting RSUs that will settle as part of the RSU Net Settlement are not subject to tax withholding obligations. The estimates in this prospectus relating to the RSU Net Settlement and related share withholding may differ from actual results due to, among other things, the actual initial public offering price and other terms of this offering determined at pricing, actual forfeitures through the date of this prospectus, and actual tax withholding rates. In addition, information in this prospectus relating to RSUs outstanding as of</w:t>
      </w:r>
    </w:p>
    <w:p>
      <w:pPr>
        <w:spacing w:after="0" w:line="4" w:lineRule="exact"/>
        <w:rPr>
          <w:sz w:val="20"/>
          <w:szCs w:val="20"/>
          <w:color w:val="auto"/>
        </w:rPr>
      </w:pPr>
    </w:p>
    <w:tbl>
      <w:tblPr>
        <w:tblLayout w:type="fixed"/>
        <w:tblInd w:w="680" w:type="dxa"/>
        <w:tblCellMar>
          <w:top w:w="0" w:type="dxa"/>
          <w:left w:w="0" w:type="dxa"/>
          <w:bottom w:w="0" w:type="dxa"/>
          <w:right w:w="0" w:type="dxa"/>
        </w:tblCellMar>
      </w:tblPr>
      <w:tr>
        <w:trPr>
          <w:trHeight w:val="239"/>
        </w:trPr>
        <w:tc>
          <w:tcPr>
            <w:tcW w:w="5320" w:type="dxa"/>
            <w:vAlign w:val="bottom"/>
          </w:tcPr>
          <w:p>
            <w:pPr>
              <w:spacing w:after="0"/>
              <w:rPr>
                <w:sz w:val="20"/>
                <w:szCs w:val="20"/>
                <w:color w:val="auto"/>
              </w:rPr>
            </w:pPr>
            <w:r>
              <w:rPr>
                <w:rFonts w:ascii="Arial" w:cs="Arial" w:eastAsia="Arial" w:hAnsi="Arial"/>
                <w:sz w:val="18"/>
                <w:szCs w:val="18"/>
                <w:color w:val="auto"/>
              </w:rPr>
              <w:t>the date of this prospectus reflects estimated forfeitures through</w:t>
            </w:r>
          </w:p>
        </w:tc>
        <w:tc>
          <w:tcPr>
            <w:tcW w:w="800" w:type="dxa"/>
            <w:vAlign w:val="bottom"/>
          </w:tcPr>
          <w:p>
            <w:pPr>
              <w:jc w:val="right"/>
              <w:spacing w:after="0"/>
              <w:rPr>
                <w:sz w:val="20"/>
                <w:szCs w:val="20"/>
                <w:color w:val="auto"/>
              </w:rPr>
            </w:pPr>
            <w:r>
              <w:rPr>
                <w:rFonts w:ascii="Arial" w:cs="Arial" w:eastAsia="Arial" w:hAnsi="Arial"/>
                <w:sz w:val="18"/>
                <w:szCs w:val="18"/>
                <w:color w:val="auto"/>
              </w:rPr>
              <w:t>, 2025.</w:t>
            </w:r>
          </w:p>
        </w:tc>
      </w:tr>
    </w:tbl>
    <w:p>
      <w:pPr>
        <w:spacing w:after="0" w:line="121" w:lineRule="exact"/>
        <w:rPr>
          <w:sz w:val="20"/>
          <w:szCs w:val="20"/>
          <w:color w:val="auto"/>
        </w:rPr>
      </w:pPr>
    </w:p>
    <w:p>
      <w:pPr>
        <w:ind w:left="680" w:right="140" w:firstLine="324"/>
        <w:spacing w:after="0" w:line="270" w:lineRule="auto"/>
        <w:rPr>
          <w:sz w:val="20"/>
          <w:szCs w:val="20"/>
          <w:color w:val="auto"/>
        </w:rPr>
      </w:pPr>
      <w:r>
        <w:rPr>
          <w:rFonts w:ascii="Arial" w:cs="Arial" w:eastAsia="Arial" w:hAnsi="Arial"/>
          <w:sz w:val="17"/>
          <w:szCs w:val="17"/>
          <w:color w:val="auto"/>
        </w:rPr>
        <w:t>Additionally, pursuant to certain equity exchange agreements entered into between us and each co-founder, each co-founder has a right (but not an obligation) to require us to exchange, for shares of Class B common stock, any shares of Class A common stock received by him upon the exercise or settlement of equity awards for shares of Class A common stock, or the Equity Exchange Rights. The Equity Exchange Rights apply to equity awards granted to our co-founders prior</w:t>
      </w:r>
    </w:p>
    <w:p>
      <w:pPr>
        <w:spacing w:after="0" w:line="2" w:lineRule="exact"/>
        <w:rPr>
          <w:sz w:val="20"/>
          <w:szCs w:val="20"/>
          <w:color w:val="auto"/>
        </w:rPr>
      </w:pPr>
    </w:p>
    <w:p>
      <w:pPr>
        <w:ind w:left="680" w:right="380"/>
        <w:spacing w:after="0" w:line="250" w:lineRule="auto"/>
        <w:rPr>
          <w:sz w:val="20"/>
          <w:szCs w:val="20"/>
          <w:color w:val="auto"/>
        </w:rPr>
      </w:pPr>
      <w:r>
        <w:rPr>
          <w:rFonts w:ascii="Arial" w:cs="Arial" w:eastAsia="Arial" w:hAnsi="Arial"/>
          <w:sz w:val="18"/>
          <w:szCs w:val="18"/>
          <w:color w:val="auto"/>
        </w:rPr>
        <w:t>to the effectiveness of the filing of our amended and restated certificate of incorporation. As of , 2025, there were shares of our Class A common stock subject to outstanding stock options to purchase shares of our Class A</w:t>
      </w:r>
    </w:p>
    <w:p>
      <w:pPr>
        <w:spacing w:after="0" w:line="1" w:lineRule="exact"/>
        <w:rPr>
          <w:sz w:val="20"/>
          <w:szCs w:val="20"/>
          <w:color w:val="auto"/>
        </w:rPr>
      </w:pPr>
    </w:p>
    <w:p>
      <w:pPr>
        <w:ind w:left="680" w:right="200"/>
        <w:spacing w:after="0" w:line="266" w:lineRule="auto"/>
        <w:rPr>
          <w:sz w:val="20"/>
          <w:szCs w:val="20"/>
          <w:color w:val="auto"/>
        </w:rPr>
      </w:pPr>
      <w:r>
        <w:rPr>
          <w:rFonts w:ascii="Arial" w:cs="Arial" w:eastAsia="Arial" w:hAnsi="Arial"/>
          <w:sz w:val="18"/>
          <w:szCs w:val="18"/>
          <w:color w:val="auto"/>
        </w:rPr>
        <w:t>common stock held by our co-founders and that may be exchanged, upon exercise, for an equivalent number of shares of our Class B common stock following this offering pursuant to the Equity Exchange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0"/>
          </w:cols>
          <w:pgMar w:left="320" w:top="229" w:right="10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7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following tables summarize our consolidated financial and other data. We derived our summary consolidated statements of operations data for the fiscal years ended January 31, 2025 and 2024 (except for pro forma basic and diluted net loss per share attributable to common stockholders and weighted-average shares used in computing pro forma basic and diluted net loss per share attributable to common stockholders) and our summary consolidated balance sheet data as of January 31, 2025 from our audited consolidated financial statements included elsewhere in this prospectus. Our historical results are not necessarily indicative of the results to be expected in the future. You should read the following summary consolidated financial and other data in conjunction with the section titled “Management’s Discussion and Analysis of Financial Condition and Results of Operations,” and our consolidated financial statements, the accompanying notes, and other financial information included elsewhere in this prospectus. The summary consolidated financial and other data in this section are not intended to replace our consolidated financial statements and the related notes and are qualified in their entirety by our consolidated financial statements and the related notes included elsewhere in this prospectus. Our fiscal year end is January 31, and our fiscal quarters end on April 30, July 31, October 31, and January 31. Our fiscal years ended January 31, 2025 and 2024 are referred to herein as fiscal 2025 and fiscal 2024,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47"/>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Statements of Operations Data:</w:t>
            </w:r>
          </w:p>
        </w:tc>
        <w:tc>
          <w:tcPr>
            <w:tcW w:w="160" w:type="dxa"/>
            <w:vAlign w:val="bottom"/>
          </w:tcPr>
          <w:p>
            <w:pPr>
              <w:spacing w:after="0"/>
              <w:rPr>
                <w:sz w:val="12"/>
                <w:szCs w:val="12"/>
                <w:color w:val="auto"/>
              </w:rPr>
            </w:pPr>
          </w:p>
        </w:tc>
        <w:tc>
          <w:tcPr>
            <w:tcW w:w="3100" w:type="dxa"/>
            <w:vAlign w:val="bottom"/>
            <w:gridSpan w:val="4"/>
          </w:tcPr>
          <w:p>
            <w:pPr>
              <w:jc w:val="right"/>
              <w:ind w:right="91"/>
              <w:spacing w:after="0" w:line="147" w:lineRule="exact"/>
              <w:rPr>
                <w:sz w:val="20"/>
                <w:szCs w:val="20"/>
                <w:color w:val="auto"/>
              </w:rPr>
            </w:pPr>
            <w:r>
              <w:rPr>
                <w:rFonts w:ascii="Arial" w:cs="Arial" w:eastAsia="Arial" w:hAnsi="Arial"/>
                <w:sz w:val="14"/>
                <w:szCs w:val="14"/>
                <w:b w:val="1"/>
                <w:bCs w:val="1"/>
                <w:color w:val="auto"/>
              </w:rPr>
              <w:t>(in thousands, except share and per share</w:t>
            </w:r>
          </w:p>
        </w:tc>
        <w:tc>
          <w:tcPr>
            <w:tcW w:w="0" w:type="dxa"/>
            <w:vAlign w:val="bottom"/>
          </w:tcPr>
          <w:p>
            <w:pPr>
              <w:spacing w:after="0"/>
              <w:rPr>
                <w:sz w:val="1"/>
                <w:szCs w:val="1"/>
                <w:color w:val="auto"/>
              </w:rPr>
            </w:pPr>
          </w:p>
        </w:tc>
      </w:tr>
      <w:tr>
        <w:trPr>
          <w:trHeight w:val="185"/>
        </w:trPr>
        <w:tc>
          <w:tcPr>
            <w:tcW w:w="7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data)</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402,256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162,622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239,634</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132,442</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218,722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220,511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133,023</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485,976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(246,342)</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(75,997)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(63,281)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Gain (loss) on fair value adjustments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(326,124)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(331,552)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23"/>
                <w:szCs w:val="23"/>
                <w:color w:val="auto"/>
                <w:vertAlign w:val="superscript"/>
              </w:rPr>
              <w:t>(2)</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shares outstanding used to compute net loss per share attributable to common</w:t>
            </w:r>
          </w:p>
        </w:tc>
        <w:tc>
          <w:tcPr>
            <w:tcW w:w="16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135,818,454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133,754,772</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23"/>
                <w:szCs w:val="23"/>
                <w:color w:val="auto"/>
                <w:vertAlign w:val="superscript"/>
              </w:rPr>
              <w:t>(2)</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 Includes stock-based compensation expense as follows:</w:t>
      </w:r>
    </w:p>
    <w:p>
      <w:pPr>
        <w:spacing w:after="0" w:line="48"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7300" w:type="dxa"/>
            <w:vAlign w:val="bottom"/>
          </w:tcPr>
          <w:p>
            <w:pPr>
              <w:spacing w:after="0"/>
              <w:rPr>
                <w:sz w:val="17"/>
                <w:szCs w:val="17"/>
                <w:color w:val="auto"/>
              </w:rPr>
            </w:pPr>
          </w:p>
        </w:tc>
        <w:tc>
          <w:tcPr>
            <w:tcW w:w="25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bottom w:val="single" w:sz="8" w:color="auto"/>
            </w:tcBorders>
          </w:tcPr>
          <w:p>
            <w:pPr>
              <w:spacing w:after="0"/>
              <w:rPr>
                <w:sz w:val="17"/>
                <w:szCs w:val="17"/>
                <w:color w:val="auto"/>
              </w:rPr>
            </w:pPr>
          </w:p>
        </w:tc>
      </w:tr>
      <w:tr>
        <w:trPr>
          <w:trHeight w:val="196"/>
        </w:trPr>
        <w:tc>
          <w:tcPr>
            <w:tcW w:w="73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196"/>
        </w:trPr>
        <w:tc>
          <w:tcPr>
            <w:tcW w:w="7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gridSpan w:val="3"/>
          </w:tcPr>
          <w:p>
            <w:pPr>
              <w:jc w:val="right"/>
              <w:ind w:right="421"/>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7"/>
                <w:szCs w:val="17"/>
                <w:color w:val="auto"/>
              </w:rPr>
            </w:pP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w:t>
            </w: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30,408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27,039</w:t>
            </w: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15,872</w:t>
            </w:r>
          </w:p>
        </w:tc>
      </w:tr>
      <w:tr>
        <w:trPr>
          <w:trHeight w:val="215"/>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24,919</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28,189</w:t>
            </w:r>
          </w:p>
        </w:tc>
      </w:tr>
      <w:tr>
        <w:trPr>
          <w:trHeight w:val="210"/>
        </w:trPr>
        <w:tc>
          <w:tcPr>
            <w:tcW w:w="7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 net of amounts capitalized</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76,981</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75,851</w:t>
            </w:r>
          </w:p>
        </w:tc>
      </w:tr>
      <w:tr>
        <w:trPr>
          <w:trHeight w:val="20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Capitalized stock-based compensation</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w:t>
            </w:r>
          </w:p>
        </w:tc>
      </w:tr>
      <w:tr>
        <w:trPr>
          <w:trHeight w:val="234"/>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stock-based compensation cost</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79,300</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76,981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120" w:hanging="332"/>
        <w:spacing w:after="0" w:line="304"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Notes 1 and 15 to our consolidated financial statements included elsewhere in this prospectus for an explanation of the calculations of our net loss per share attributable to common stockholders, basic and diluted.</w:t>
      </w:r>
    </w:p>
    <w:p>
      <w:pPr>
        <w:spacing w:after="0" w:line="83"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The following table sets forth the computation of unaudited pro forma basic and diluted net loss per share attributable to common stockholders for the period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Year Ended January</w:t>
            </w:r>
          </w:p>
        </w:tc>
      </w:tr>
      <w:tr>
        <w:trPr>
          <w:trHeight w:val="185"/>
        </w:trPr>
        <w:tc>
          <w:tcPr>
            <w:tcW w:w="96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31, 2025</w:t>
            </w:r>
          </w:p>
        </w:tc>
      </w:tr>
      <w:tr>
        <w:trPr>
          <w:trHeight w:val="146"/>
        </w:trPr>
        <w:tc>
          <w:tcPr>
            <w:tcW w:w="9680" w:type="dxa"/>
            <w:vAlign w:val="bottom"/>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(in thousands, except</w:t>
            </w:r>
          </w:p>
        </w:tc>
      </w:tr>
      <w:tr>
        <w:trPr>
          <w:trHeight w:val="148"/>
        </w:trPr>
        <w:tc>
          <w:tcPr>
            <w:tcW w:w="96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 and per share</w:t>
            </w:r>
          </w:p>
        </w:tc>
      </w:tr>
      <w:tr>
        <w:trPr>
          <w:trHeight w:val="185"/>
        </w:trPr>
        <w:tc>
          <w:tcPr>
            <w:tcW w:w="96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data)</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560" w:type="dxa"/>
            <w:vAlign w:val="bottom"/>
            <w:shd w:val="clear" w:color="auto" w:fill="CCEEFF"/>
          </w:tcPr>
          <w:p>
            <w:pPr>
              <w:spacing w:after="0"/>
              <w:rPr>
                <w:sz w:val="19"/>
                <w:szCs w:val="19"/>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1560" w:type="dxa"/>
            <w:vAlign w:val="bottom"/>
          </w:tcPr>
          <w:p>
            <w:pPr>
              <w:jc w:val="right"/>
              <w:ind w:right="1361"/>
              <w:spacing w:after="0"/>
              <w:rPr>
                <w:sz w:val="20"/>
                <w:szCs w:val="20"/>
                <w:color w:val="auto"/>
              </w:rPr>
            </w:pPr>
            <w:r>
              <w:rPr>
                <w:rFonts w:ascii="Arial" w:cs="Arial" w:eastAsia="Arial" w:hAnsi="Arial"/>
                <w:sz w:val="18"/>
                <w:szCs w:val="18"/>
                <w:color w:val="auto"/>
                <w:w w:val="99"/>
              </w:rPr>
              <w:t>$</w:t>
            </w:r>
          </w:p>
        </w:tc>
      </w:tr>
      <w:tr>
        <w:trPr>
          <w:trHeight w:val="184"/>
        </w:trPr>
        <w:tc>
          <w:tcPr>
            <w:tcW w:w="9680" w:type="dxa"/>
            <w:vAlign w:val="bottom"/>
            <w:shd w:val="clear" w:color="auto" w:fill="CCEEFF"/>
          </w:tcPr>
          <w:p>
            <w:pPr>
              <w:ind w:left="240"/>
              <w:spacing w:after="0" w:line="183" w:lineRule="exact"/>
              <w:rPr>
                <w:sz w:val="20"/>
                <w:szCs w:val="20"/>
                <w:color w:val="auto"/>
              </w:rPr>
            </w:pPr>
            <w:r>
              <w:rPr>
                <w:rFonts w:ascii="Arial" w:cs="Arial" w:eastAsia="Arial" w:hAnsi="Arial"/>
                <w:sz w:val="18"/>
                <w:szCs w:val="18"/>
                <w:color w:val="auto"/>
              </w:rPr>
              <w:t>Pro forma adjustment to record stock-based compensation expense related to RSUs for which the service-based and</w:t>
            </w:r>
          </w:p>
        </w:tc>
        <w:tc>
          <w:tcPr>
            <w:tcW w:w="1560" w:type="dxa"/>
            <w:vAlign w:val="bottom"/>
            <w:shd w:val="clear" w:color="auto" w:fill="CCEEFF"/>
          </w:tcPr>
          <w:p>
            <w:pPr>
              <w:spacing w:after="0"/>
              <w:rPr>
                <w:sz w:val="15"/>
                <w:szCs w:val="15"/>
                <w:color w:val="auto"/>
              </w:rPr>
            </w:pPr>
          </w:p>
        </w:tc>
      </w:tr>
      <w:tr>
        <w:trPr>
          <w:trHeight w:val="235"/>
        </w:trPr>
        <w:tc>
          <w:tcPr>
            <w:tcW w:w="9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performance-based vesting conditions will be satisfied in connection with this offering</w:t>
            </w:r>
          </w:p>
        </w:tc>
        <w:tc>
          <w:tcPr>
            <w:tcW w:w="1560" w:type="dxa"/>
            <w:vAlign w:val="bottom"/>
            <w:shd w:val="clear" w:color="auto" w:fill="CCEEFF"/>
          </w:tcPr>
          <w:p>
            <w:pPr>
              <w:spacing w:after="0"/>
              <w:rPr>
                <w:sz w:val="20"/>
                <w:szCs w:val="20"/>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Pro forma adjustment to reclassify the fair value of the redeemable convertible preferred stock warrant liability</w:t>
            </w:r>
          </w:p>
        </w:tc>
        <w:tc>
          <w:tcPr>
            <w:tcW w:w="1560" w:type="dxa"/>
            <w:vAlign w:val="bottom"/>
          </w:tcPr>
          <w:p>
            <w:pPr>
              <w:spacing w:after="0"/>
              <w:rPr>
                <w:sz w:val="19"/>
                <w:szCs w:val="19"/>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 forma adjustment to reclassify the embedded derivative liability in connection with the Note Conversion</w:t>
            </w:r>
          </w:p>
        </w:tc>
        <w:tc>
          <w:tcPr>
            <w:tcW w:w="1560" w:type="dxa"/>
            <w:vAlign w:val="bottom"/>
            <w:tcBorders>
              <w:bottom w:val="single" w:sz="8" w:color="auto"/>
            </w:tcBorders>
            <w:shd w:val="clear" w:color="auto" w:fill="CCEEFF"/>
          </w:tcPr>
          <w:p>
            <w:pPr>
              <w:spacing w:after="0"/>
              <w:rPr>
                <w:sz w:val="19"/>
                <w:szCs w:val="19"/>
                <w:color w:val="auto"/>
              </w:rPr>
            </w:pP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color w:val="auto"/>
              </w:rPr>
              <w:t>Pro forma net loss attributable to common stockholders</w:t>
            </w:r>
          </w:p>
        </w:tc>
        <w:tc>
          <w:tcPr>
            <w:tcW w:w="1560" w:type="dxa"/>
            <w:vAlign w:val="bottom"/>
            <w:tcBorders>
              <w:bottom w:val="single" w:sz="8" w:color="auto"/>
            </w:tcBorders>
          </w:tcPr>
          <w:p>
            <w:pPr>
              <w:jc w:val="right"/>
              <w:ind w:right="1361"/>
              <w:spacing w:after="0"/>
              <w:rPr>
                <w:sz w:val="20"/>
                <w:szCs w:val="20"/>
                <w:color w:val="auto"/>
              </w:rPr>
            </w:pPr>
            <w:r>
              <w:rPr>
                <w:rFonts w:ascii="Arial" w:cs="Arial" w:eastAsia="Arial" w:hAnsi="Arial"/>
                <w:sz w:val="18"/>
                <w:szCs w:val="18"/>
                <w:color w:val="auto"/>
                <w:w w:val="99"/>
              </w:rPr>
              <w:t>$</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9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560" w:type="dxa"/>
            <w:vAlign w:val="bottom"/>
            <w:shd w:val="clear" w:color="auto" w:fill="CCEEFF"/>
          </w:tcPr>
          <w:p>
            <w:pPr>
              <w:spacing w:after="0"/>
              <w:rPr>
                <w:sz w:val="17"/>
                <w:szCs w:val="17"/>
                <w:color w:val="auto"/>
              </w:rPr>
            </w:pPr>
          </w:p>
        </w:tc>
      </w:tr>
      <w:tr>
        <w:trPr>
          <w:trHeight w:val="184"/>
        </w:trPr>
        <w:tc>
          <w:tcPr>
            <w:tcW w:w="9680" w:type="dxa"/>
            <w:vAlign w:val="bottom"/>
          </w:tcPr>
          <w:p>
            <w:pPr>
              <w:ind w:left="240"/>
              <w:spacing w:after="0" w:line="183" w:lineRule="exact"/>
              <w:rPr>
                <w:sz w:val="20"/>
                <w:szCs w:val="20"/>
                <w:color w:val="auto"/>
              </w:rPr>
            </w:pPr>
            <w:r>
              <w:rPr>
                <w:rFonts w:ascii="Arial" w:cs="Arial" w:eastAsia="Arial" w:hAnsi="Arial"/>
                <w:sz w:val="18"/>
                <w:szCs w:val="18"/>
                <w:color w:val="auto"/>
              </w:rPr>
              <w:t>Weighted-average shares outstanding used to compute net loss per share attributable to common stockholders, basic</w:t>
            </w:r>
          </w:p>
        </w:tc>
        <w:tc>
          <w:tcPr>
            <w:tcW w:w="1560" w:type="dxa"/>
            <w:vAlign w:val="bottom"/>
          </w:tcPr>
          <w:p>
            <w:pPr>
              <w:spacing w:after="0"/>
              <w:rPr>
                <w:sz w:val="15"/>
                <w:szCs w:val="15"/>
                <w:color w:val="auto"/>
              </w:rPr>
            </w:pPr>
          </w:p>
        </w:tc>
      </w:tr>
      <w:tr>
        <w:trPr>
          <w:trHeight w:val="235"/>
        </w:trPr>
        <w:tc>
          <w:tcPr>
            <w:tcW w:w="9680" w:type="dxa"/>
            <w:vAlign w:val="bottom"/>
          </w:tcPr>
          <w:p>
            <w:pPr>
              <w:ind w:left="400"/>
              <w:spacing w:after="0"/>
              <w:rPr>
                <w:sz w:val="20"/>
                <w:szCs w:val="20"/>
                <w:color w:val="auto"/>
              </w:rPr>
            </w:pPr>
            <w:r>
              <w:rPr>
                <w:rFonts w:ascii="Arial" w:cs="Arial" w:eastAsia="Arial" w:hAnsi="Arial"/>
                <w:sz w:val="18"/>
                <w:szCs w:val="18"/>
                <w:color w:val="auto"/>
              </w:rPr>
              <w:t>and diluted</w:t>
            </w:r>
          </w:p>
        </w:tc>
        <w:tc>
          <w:tcPr>
            <w:tcW w:w="1560" w:type="dxa"/>
            <w:vAlign w:val="bottom"/>
          </w:tcPr>
          <w:p>
            <w:pPr>
              <w:spacing w:after="0"/>
              <w:rPr>
                <w:sz w:val="20"/>
                <w:szCs w:val="20"/>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 forma adjustment to reflect the Capital Stock Conversion</w:t>
            </w:r>
          </w:p>
        </w:tc>
        <w:tc>
          <w:tcPr>
            <w:tcW w:w="1560" w:type="dxa"/>
            <w:vAlign w:val="bottom"/>
            <w:shd w:val="clear" w:color="auto" w:fill="CCEEFF"/>
          </w:tcPr>
          <w:p>
            <w:pPr>
              <w:spacing w:after="0"/>
              <w:rPr>
                <w:sz w:val="19"/>
                <w:szCs w:val="19"/>
                <w:color w:val="auto"/>
              </w:rPr>
            </w:pPr>
          </w:p>
        </w:tc>
      </w:tr>
      <w:tr>
        <w:trPr>
          <w:trHeight w:val="230"/>
        </w:trPr>
        <w:tc>
          <w:tcPr>
            <w:tcW w:w="9680" w:type="dxa"/>
            <w:vAlign w:val="bottom"/>
          </w:tcPr>
          <w:p>
            <w:pPr>
              <w:ind w:left="240"/>
              <w:spacing w:after="0"/>
              <w:rPr>
                <w:sz w:val="20"/>
                <w:szCs w:val="20"/>
                <w:color w:val="auto"/>
              </w:rPr>
            </w:pPr>
            <w:r>
              <w:rPr>
                <w:rFonts w:ascii="Arial" w:cs="Arial" w:eastAsia="Arial" w:hAnsi="Arial"/>
                <w:sz w:val="18"/>
                <w:szCs w:val="18"/>
                <w:color w:val="auto"/>
              </w:rPr>
              <w:t>Pro forma adjustment to reflect the RSU Net Settlement</w:t>
            </w:r>
          </w:p>
        </w:tc>
        <w:tc>
          <w:tcPr>
            <w:tcW w:w="1560" w:type="dxa"/>
            <w:vAlign w:val="bottom"/>
          </w:tcPr>
          <w:p>
            <w:pPr>
              <w:spacing w:after="0"/>
              <w:rPr>
                <w:sz w:val="19"/>
                <w:szCs w:val="19"/>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 forma adjustment to reflect the Note Conversion</w:t>
            </w:r>
          </w:p>
        </w:tc>
        <w:tc>
          <w:tcPr>
            <w:tcW w:w="1560" w:type="dxa"/>
            <w:vAlign w:val="bottom"/>
            <w:shd w:val="clear" w:color="auto" w:fill="CCEEFF"/>
          </w:tcPr>
          <w:p>
            <w:pPr>
              <w:spacing w:after="0"/>
              <w:rPr>
                <w:sz w:val="19"/>
                <w:szCs w:val="19"/>
                <w:color w:val="auto"/>
              </w:rPr>
            </w:pPr>
          </w:p>
        </w:tc>
      </w:tr>
      <w:tr>
        <w:trPr>
          <w:trHeight w:val="230"/>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 forma adjustment to reflect the SAFE Conversion</w:t>
            </w:r>
          </w:p>
        </w:tc>
        <w:tc>
          <w:tcPr>
            <w:tcW w:w="1560" w:type="dxa"/>
            <w:vAlign w:val="bottom"/>
            <w:tcBorders>
              <w:bottom w:val="single" w:sz="8" w:color="auto"/>
            </w:tcBorders>
          </w:tcPr>
          <w:p>
            <w:pPr>
              <w:spacing w:after="0"/>
              <w:rPr>
                <w:sz w:val="19"/>
                <w:szCs w:val="19"/>
                <w:color w:val="auto"/>
              </w:rPr>
            </w:pPr>
          </w:p>
        </w:tc>
      </w:tr>
      <w:tr>
        <w:trPr>
          <w:trHeight w:val="164"/>
        </w:trPr>
        <w:tc>
          <w:tcPr>
            <w:tcW w:w="9680" w:type="dxa"/>
            <w:vAlign w:val="bottom"/>
            <w:shd w:val="clear" w:color="auto" w:fill="CCEEFF"/>
          </w:tcPr>
          <w:p>
            <w:pPr>
              <w:ind w:left="240"/>
              <w:spacing w:after="0" w:line="163" w:lineRule="exact"/>
              <w:rPr>
                <w:sz w:val="20"/>
                <w:szCs w:val="20"/>
                <w:color w:val="auto"/>
              </w:rPr>
            </w:pPr>
            <w:r>
              <w:rPr>
                <w:rFonts w:ascii="Arial" w:cs="Arial" w:eastAsia="Arial" w:hAnsi="Arial"/>
                <w:sz w:val="18"/>
                <w:szCs w:val="18"/>
                <w:color w:val="auto"/>
              </w:rPr>
              <w:t>Weighted-average shares outstanding used to compute, pro forma, net loss per share attributable to common</w:t>
            </w:r>
          </w:p>
        </w:tc>
        <w:tc>
          <w:tcPr>
            <w:tcW w:w="1560" w:type="dxa"/>
            <w:vAlign w:val="bottom"/>
            <w:shd w:val="clear" w:color="auto" w:fill="CCEEFF"/>
          </w:tcPr>
          <w:p>
            <w:pPr>
              <w:spacing w:after="0"/>
              <w:rPr>
                <w:sz w:val="14"/>
                <w:szCs w:val="14"/>
                <w:color w:val="auto"/>
              </w:rPr>
            </w:pPr>
          </w:p>
        </w:tc>
      </w:tr>
      <w:tr>
        <w:trPr>
          <w:trHeight w:val="235"/>
        </w:trPr>
        <w:tc>
          <w:tcPr>
            <w:tcW w:w="9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stockholders, basic and diluted</w:t>
            </w:r>
          </w:p>
        </w:tc>
        <w:tc>
          <w:tcPr>
            <w:tcW w:w="1560" w:type="dxa"/>
            <w:vAlign w:val="bottom"/>
            <w:tcBorders>
              <w:bottom w:val="single" w:sz="8" w:color="auto"/>
            </w:tcBorders>
            <w:shd w:val="clear" w:color="auto" w:fill="CCEEFF"/>
          </w:tcPr>
          <w:p>
            <w:pPr>
              <w:spacing w:after="0"/>
              <w:rPr>
                <w:sz w:val="20"/>
                <w:szCs w:val="20"/>
                <w:color w:val="auto"/>
              </w:rPr>
            </w:pPr>
          </w:p>
        </w:tc>
      </w:tr>
      <w:tr>
        <w:trPr>
          <w:trHeight w:val="223"/>
        </w:trPr>
        <w:tc>
          <w:tcPr>
            <w:tcW w:w="9680" w:type="dxa"/>
            <w:vAlign w:val="bottom"/>
          </w:tcPr>
          <w:p>
            <w:pPr>
              <w:ind w:left="20"/>
              <w:spacing w:after="0" w:line="223" w:lineRule="exact"/>
              <w:rPr>
                <w:sz w:val="20"/>
                <w:szCs w:val="20"/>
                <w:color w:val="auto"/>
              </w:rPr>
            </w:pPr>
            <w:r>
              <w:rPr>
                <w:rFonts w:ascii="Arial" w:cs="Arial" w:eastAsia="Arial" w:hAnsi="Arial"/>
                <w:sz w:val="18"/>
                <w:szCs w:val="18"/>
                <w:color w:val="auto"/>
              </w:rPr>
              <w:t>Pro forma net loss per share attributable to common stockholders, basic and diluted</w:t>
            </w:r>
            <w:r>
              <w:rPr>
                <w:rFonts w:ascii="Arial" w:cs="Arial" w:eastAsia="Arial" w:hAnsi="Arial"/>
                <w:sz w:val="23"/>
                <w:szCs w:val="23"/>
                <w:color w:val="auto"/>
                <w:vertAlign w:val="superscript"/>
              </w:rPr>
              <w:t>(1)</w:t>
            </w:r>
          </w:p>
        </w:tc>
        <w:tc>
          <w:tcPr>
            <w:tcW w:w="1560" w:type="dxa"/>
            <w:vAlign w:val="bottom"/>
            <w:tcBorders>
              <w:bottom w:val="single" w:sz="8" w:color="auto"/>
            </w:tcBorders>
          </w:tcPr>
          <w:p>
            <w:pPr>
              <w:jc w:val="right"/>
              <w:ind w:right="1361"/>
              <w:spacing w:after="0"/>
              <w:rPr>
                <w:sz w:val="20"/>
                <w:szCs w:val="20"/>
                <w:color w:val="auto"/>
              </w:rPr>
            </w:pPr>
            <w:r>
              <w:rPr>
                <w:rFonts w:ascii="Arial" w:cs="Arial" w:eastAsia="Arial" w:hAnsi="Arial"/>
                <w:sz w:val="18"/>
                <w:szCs w:val="18"/>
                <w:color w:val="auto"/>
                <w:w w:val="99"/>
              </w:rPr>
              <w:t>$</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jc w:val="right"/>
        <w:ind w:right="200"/>
        <w:spacing w:after="0" w:line="255" w:lineRule="auto"/>
        <w:rPr>
          <w:sz w:val="20"/>
          <w:szCs w:val="20"/>
          <w:color w:val="auto"/>
        </w:rPr>
      </w:pPr>
      <w:r>
        <w:rPr>
          <w:rFonts w:ascii="Arial" w:cs="Arial" w:eastAsia="Arial" w:hAnsi="Arial"/>
          <w:sz w:val="16"/>
          <w:szCs w:val="16"/>
          <w:color w:val="auto"/>
        </w:rPr>
        <w:t>(1) Basic and diluted pro forma net loss per share attributable to common stockholders for the year ended January 31, 2025, gives effect to (i) the Capital Stock Conversion as though the conversion had occurred as of the beginning of the period, (ii) the Class B Conversion as though the conversion had</w:t>
      </w:r>
    </w:p>
    <w:p>
      <w:pPr>
        <w:spacing w:after="0" w:line="1" w:lineRule="exact"/>
        <w:rPr>
          <w:sz w:val="20"/>
          <w:szCs w:val="20"/>
          <w:color w:val="auto"/>
        </w:rPr>
      </w:pPr>
    </w:p>
    <w:p>
      <w:pPr>
        <w:jc w:val="both"/>
        <w:ind w:left="340" w:right="240"/>
        <w:spacing w:after="0" w:line="252" w:lineRule="auto"/>
        <w:rPr>
          <w:sz w:val="20"/>
          <w:szCs w:val="20"/>
          <w:color w:val="auto"/>
        </w:rPr>
      </w:pPr>
      <w:r>
        <w:rPr>
          <w:rFonts w:ascii="Arial" w:cs="Arial" w:eastAsia="Arial" w:hAnsi="Arial"/>
          <w:sz w:val="16"/>
          <w:szCs w:val="16"/>
          <w:color w:val="auto"/>
        </w:rPr>
        <w:t>occurred as of the beginning of the period, (iii) the issuance of shares of Class A common stock in connection with the RSU Net Settlement, after withholding shares to satisfy the estimated tax withholding and remittance obligations of $ million (based on the assumed initial offering price of</w:t>
      </w:r>
    </w:p>
    <w:p>
      <w:pPr>
        <w:spacing w:after="0" w:line="1" w:lineRule="exact"/>
        <w:rPr>
          <w:sz w:val="20"/>
          <w:szCs w:val="20"/>
          <w:color w:val="auto"/>
        </w:rPr>
      </w:pPr>
    </w:p>
    <w:p>
      <w:pPr>
        <w:ind w:left="780" w:hanging="448"/>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 share, which is the midpoint of the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right="180"/>
        <w:spacing w:after="0" w:line="263" w:lineRule="auto"/>
        <w:rPr>
          <w:sz w:val="20"/>
          <w:szCs w:val="20"/>
          <w:color w:val="auto"/>
        </w:rPr>
      </w:pPr>
      <w:r>
        <w:rPr>
          <w:rFonts w:ascii="Arial" w:cs="Arial" w:eastAsia="Arial" w:hAnsi="Arial"/>
          <w:sz w:val="16"/>
          <w:szCs w:val="16"/>
          <w:color w:val="auto"/>
        </w:rPr>
        <w:t>range set forth on the cover page of this prospectus, and an assumed % tax withholding rate) as though such issuance and withholding had occurred as of the beginning of the period, (iv) stock-based compensation expense of $ million related to RSUs subject to the RSU Net Settlement,</w:t>
      </w:r>
    </w:p>
    <w:p>
      <w:pPr>
        <w:ind w:left="340" w:right="40"/>
        <w:spacing w:after="0" w:line="256" w:lineRule="auto"/>
        <w:rPr>
          <w:sz w:val="20"/>
          <w:szCs w:val="20"/>
          <w:color w:val="auto"/>
        </w:rPr>
      </w:pPr>
      <w:r>
        <w:rPr>
          <w:rFonts w:ascii="Arial" w:cs="Arial" w:eastAsia="Arial" w:hAnsi="Arial"/>
          <w:sz w:val="16"/>
          <w:szCs w:val="16"/>
          <w:color w:val="auto"/>
        </w:rPr>
        <w:t>reflected as an increase to additional paid-in capital and accumulated deficit, as further described in Note 10, “Equity Incentive Plan” to our consolidated financial statements included elsewhere in this prospectus, as though the RSU Net Settlement has occurred as of the beginning of the period, (v) the Note Conversion, including the reclassification of the embedded derivative liability related to the Convertible Notes to additional paid-in capital, as though the conversion had occurred as of the beginning of the period, (vi) the automatic conversion of the redeemable convertible preferred stock warrant to a Class A common stock warrant, and the resulting remeasurement and assumed reclassification of the redeemable convertible preferred stock warrant liability to additional paid-in capital, as though the conversion had occurred as of the beginning of the period, and (vii) the SAFE Conversion as though the conversion had occurred as of the beginning of the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January 31, 2025</w:t>
            </w: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Actual</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Pro Forma</w:t>
            </w:r>
            <w:r>
              <w:rPr>
                <w:rFonts w:ascii="Arial" w:cs="Arial" w:eastAsia="Arial" w:hAnsi="Arial"/>
                <w:sz w:val="18"/>
                <w:szCs w:val="18"/>
                <w:b w:val="1"/>
                <w:bCs w:val="1"/>
                <w:color w:val="auto"/>
                <w:w w:val="99"/>
                <w:vertAlign w:val="superscript"/>
              </w:rPr>
              <w:t>(1)</w:t>
            </w: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8"/>
                <w:szCs w:val="18"/>
                <w:b w:val="1"/>
                <w:bCs w:val="1"/>
                <w:color w:val="auto"/>
                <w:w w:val="95"/>
                <w:vertAlign w:val="superscript"/>
              </w:rPr>
              <w:t>(2)(3)</w:t>
            </w:r>
          </w:p>
        </w:tc>
        <w:tc>
          <w:tcPr>
            <w:tcW w:w="0" w:type="dxa"/>
            <w:vAlign w:val="bottom"/>
          </w:tcPr>
          <w:p>
            <w:pPr>
              <w:spacing w:after="0"/>
              <w:rPr>
                <w:sz w:val="1"/>
                <w:szCs w:val="1"/>
                <w:color w:val="auto"/>
              </w:rPr>
            </w:pPr>
          </w:p>
        </w:tc>
      </w:tr>
      <w:tr>
        <w:trPr>
          <w:trHeight w:val="195"/>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Balance Sheet Data:</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157,672</w:t>
            </w:r>
          </w:p>
        </w:tc>
        <w:tc>
          <w:tcPr>
            <w:tcW w:w="1660" w:type="dxa"/>
            <w:vAlign w:val="bottom"/>
            <w:shd w:val="clear" w:color="auto" w:fill="CCEEFF"/>
          </w:tcPr>
          <w:p>
            <w:pPr>
              <w:jc w:val="right"/>
              <w:ind w:right="1404"/>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3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148,157</w:t>
            </w:r>
          </w:p>
        </w:tc>
        <w:tc>
          <w:tcPr>
            <w:tcW w:w="1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242,826</w:t>
            </w:r>
          </w:p>
        </w:tc>
        <w:tc>
          <w:tcPr>
            <w:tcW w:w="1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1,083,954</w:t>
            </w:r>
          </w:p>
        </w:tc>
        <w:tc>
          <w:tcPr>
            <w:tcW w:w="1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397,026</w:t>
            </w:r>
          </w:p>
        </w:tc>
        <w:tc>
          <w:tcPr>
            <w:tcW w:w="1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Other non-current liabilities</w:t>
            </w:r>
            <w:r>
              <w:rPr>
                <w:rFonts w:ascii="Arial" w:cs="Arial" w:eastAsia="Arial" w:hAnsi="Arial"/>
                <w:sz w:val="23"/>
                <w:szCs w:val="23"/>
                <w:color w:val="auto"/>
                <w:vertAlign w:val="superscript"/>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22,949</w:t>
            </w:r>
          </w:p>
        </w:tc>
        <w:tc>
          <w:tcPr>
            <w:tcW w:w="1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969,732</w:t>
            </w:r>
          </w:p>
        </w:tc>
        <w:tc>
          <w:tcPr>
            <w:tcW w:w="1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1,301,121</w:t>
            </w:r>
          </w:p>
        </w:tc>
        <w:tc>
          <w:tcPr>
            <w:tcW w:w="1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467,835</w:t>
            </w:r>
          </w:p>
        </w:tc>
        <w:tc>
          <w:tcPr>
            <w:tcW w:w="1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(1,617,113)</w:t>
            </w:r>
          </w:p>
        </w:tc>
        <w:tc>
          <w:tcPr>
            <w:tcW w:w="1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(1,186,899)</w:t>
            </w:r>
          </w:p>
        </w:tc>
        <w:tc>
          <w:tcPr>
            <w:tcW w:w="1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right="260" w:hanging="332"/>
        <w:spacing w:after="0" w:line="252"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 forma column above reflects (i) the Capital Stock Conversion, (ii) the automatic conversion of the redeemable convertible preferred stock warrant to a Class A common stock warrant, and the resulting remeasurement and assumed reclassification of the redeemable convertible preferred stock warrant liability to additional paid-in capital, (iii) the Note Conversion, including the reclassification of the embedded derivative liability related to</w:t>
      </w:r>
    </w:p>
    <w:p>
      <w:pPr>
        <w:spacing w:after="0" w:line="1" w:lineRule="exact"/>
        <w:rPr>
          <w:sz w:val="20"/>
          <w:szCs w:val="20"/>
          <w:color w:val="auto"/>
        </w:rPr>
      </w:pPr>
    </w:p>
    <w:p>
      <w:pPr>
        <w:ind w:left="340" w:right="20"/>
        <w:spacing w:after="0" w:line="253" w:lineRule="auto"/>
        <w:rPr>
          <w:sz w:val="20"/>
          <w:szCs w:val="20"/>
          <w:color w:val="auto"/>
        </w:rPr>
      </w:pPr>
      <w:r>
        <w:rPr>
          <w:rFonts w:ascii="Arial" w:cs="Arial" w:eastAsia="Arial" w:hAnsi="Arial"/>
          <w:sz w:val="16"/>
          <w:szCs w:val="16"/>
          <w:color w:val="auto"/>
        </w:rPr>
        <w:t>the Convertible Notes to additional paid-in capital, (iv) the SAFE Conversion, (v) stock-based compensation expense of $ million related to RSUs subject to the RSU Net Settlement, reflected as an increase to additional paid-in capital and accumulated deficit, as further described in Note 10, “Equity Incentive Plan” of our consolidated financial statements included elsewhere in this prospectus, (vi) the net issuance of shares of Class A common stock in connection with the RSU Net Settlement, after withholding shares to satisfy estimated tax withholding and remittance obligations of $ million (based on the assumed initial public offering price of $ per share, the midpoint of the price range set forth on the cover page of this prospectus, and an assumed % tax withholding rate), (vii) the $ million increase in liabilities and corresponding decrease in additional paid-in capital resulting from the share withholding for the tax withholding and remittance obligations related to the RSU Net Settlement, and (viii) the filing and effectiveness of our amended and restated certificate of incorporation, which will occur immediately prior to the closing of this offering.</w:t>
      </w:r>
    </w:p>
    <w:tbl>
      <w:tblPr>
        <w:tblLayout w:type="fixed"/>
        <w:tblInd w:w="0" w:type="dxa"/>
        <w:tblCellMar>
          <w:top w:w="0" w:type="dxa"/>
          <w:left w:w="0" w:type="dxa"/>
          <w:bottom w:w="0" w:type="dxa"/>
          <w:right w:w="0" w:type="dxa"/>
        </w:tblCellMar>
      </w:tblPr>
      <w:tr>
        <w:trPr>
          <w:trHeight w:val="178"/>
        </w:trPr>
        <w:tc>
          <w:tcPr>
            <w:tcW w:w="260" w:type="dxa"/>
            <w:vAlign w:val="bottom"/>
          </w:tcPr>
          <w:p>
            <w:pPr>
              <w:jc w:val="right"/>
              <w:spacing w:after="0" w:line="178" w:lineRule="exact"/>
              <w:rPr>
                <w:sz w:val="20"/>
                <w:szCs w:val="20"/>
                <w:color w:val="auto"/>
              </w:rPr>
            </w:pPr>
            <w:r>
              <w:rPr>
                <w:rFonts w:ascii="Arial" w:cs="Arial" w:eastAsia="Arial" w:hAnsi="Arial"/>
                <w:sz w:val="16"/>
                <w:szCs w:val="16"/>
                <w:color w:val="auto"/>
                <w:w w:val="91"/>
              </w:rPr>
              <w:t>(2)</w:t>
            </w:r>
          </w:p>
        </w:tc>
        <w:tc>
          <w:tcPr>
            <w:tcW w:w="10940" w:type="dxa"/>
            <w:vAlign w:val="bottom"/>
            <w:gridSpan w:val="3"/>
          </w:tcPr>
          <w:p>
            <w:pPr>
              <w:ind w:left="60"/>
              <w:spacing w:after="0" w:line="178" w:lineRule="exact"/>
              <w:rPr>
                <w:sz w:val="20"/>
                <w:szCs w:val="20"/>
                <w:color w:val="auto"/>
              </w:rPr>
            </w:pPr>
            <w:r>
              <w:rPr>
                <w:rFonts w:ascii="Arial" w:cs="Arial" w:eastAsia="Arial" w:hAnsi="Arial"/>
                <w:sz w:val="16"/>
                <w:szCs w:val="16"/>
                <w:color w:val="auto"/>
              </w:rPr>
              <w:t>The pro forma as adjusted column above gives effect to (i) the pro forma adjustments set forth above and (ii) the sale and issuance by us of shares of</w:t>
            </w:r>
          </w:p>
        </w:tc>
      </w:tr>
      <w:tr>
        <w:trPr>
          <w:trHeight w:val="203"/>
        </w:trPr>
        <w:tc>
          <w:tcPr>
            <w:tcW w:w="260" w:type="dxa"/>
            <w:vAlign w:val="bottom"/>
          </w:tcPr>
          <w:p>
            <w:pPr>
              <w:spacing w:after="0"/>
              <w:rPr>
                <w:sz w:val="17"/>
                <w:szCs w:val="17"/>
                <w:color w:val="auto"/>
              </w:rPr>
            </w:pPr>
          </w:p>
        </w:tc>
        <w:tc>
          <w:tcPr>
            <w:tcW w:w="10940" w:type="dxa"/>
            <w:vAlign w:val="bottom"/>
            <w:gridSpan w:val="3"/>
          </w:tcPr>
          <w:p>
            <w:pPr>
              <w:ind w:left="80"/>
              <w:spacing w:after="0"/>
              <w:rPr>
                <w:sz w:val="20"/>
                <w:szCs w:val="20"/>
                <w:color w:val="auto"/>
              </w:rPr>
            </w:pPr>
            <w:r>
              <w:rPr>
                <w:rFonts w:ascii="Arial" w:cs="Arial" w:eastAsia="Arial" w:hAnsi="Arial"/>
                <w:sz w:val="16"/>
                <w:szCs w:val="16"/>
                <w:color w:val="auto"/>
              </w:rPr>
              <w:t>our Class A common stock in this offering, based upon the assumed initial public offering price of $  per share, which is the midpoint of the offering</w:t>
            </w:r>
          </w:p>
        </w:tc>
      </w:tr>
      <w:tr>
        <w:trPr>
          <w:trHeight w:val="189"/>
        </w:trPr>
        <w:tc>
          <w:tcPr>
            <w:tcW w:w="260" w:type="dxa"/>
            <w:vAlign w:val="bottom"/>
          </w:tcPr>
          <w:p>
            <w:pPr>
              <w:spacing w:after="0"/>
              <w:rPr>
                <w:sz w:val="16"/>
                <w:szCs w:val="16"/>
                <w:color w:val="auto"/>
              </w:rPr>
            </w:pPr>
          </w:p>
        </w:tc>
        <w:tc>
          <w:tcPr>
            <w:tcW w:w="5800" w:type="dxa"/>
            <w:vAlign w:val="bottom"/>
            <w:gridSpan w:val="2"/>
          </w:tcPr>
          <w:p>
            <w:pPr>
              <w:ind w:left="80"/>
              <w:spacing w:after="0"/>
              <w:rPr>
                <w:sz w:val="20"/>
                <w:szCs w:val="20"/>
                <w:color w:val="auto"/>
              </w:rPr>
            </w:pPr>
            <w:r>
              <w:rPr>
                <w:rFonts w:ascii="Arial" w:cs="Arial" w:eastAsia="Arial" w:hAnsi="Arial"/>
                <w:sz w:val="16"/>
                <w:szCs w:val="16"/>
                <w:color w:val="auto"/>
              </w:rPr>
              <w:t>price range set forth on the cover page of this prospectus and our receipt of $</w:t>
            </w:r>
          </w:p>
        </w:tc>
        <w:tc>
          <w:tcPr>
            <w:tcW w:w="5140" w:type="dxa"/>
            <w:vAlign w:val="bottom"/>
          </w:tcPr>
          <w:p>
            <w:pPr>
              <w:ind w:left="220"/>
              <w:spacing w:after="0"/>
              <w:rPr>
                <w:sz w:val="20"/>
                <w:szCs w:val="20"/>
                <w:color w:val="auto"/>
              </w:rPr>
            </w:pPr>
            <w:r>
              <w:rPr>
                <w:rFonts w:ascii="Arial" w:cs="Arial" w:eastAsia="Arial" w:hAnsi="Arial"/>
                <w:sz w:val="16"/>
                <w:szCs w:val="16"/>
                <w:color w:val="auto"/>
              </w:rPr>
              <w:t>million in estimated net proceeds from the offering, and after</w:t>
            </w:r>
          </w:p>
        </w:tc>
      </w:tr>
      <w:tr>
        <w:trPr>
          <w:trHeight w:val="189"/>
        </w:trPr>
        <w:tc>
          <w:tcPr>
            <w:tcW w:w="260" w:type="dxa"/>
            <w:vAlign w:val="bottom"/>
          </w:tcPr>
          <w:p>
            <w:pPr>
              <w:spacing w:after="0"/>
              <w:rPr>
                <w:sz w:val="16"/>
                <w:szCs w:val="16"/>
                <w:color w:val="auto"/>
              </w:rPr>
            </w:pPr>
          </w:p>
        </w:tc>
        <w:tc>
          <w:tcPr>
            <w:tcW w:w="10940" w:type="dxa"/>
            <w:vAlign w:val="bottom"/>
            <w:gridSpan w:val="3"/>
          </w:tcPr>
          <w:p>
            <w:pPr>
              <w:ind w:left="80"/>
              <w:spacing w:after="0"/>
              <w:rPr>
                <w:sz w:val="20"/>
                <w:szCs w:val="20"/>
                <w:color w:val="auto"/>
              </w:rPr>
            </w:pPr>
            <w:r>
              <w:rPr>
                <w:rFonts w:ascii="Arial" w:cs="Arial" w:eastAsia="Arial" w:hAnsi="Arial"/>
                <w:sz w:val="16"/>
                <w:szCs w:val="16"/>
                <w:color w:val="auto"/>
              </w:rPr>
              <w:t>deducting underwriting discounts and commissions and estimated offering expenses, and (iii) the use of net proceeds from this offering, together with</w:t>
            </w:r>
          </w:p>
        </w:tc>
      </w:tr>
      <w:tr>
        <w:trPr>
          <w:trHeight w:val="203"/>
        </w:trPr>
        <w:tc>
          <w:tcPr>
            <w:tcW w:w="260" w:type="dxa"/>
            <w:vAlign w:val="bottom"/>
          </w:tcPr>
          <w:p>
            <w:pPr>
              <w:spacing w:after="0"/>
              <w:rPr>
                <w:sz w:val="17"/>
                <w:szCs w:val="17"/>
                <w:color w:val="auto"/>
              </w:rPr>
            </w:pPr>
          </w:p>
        </w:tc>
        <w:tc>
          <w:tcPr>
            <w:tcW w:w="10940" w:type="dxa"/>
            <w:vAlign w:val="bottom"/>
            <w:gridSpan w:val="3"/>
          </w:tcPr>
          <w:p>
            <w:pPr>
              <w:ind w:left="80"/>
              <w:spacing w:after="0"/>
              <w:rPr>
                <w:sz w:val="20"/>
                <w:szCs w:val="20"/>
                <w:color w:val="auto"/>
              </w:rPr>
            </w:pPr>
            <w:r>
              <w:rPr>
                <w:rFonts w:ascii="Arial" w:cs="Arial" w:eastAsia="Arial" w:hAnsi="Arial"/>
                <w:sz w:val="16"/>
                <w:szCs w:val="16"/>
                <w:color w:val="auto"/>
              </w:rPr>
              <w:t>existing cash and cash equivalents, if necessary, to (A) satisfy the estimated tax withholding and remittance obligations reflected in the pro forma</w:t>
            </w:r>
          </w:p>
        </w:tc>
      </w:tr>
      <w:tr>
        <w:trPr>
          <w:trHeight w:val="189"/>
        </w:trPr>
        <w:tc>
          <w:tcPr>
            <w:tcW w:w="260" w:type="dxa"/>
            <w:vAlign w:val="bottom"/>
          </w:tcPr>
          <w:p>
            <w:pPr>
              <w:spacing w:after="0"/>
              <w:rPr>
                <w:sz w:val="16"/>
                <w:szCs w:val="16"/>
                <w:color w:val="auto"/>
              </w:rPr>
            </w:pPr>
          </w:p>
        </w:tc>
        <w:tc>
          <w:tcPr>
            <w:tcW w:w="10940" w:type="dxa"/>
            <w:vAlign w:val="bottom"/>
            <w:gridSpan w:val="3"/>
          </w:tcPr>
          <w:p>
            <w:pPr>
              <w:ind w:left="80"/>
              <w:spacing w:after="0"/>
              <w:rPr>
                <w:sz w:val="20"/>
                <w:szCs w:val="20"/>
                <w:color w:val="auto"/>
              </w:rPr>
            </w:pPr>
            <w:r>
              <w:rPr>
                <w:rFonts w:ascii="Arial" w:cs="Arial" w:eastAsia="Arial" w:hAnsi="Arial"/>
                <w:sz w:val="16"/>
                <w:szCs w:val="16"/>
                <w:color w:val="auto"/>
              </w:rPr>
              <w:t>adjustments described in the preceding footnote and (B) repay $ million in outstanding loans under and terminate the Vista Facility.</w:t>
            </w:r>
          </w:p>
        </w:tc>
      </w:tr>
      <w:tr>
        <w:trPr>
          <w:trHeight w:val="203"/>
        </w:trPr>
        <w:tc>
          <w:tcPr>
            <w:tcW w:w="260" w:type="dxa"/>
            <w:vAlign w:val="bottom"/>
          </w:tcPr>
          <w:p>
            <w:pPr>
              <w:jc w:val="right"/>
              <w:spacing w:after="0"/>
              <w:rPr>
                <w:sz w:val="20"/>
                <w:szCs w:val="20"/>
                <w:color w:val="auto"/>
              </w:rPr>
            </w:pPr>
            <w:r>
              <w:rPr>
                <w:rFonts w:ascii="Arial" w:cs="Arial" w:eastAsia="Arial" w:hAnsi="Arial"/>
                <w:sz w:val="16"/>
                <w:szCs w:val="16"/>
                <w:color w:val="auto"/>
                <w:w w:val="91"/>
              </w:rPr>
              <w:t>(3)</w:t>
            </w:r>
          </w:p>
        </w:tc>
        <w:tc>
          <w:tcPr>
            <w:tcW w:w="5800" w:type="dxa"/>
            <w:vAlign w:val="bottom"/>
            <w:gridSpan w:val="2"/>
          </w:tcPr>
          <w:p>
            <w:pPr>
              <w:ind w:left="60"/>
              <w:spacing w:after="0"/>
              <w:rPr>
                <w:sz w:val="20"/>
                <w:szCs w:val="20"/>
                <w:color w:val="auto"/>
              </w:rPr>
            </w:pPr>
            <w:r>
              <w:rPr>
                <w:rFonts w:ascii="Arial" w:cs="Arial" w:eastAsia="Arial" w:hAnsi="Arial"/>
                <w:sz w:val="16"/>
                <w:szCs w:val="16"/>
                <w:color w:val="auto"/>
              </w:rPr>
              <w:t>Each $1.00 increase (decrease) in the assumed initial public offering price of $</w:t>
            </w:r>
          </w:p>
        </w:tc>
        <w:tc>
          <w:tcPr>
            <w:tcW w:w="5140" w:type="dxa"/>
            <w:vAlign w:val="bottom"/>
          </w:tcPr>
          <w:p>
            <w:pPr>
              <w:ind w:left="100"/>
              <w:spacing w:after="0"/>
              <w:rPr>
                <w:sz w:val="20"/>
                <w:szCs w:val="20"/>
                <w:color w:val="auto"/>
              </w:rPr>
            </w:pPr>
            <w:r>
              <w:rPr>
                <w:rFonts w:ascii="Arial" w:cs="Arial" w:eastAsia="Arial" w:hAnsi="Arial"/>
                <w:sz w:val="16"/>
                <w:szCs w:val="16"/>
                <w:color w:val="auto"/>
              </w:rPr>
              <w:t>per share, which is the midpoint of the offering price range set forth on</w:t>
            </w:r>
          </w:p>
        </w:tc>
      </w:tr>
      <w:tr>
        <w:trPr>
          <w:trHeight w:val="189"/>
        </w:trPr>
        <w:tc>
          <w:tcPr>
            <w:tcW w:w="260" w:type="dxa"/>
            <w:vAlign w:val="bottom"/>
          </w:tcPr>
          <w:p>
            <w:pPr>
              <w:spacing w:after="0"/>
              <w:rPr>
                <w:sz w:val="16"/>
                <w:szCs w:val="16"/>
                <w:color w:val="auto"/>
              </w:rPr>
            </w:pPr>
          </w:p>
        </w:tc>
        <w:tc>
          <w:tcPr>
            <w:tcW w:w="10940" w:type="dxa"/>
            <w:vAlign w:val="bottom"/>
            <w:gridSpan w:val="3"/>
          </w:tcPr>
          <w:p>
            <w:pPr>
              <w:ind w:left="80"/>
              <w:spacing w:after="0"/>
              <w:rPr>
                <w:sz w:val="20"/>
                <w:szCs w:val="20"/>
                <w:color w:val="auto"/>
              </w:rPr>
            </w:pPr>
            <w:r>
              <w:rPr>
                <w:rFonts w:ascii="Arial" w:cs="Arial" w:eastAsia="Arial" w:hAnsi="Arial"/>
                <w:sz w:val="16"/>
                <w:szCs w:val="16"/>
                <w:color w:val="auto"/>
              </w:rPr>
              <w:t>the cover page of this prospectus, would increase (decrease) the amount of our pro forma as adjusted cash and cash equivalents, working capital, total</w:t>
            </w:r>
          </w:p>
        </w:tc>
      </w:tr>
      <w:tr>
        <w:trPr>
          <w:trHeight w:val="215"/>
        </w:trPr>
        <w:tc>
          <w:tcPr>
            <w:tcW w:w="26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6"/>
                <w:szCs w:val="16"/>
                <w:color w:val="auto"/>
              </w:rPr>
              <w:t>assets, and total stockholders’ (deficit) equity by $</w:t>
            </w:r>
          </w:p>
        </w:tc>
        <w:tc>
          <w:tcPr>
            <w:tcW w:w="7040" w:type="dxa"/>
            <w:vAlign w:val="bottom"/>
            <w:gridSpan w:val="2"/>
          </w:tcPr>
          <w:p>
            <w:pPr>
              <w:ind w:left="240"/>
              <w:spacing w:after="0"/>
              <w:rPr>
                <w:sz w:val="20"/>
                <w:szCs w:val="20"/>
                <w:color w:val="auto"/>
              </w:rPr>
            </w:pPr>
            <w:r>
              <w:rPr>
                <w:rFonts w:ascii="Arial" w:cs="Arial" w:eastAsia="Arial" w:hAnsi="Arial"/>
                <w:sz w:val="16"/>
                <w:szCs w:val="16"/>
                <w:color w:val="auto"/>
              </w:rPr>
              <w:t>million, assuming that the number of shares of our Class A common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right="180"/>
        <w:spacing w:after="0" w:line="263" w:lineRule="auto"/>
        <w:rPr>
          <w:sz w:val="20"/>
          <w:szCs w:val="20"/>
          <w:color w:val="auto"/>
        </w:rPr>
      </w:pPr>
      <w:r>
        <w:rPr>
          <w:rFonts w:ascii="Arial" w:cs="Arial" w:eastAsia="Arial" w:hAnsi="Arial"/>
          <w:sz w:val="16"/>
          <w:szCs w:val="16"/>
          <w:color w:val="auto"/>
        </w:rPr>
        <w:t>stock offered, as set forth on the cover page of this prospectus, remains the same, after deducting underwriting discounts and commissions. An increase (decrease) of 1.0 million shares in the number of shares offered by us would increase (decrease), as applicable, the amount of our pro forma</w:t>
      </w:r>
    </w:p>
    <w:p>
      <w:pPr>
        <w:ind w:left="340" w:right="40"/>
        <w:spacing w:after="0" w:line="252" w:lineRule="auto"/>
        <w:rPr>
          <w:sz w:val="20"/>
          <w:szCs w:val="20"/>
          <w:color w:val="auto"/>
        </w:rPr>
      </w:pPr>
      <w:r>
        <w:rPr>
          <w:rFonts w:ascii="Arial" w:cs="Arial" w:eastAsia="Arial" w:hAnsi="Arial"/>
          <w:sz w:val="16"/>
          <w:szCs w:val="16"/>
          <w:color w:val="auto"/>
        </w:rPr>
        <w:t>as adjusted cash and cash equivalents, working capital, total assets, and total stockholders’ (deficit) equity by $ million, assuming the assumed initial public offering price remains the same, and after deducting underwriting discounts and commissions. In addition, each 1.0% increase (decrease) in the assumed tax withholding rates would increase (decrease) the amount of estimated tax withholding and remittance obligations related to the RSU Net Settlement and decrease (increase) as adjusted cash and cash equivalents, working capital, total assets, and total stockholders’ (deficit) equity by $</w:t>
      </w:r>
    </w:p>
    <w:p>
      <w:pPr>
        <w:spacing w:after="0" w:line="1" w:lineRule="exact"/>
        <w:rPr>
          <w:sz w:val="20"/>
          <w:szCs w:val="20"/>
          <w:color w:val="auto"/>
        </w:rPr>
      </w:pPr>
    </w:p>
    <w:p>
      <w:pPr>
        <w:ind w:left="340" w:right="60"/>
        <w:spacing w:after="0" w:line="253" w:lineRule="auto"/>
        <w:rPr>
          <w:sz w:val="20"/>
          <w:szCs w:val="20"/>
          <w:color w:val="auto"/>
        </w:rPr>
      </w:pPr>
      <w:r>
        <w:rPr>
          <w:rFonts w:ascii="Arial" w:cs="Arial" w:eastAsia="Arial" w:hAnsi="Arial"/>
          <w:sz w:val="16"/>
          <w:szCs w:val="16"/>
          <w:color w:val="auto"/>
        </w:rPr>
        <w:t>, assuming that the assumed initial public offering price remains the same, that the number of shares of Class A common stock offered by us, as set forth on the cover page of this prospectus, remains the same, and after deducting underwriting discounts and commissions. Each $1.00 increase (decrease) in the assumed initial public offering price per share of $ , which is the midpoint of the offering price range set forth on the cover page of this prospectus, would increase (decrease) the amount of estimated tax withholding and remittance obligations related to the RSU Net Settlement and decrease (increase) as adjusted cash and cash equivalents, working capital, total assets, and total stockholders’ (deficit) equity by $ , assuming that the tax withholding rate remains the same, that the number of shares of Class A common stock offered by us, as set forth on the cover page of this prospectus, remains the same, and after deducting underwriting discounts and commissions. Pro forma adjustments in the footnotes above and the related information in the balance sheet data are illustrative only and may differ from actual amounts based on, among other things, the actual initial public offering price and other terms of this offering determined at pricing, the actual tax withholding rates, as well as the actual amount of RSUs settled in connection with this offering.</w:t>
      </w:r>
    </w:p>
    <w:p>
      <w:pPr>
        <w:spacing w:after="0" w:line="4"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Working capital is defined as current assets less current liabilities.</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 million related to a redeemable convertible preferred stock warrant liability.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 and Non-GAAP Financial Measures</w:t>
      </w:r>
    </w:p>
    <w:p>
      <w:pPr>
        <w:spacing w:after="0" w:line="17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review a number of operating and financial metrics, including the following key metrics and non-GAAP, financial measures to evaluate our business, measure our performance, identify trends affecting our business, formulate financial projections, and make strategic decisions. See the sections titled “Management’s Discussion and Analysis of Financial Condition and Results of Operations—Key Business Metrics” for additional information regarding our key business metrics and “Management’s Discussion and Analysis of Financial Condition and Results of Operations—Non-GAAP Financial Measures” for additional information and reconciliations of our non-GAAP financial measures to the most directly comparable financial measures prepared in accordance with GAAP.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196"/>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rPr>
              <w:t>(in billions, except customer data)</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booking volume (GBV)</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Payment volume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9"/>
              <w:spacing w:after="0"/>
              <w:rPr>
                <w:sz w:val="20"/>
                <w:szCs w:val="20"/>
                <w:color w:val="auto"/>
              </w:rPr>
            </w:pPr>
            <w:r>
              <w:rPr>
                <w:rFonts w:ascii="Arial" w:cs="Arial" w:eastAsia="Arial" w:hAnsi="Arial"/>
                <w:sz w:val="18"/>
                <w:szCs w:val="18"/>
                <w:color w:val="auto"/>
              </w:rPr>
              <w:t>3.7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customers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10,000</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8,000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196"/>
        </w:trPr>
        <w:tc>
          <w:tcPr>
            <w:tcW w:w="7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80" w:type="dxa"/>
            <w:vAlign w:val="bottom"/>
            <w:gridSpan w:val="3"/>
          </w:tcPr>
          <w:p>
            <w:pPr>
              <w:jc w:val="right"/>
              <w:ind w:right="792"/>
              <w:spacing w:after="0"/>
              <w:rPr>
                <w:sz w:val="20"/>
                <w:szCs w:val="20"/>
                <w:color w:val="auto"/>
              </w:rPr>
            </w:pPr>
            <w:r>
              <w:rPr>
                <w:rFonts w:ascii="Arial" w:cs="Arial" w:eastAsia="Arial" w:hAnsi="Arial"/>
                <w:sz w:val="14"/>
                <w:szCs w:val="14"/>
                <w:b w:val="1"/>
                <w:bCs w:val="1"/>
                <w:color w:val="auto"/>
              </w:rPr>
              <w:t>(dollars in thousands)</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profit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367,022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239,634</w:t>
            </w:r>
          </w:p>
        </w:tc>
      </w:tr>
      <w:tr>
        <w:trPr>
          <w:trHeight w:val="230"/>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Non-GAAP gross profit </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371,855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249,229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margin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Non-GAAP gross margin</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69 %</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loss from operations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(246,342)</w:t>
            </w:r>
          </w:p>
        </w:tc>
      </w:tr>
      <w:tr>
        <w:trPr>
          <w:trHeight w:val="229"/>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Non-GAAP loss from operations</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(25,042)</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(174,753)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(331,552)</w:t>
            </w:r>
          </w:p>
        </w:tc>
      </w:tr>
      <w:tr>
        <w:trPr>
          <w:trHeight w:val="311"/>
        </w:trPr>
        <w:tc>
          <w:tcPr>
            <w:tcW w:w="7980" w:type="dxa"/>
            <w:vAlign w:val="bottom"/>
          </w:tcPr>
          <w:p>
            <w:pPr>
              <w:ind w:left="20"/>
              <w:spacing w:after="0"/>
              <w:rPr>
                <w:sz w:val="20"/>
                <w:szCs w:val="20"/>
                <w:color w:val="auto"/>
              </w:rPr>
            </w:pPr>
            <w:r>
              <w:rPr>
                <w:rFonts w:ascii="Arial" w:cs="Arial" w:eastAsia="Arial" w:hAnsi="Arial"/>
                <w:sz w:val="18"/>
                <w:szCs w:val="18"/>
                <w:color w:val="auto"/>
              </w:rPr>
              <w:t>Non-GAAP net loss</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(96,387)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(224,353)</w:t>
            </w:r>
          </w:p>
        </w:tc>
      </w:tr>
    </w:tbl>
    <w:p>
      <w:pPr>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p>
    <w:p>
      <w:pPr>
        <w:ind w:left="340" w:right="40" w:hanging="332"/>
        <w:spacing w:after="0" w:line="260"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Non-GAAP gross profit, non-GAAP gross margin, non-GAAP loss from operations, and non-GAAP net loss are not calculated in accordance with GAAP. For more information regarding our use of non-GAAP gross profit, non-GAAP gross margin, non-GAAP loss from operations, and non-GAAP net loss and a reconciliation of non-GAAP gross profit to gross profit, non-GAAP gross margin to gross margin, non-GAAP loss from operations to loss from operations, and non-GAAP net loss to net loss, the most directly comparable financial measures calculated in accordance with GAAP, see the section titled “Management’s Discussion and Analysis of Financial Condition and Results of Operations—Non-GAAP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our consolidated financial statements and the accompanying notes included elsewhere in this prospectus before deciding whether to invest in shares of our Class A common stock. Our business, financial condition, results of operations, or prospects could also be adversely affected by risks and uncertainties that are not presently known to us or that we currently believe are not material. If any of the risks actually occur, our business, financial condition, results of operations, and prospects could be adversely affected. In that event, the market price of our Class A common stock could decline, and you could lose all or part of your investment.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i w:val="1"/>
          <w:iCs w:val="1"/>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104"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experienced rapid growth and increased demand for our platform in recent periods, there is no assurance that we will manage our growth successfully, and our recent growth rates may not be indicative of our future growth. Our rapid growth has resulted in increased costs as we expanded our operations to scale our business and address increased customer and user demand, and we expect to continue to invest broadly across our organization to support our growth.</w:t>
      </w:r>
    </w:p>
    <w:p>
      <w:pPr>
        <w:spacing w:after="0" w:line="12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Continued macroeconomic uncertainty, including as a result of rising interest rates, inflation, tariffs, foreign currency fluctuation, political unrest, instability in the global banking system, and the potential for an economic recession, has resulted, and is expected to continue to result, in reductions as well as fluctuations in demand for travel and our offerings as companies reduce or deprioritize spending on T&amp;E management offerings. Macroeconomic uncertainty has impacted and may continue to impact our ability to plan for future operations and strategic initiatives or predict our future financial performance (due in part to our usage-based revenue model for certain of our offerings, including our Travel Management offerings). Disruptions and changes in traveler behavior have occurred in recent times, including as a result of the COVID-19 pandemic and macroeconomic uncertainty, and may occur in the future, and we have faced and may continue to face challenges in accurately forecasting demand for travel and travel management services as a result. To maintain growth in our business, we need to, among other things, continue development and implementation of Navan Cognition and related AI features and functionalities, increase adoption and market acceptance of our offerings beyond travel, develop and increase adoption of additional offerings, compete effectively against larger and more established market participants as well as newer entrants, successfully execute our go-to-market strategies, address an increasing portion of the unmanaged travel market, and maintain or improve our relationships with suppliers, including commission rates.</w:t>
      </w:r>
    </w:p>
    <w:p>
      <w:pPr>
        <w:spacing w:after="0" w:line="13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growth has also been and may continue to be negatively impacted as our customers, particularly customers with whom we have historically high adoption or expansion rates, do not increase or decrease headcount, reduce T&amp;E budgets or otherwise increase scrutiny over IT spending for any reason, including due to macroeconomic uncertainty. Over the last few years, adoption of remote work models has also become widespread, initially as a matter of necessity in response to the COVID-19 pandemic and more recently as a matter of company policy in light of evolving perspectives on the need and desire for full-time in-person workforces. While more companies and organizations have instituted return-to-office policies and business travel levels have normalized following the COVID-19 pandemic, we cannot predict with certainty future trends in teleconference and virtual meeting technologies adoption, the impact that remote work policies will continue to have on the nature and amount of business travel, or whether employer and employee attitudes toward business travel will change in a lasting way.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smaller companies with limited travel or information technology budgets may in the future prefer to use teleconference and virtual meeting technologies indefinitely or substantially limit business travel spending.</w:t>
      </w:r>
    </w:p>
    <w:p>
      <w:pPr>
        <w:spacing w:after="0" w:line="9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also encountered, and will continue to encounter, the risks and uncertainties frequently experienced by growing companies in rapidly changing industries. For example, we are required to manage multiple relationships with various suppliers, payment or expense service partners, other partners, customers, and other third parties. In the event of further growth of our operations or in the number of our third-party relationships, including in connection with acquisitions of complementary businesses and companies, our computer systems, procedures, or internal controls may not be adequate to support our operations, we encounter further difficulties and delays in integrating acquired businesses and companies (including into our controls environment), and our management may not be able to manage such growth effectively. The growth and expansion of our business and platform places a significant strain on our management and our administrative, operational, and financial reporting resources. To effectively manage our growth, we must continue to implement and improve our operational, financial, and management information and reporting systems and manage our employee base, including recruiting and training new engineers, sales professionals, and agents.</w:t>
      </w:r>
    </w:p>
    <w:p>
      <w:pPr>
        <w:spacing w:after="0" w:line="13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a result of the foregoing, our recent growth rates and financial performance should not necessarily be considered indicative of our future performance and results of operations, and you should not rely on the recent growth in our key business metrics as an indication of our future performance. In addition, if our assumptions regarding these risks and uncertainties, which we use to plan our business strategies and operations, are incorrect or change due to industry or market developments, or if we do not address these risks successfully, our business, financial condition, results of operations, and prospects could be negatively impacted.</w:t>
      </w:r>
    </w:p>
    <w:p>
      <w:pPr>
        <w:spacing w:after="0" w:line="127"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8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revenue has historically been, and is expected to continue to be, significantly dependent on our Travel Management offerings, which have historically been and may in the future be significantly impacted by declines in, or disruptions to, global travel activity, including as a result of macroeconomic factors and widespread health concerns, epidemics, or pandemics. Factors over which we have no control but which impact travel patterns and, depending on the scope and duration, cause significant declines in global or widespread travel volumes and reductions in our customers’ travel budgets include, among other things:</w:t>
      </w:r>
    </w:p>
    <w:p>
      <w:pPr>
        <w:spacing w:after="0" w:line="125" w:lineRule="exact"/>
        <w:rPr>
          <w:sz w:val="20"/>
          <w:szCs w:val="20"/>
          <w:color w:val="auto"/>
        </w:rPr>
      </w:pPr>
    </w:p>
    <w:p>
      <w:pPr>
        <w:jc w:val="both"/>
        <w:ind w:left="660" w:right="48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macroeconomic uncertainty, including due to tariffs, volatile interest rates, inflation, domestic and foreign currency fluctuation, instability in the global banking system, volatility in global stock markets, and the potential for a prolonged economic recession, particularly on T&amp;E budgets and IT spending at our existing and potential customers;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unrest or instability, including due to tariff policies;</w:t>
      </w:r>
    </w:p>
    <w:p>
      <w:pPr>
        <w:spacing w:after="0" w:line="171"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security concerns caused by terrorist attacks, the threat of terrorist attacks, or the precautions taken in anticipation of such attacks, including elevated threat warnings or selective cancellation or redirection of travel;</w:t>
      </w:r>
    </w:p>
    <w:p>
      <w:pPr>
        <w:spacing w:after="0" w:line="98" w:lineRule="exact"/>
        <w:rPr>
          <w:rFonts w:ascii="Arial" w:cs="Arial" w:eastAsia="Arial" w:hAnsi="Arial"/>
          <w:sz w:val="18"/>
          <w:szCs w:val="18"/>
          <w:color w:val="auto"/>
        </w:rPr>
      </w:pPr>
    </w:p>
    <w:p>
      <w:pPr>
        <w:ind w:left="660" w:right="480" w:hanging="328"/>
        <w:spacing w:after="0" w:line="26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cyber-terrorism, the outbreak of hostilities, global conflict, or escalation or worsening of existing hostilities or war, such as the ongoing conflicts in Ukraine and the Middle East and tensions between China and Taiwan, in some cases resulting in sanctions imposed by the United States and other countries, and retaliatory actions taken by sanctioned countries in response to such sanctions;</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changes in visa and immigration policies or the imposition of travel restrictions or more restrictive security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climate change-related impact to travel destinations, such as extreme weather, natural disasters and disruptions, and actions taken by governments, businesses, our suppliers, and our other partners to combat climate change, such as new travel-related regulations, policies, or conditions related to sustainability and climate-change concerns;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occurrence of travel-related accidents or the grounding of aircraft due to safety concerns or regulatory actions;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technical and operational disruptions at key transit hubs, including key international airports due to insufficient funding of aviation and other travel or transportation agencies or governmental bodies;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preferences from traditional hotel bookings to the use of alternative providers that are not available on our platform;</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macroeconomic conditions and labor shortages on the cost and availability of airline travel, including the risk of a global recession;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actions or changes to regulations governing the travel industry;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widespread health concerns or pandemics, such as the COVID-19 pandemic.</w:t>
      </w:r>
    </w:p>
    <w:p>
      <w:pPr>
        <w:spacing w:after="0" w:line="171"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We have historically experienced and may in the future experience negative impacts to our business, financial condition, results of operations, and prospects from some or all of the above disruptions to business or consumer travel.</w:t>
      </w:r>
    </w:p>
    <w:p>
      <w:pPr>
        <w:spacing w:after="0" w:line="99"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In addition, from time to time, certain airlines struggle to meet spikes in demand, leading to elevated cancellations and delays that frustrate passengers and strain airport operations. When large numbers of our customers experience delays or cancellations, our support costs tend to increase, and prolonged periods of systemic disruptions increase our operating costs and adversely affect our margins and results of operations.</w:t>
      </w:r>
    </w:p>
    <w:p>
      <w:pPr>
        <w:spacing w:after="0" w:line="124"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Shifts in business travel trends or any decline in business travel demand would negatively impact our business, growth, results of operations, and financial condition.</w:t>
      </w:r>
    </w:p>
    <w:p>
      <w:pPr>
        <w:spacing w:after="0" w:line="85"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business and growth depend on continued demand for business travel. In addition to global travel trends, business travel volume has been and may in the future be impacted by a number of different factors. The continued proliferation of remote and hybrid work models has enabled many companies to replace in-person meetings and events with virtual alternatives, which can be more cost-effective, resulting in some companies reducing discretionary travel. Shifts in trends regarding return-to-office mandates at our existing and potential customers have in the past impacted and may in the future impact our growth and business model, particularly if we face difficulties in acquiring new customers. Geopolitical instability and shifting political policies and landscapes have also impacted and may continue to impact certain existing and potential customers’ policies with respect to business travel, particularly international travel, as well as business travel in and around geographic regions experiencing political instability, hostilities, or conflict. Companies have also been periodically reassessing and adjusting travel policies and related T&amp;E budgets, including due to the factors described above and broader factors impacting the travel industry generally, which has resulted and may continue to result in fluctuations in or reduced usage levels of our offerings across periods, contributing to fluctuations in our results of operations. Shifts in business travel trends or any decline in business travel demand could result in decreased new platform acquisition rates as well as reductions in usage of our offerings by our customers, which would negatively impact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229"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We may be unable to attract new customers and grow our customer base, which would negatively impact our revenue growth and results of operations.</w:t>
      </w:r>
    </w:p>
    <w:p>
      <w:pPr>
        <w:spacing w:after="0" w:line="8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future growth depends in large part on increasing our customer base and maintaining and increasing the revenue we generate from those customers. To increase our GBV and revenue, we seek to expand our customers’ usage of our offerings, including by increasing their usage of our Travel offering and by driving their adoption and increased use of our additional offerings, including Corporate Payments, Expense Management, Meetings and Events, VIP, and Bleisure. The success of our business is substantially dependent on the actual and perceived viability, benefits, and advantages of our platform as a preferred product for T&amp;E management and corporate card programs, particularly when compared to customers’ existing alternatives and new competitive offerings.</w:t>
      </w:r>
    </w:p>
    <w:p>
      <w:pPr>
        <w:spacing w:after="0" w:line="12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While we have experienced significant growth in the number of our customers in recent periods, we do not know whether we will continue to achieve similar customer growth rates in the future. Numerous factors have impeded and may continue to impede our ability to attract new customers and retain, and expand the use of our platform within, our customers, including:</w:t>
      </w:r>
    </w:p>
    <w:p>
      <w:pPr>
        <w:spacing w:after="0" w:line="117" w:lineRule="exact"/>
        <w:rPr>
          <w:sz w:val="20"/>
          <w:szCs w:val="20"/>
          <w:color w:val="auto"/>
        </w:rPr>
      </w:pPr>
    </w:p>
    <w:p>
      <w:pPr>
        <w:ind w:left="660" w:right="32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macroeconomic uncertainty, including as a result of tariffs and trade issues, rising interest rates, inflation, domestic and foreign currency fluctuation, instability in the global banking system, volatility in global stock markets, and the potential for a prolonged economic recession;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demand for and trends in business travel among existing and potential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reductions in T&amp;E budgets and increased IT budget scrutiny at existing or potential customers;</w:t>
      </w:r>
    </w:p>
    <w:p>
      <w:pPr>
        <w:spacing w:after="0" w:line="171"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establish, maintain, or expand relationships with key suppliers and other partners, including any related changes in commission rates that negatively impact us;</w:t>
      </w:r>
    </w:p>
    <w:p>
      <w:pPr>
        <w:spacing w:after="0" w:line="98"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compete effectively against alternative products or services, including traditional offline travel services provided by large and established competitors as well as digital-native offerings (including those powered by AI);</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determine optimal pricing for our offerings, including in international markets;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successfully deploy new features and integrations or continue development or integration of Navan Cognition and related AI features and functionalities;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provide a quality customer experience and customer support; or</w:t>
      </w:r>
    </w:p>
    <w:p>
      <w:pPr>
        <w:spacing w:after="0" w:line="1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our sales and marketing strategies, including if we spend time and funding on strategies that do not provide sufficient return on our investment.</w:t>
      </w:r>
    </w:p>
    <w:p>
      <w:pPr>
        <w:spacing w:after="0" w:line="9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If we are unsuccessful in our efforts to acquire new customers and increase our customer base, including due to any of the above factors, or if we do so in a way that is not profitable, our growth, business, results of operations, and financial condition would be harmed. Our growth will also depend in part on capturing a greater portion of the unmanaged travel market.</w:t>
      </w:r>
    </w:p>
    <w:p>
      <w:pPr>
        <w:spacing w:after="0" w:line="119" w:lineRule="exact"/>
        <w:rPr>
          <w:sz w:val="20"/>
          <w:szCs w:val="20"/>
          <w:color w:val="auto"/>
        </w:rPr>
      </w:pPr>
    </w:p>
    <w:p>
      <w:pPr>
        <w:ind w:right="20"/>
        <w:spacing w:after="0" w:line="325" w:lineRule="auto"/>
        <w:rPr>
          <w:sz w:val="20"/>
          <w:szCs w:val="20"/>
          <w:color w:val="auto"/>
        </w:rPr>
      </w:pPr>
      <w:r>
        <w:rPr>
          <w:rFonts w:ascii="Arial" w:cs="Arial" w:eastAsia="Arial" w:hAnsi="Arial"/>
          <w:sz w:val="17"/>
          <w:szCs w:val="17"/>
          <w:b w:val="1"/>
          <w:bCs w:val="1"/>
          <w:i w:val="1"/>
          <w:iCs w:val="1"/>
          <w:color w:val="auto"/>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6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strategy involves landing customers with our Travel offering and expanding those relationships by increasing our customers’ engagement with and usage of additional offerings, including Corporate Payments, Expense Management, Meetings and Events, VIP, and Bleisure, and working to manage all of our customers’ corporate travel spend on our platform. If our customers do not adopt one or more of these additional offerings at the rate we anticipate or at all, our business and prospects could be negatively impacted. The success of these additional offerings depends upon our ability to sell them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existing travel management customers and on increasing their utilization. We have been investing and expect to continue to invest in a number of strategic growth initiatives to drive adoption of these additional offerings, but there can be no assurance that such investments will be effective on a timely basis or at all. In particular, we may experience more difficulty or fluctuations in adoption and expansion rates of our additional offerings by smaller customers in the unmanaged travel market, including due to their heightened focus on total cost of ownership and self-service motions. In addition, there is a period of time between when we acquire new customers and when we begin to recognize the bulk of our revenues, during which the customer implements our technology, moves corporate travel budgets to our platform, and then launches initial bookings. This time period fluctuates depending on the size, scope, and complexity of a customer’s overall corporate travel spend and organization. To expand our customers’ usage of our offerings, we will need to successfully partner with customers to help them realize increased value in our offerings in an efficient manner, particularly in uncertain macroeconomic environments characterized by heightened scrutiny over T&amp;E and IT budgets. If we do not effectively help our customers realize the value of managing more of their corporate travel spend on our platform, our business, growth, and results of operations could be harmed. In addition, use of our corporate card offering, along with the Navan Connect offering that allows customers to connect their non-Navan corporate cards to the Navan Expense system, gives us insights into travelers throughout their journey and, as a result, adoption by customers of this offering is crucial to our long-term strategy of providing comprehensive and personalized experiences to travelers. Accordingly, if customers do not adopt our additional offerings, they may not realize the full value of our platform and consequently may be more difficult to retain. As a result, our business, financial condition, results of operations, and prospects may be adversely affected.</w:t>
      </w:r>
    </w:p>
    <w:p>
      <w:pPr>
        <w:spacing w:after="0" w:line="14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expense management offerings are subscription-based, and expense management customers are not obligated to and may not renew their subscriptions after their existing subscriptions expire. We cannot assure you that such customers will renew subscriptions with the same or greater number of users or that they will upgrade to use features such as the corporate cards or Navan Connect. Customers may or may not renew their subscriptions as a result of a number of factors, including their satisfaction or dissatisfaction with our platform, changes we may implement in our pricing or structure, the pricing or capabilities of the products and services offered by our competitors, the effects of general economic conditions, or customers’ budgetary constraints. If our existing expense management customers do not renew their subscriptions, renew on less favorable terms, or fail to expand the adoption of our platform within their companies, our revenue may decline or grow less quickly than anticipated, which could adversely affect our business, financial condition, results of operations, and prospects.</w:t>
      </w:r>
    </w:p>
    <w:p>
      <w:pPr>
        <w:spacing w:after="0" w:line="129"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If we fail to offer high-quality customer support, including through our AI-powered virtual agents, or if our support is more expensive than anticipated, our business, margins, and reputation could suffer.</w:t>
      </w:r>
    </w:p>
    <w:p>
      <w:pPr>
        <w:spacing w:after="0" w:line="8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customers rely on our customer support services to resolve issues and realize the full benefits provided by our platform. High-quality support is also important for retaining and expanding the use of our offerings by our customers. We provide customer support over chat, telephone, and email, including through Ava, our AI-powered virtual agent. In particular, our business and margins are highly dependent on our AI-powered framework that enables us to create, train, deploy, and supervise specialized AI-powered virtual agents that can handle complex tasks previously requiring human intervention, from booking modifications to expense tracking to resolving issues during trips. Our growth, business, margins, and results of operations could be harmed if our virtual agents do not effectively and satisfactorily address our users’ needs and demands in using our platform to book and manage business travel and related expenses (including if users ultimately need to interact with live agents due to any failures, including perceived failures, of such virtual agents). Our growth, reputation, business, margins, and results of operations could also be harmed if our virtual agents make errors or introduce flawed, incomplete, or inaccurate outputs, some of which may appear correct, including due to flaws in the logic of the AI (a so-called “hallucination”), when interacting with users or processing their requests. In some cases, our virtual agents produce results that are inaccurate or incomplete or may take unintended actions from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229"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queries and inputs, even with no hallucinations, which could result in negative impacts to our users and customers and harm our reputation, growth, business, and results of operations. If we do not help our customers quickly resolve issues and provide effective ongoing support, or if our methods of providing support are insufficient to meet the needs of our customers, our ability to retain customers, expand usage of our offerings by our customers, and acquire new customers could suffer, and our reputation with existing or potential customers could be harmed. Moreover, if we are not able to meet the customer support needs of our customers through our AI-powered virtual agents or by chat and email, we may need to increase our support coverage and provide additional phone-based support. Agent-based phone-based support is more expensive to provide than the other customer support services we offer. As a result, increasing our support coverage and phone-based support services may negatively impact our gross margins.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customers have experienced increased customer wait times in the past and may experience similar delays in the future, including due to circumstances outside of our control. For example, when large numbers of our travelers experience delays or cancellations, our travelers have and may in the future experience delays in receiving necessary support services from us and our suppliers. If we are unable to help our travelers quickly resolve issues as a result of support issues we ourselves experience from our suppliers, our ability to retain customers and expand their usage of our offerings and attract new customers, as well as our reputation, could be harmed, and our business, financial condition, results of operations, and prospects could be adversely affected. In addition, as we continue to grow our operations internally and reach a larger and increasingly global customer base, we need to be able to provide efficient customer support that meets the needs of companies using our platform globally at scale. The number of customers using our platform has grown significantly, which puts additional pressure on our customer support services. If we are unable to provide high-quality customer support while controlling our customer support costs, our profitability may be negatively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Travel Management offerings depend on our relationships with suppliers.</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success of our Travel Management offerings depends on our ability to maintain and expand our relationships with our suppliers to offer our customers an unrivaled range of global travel inventory at optimal prices. Our ability to maintain our supplier relationships on favorable terms will depend on, among other things, providing suppliers with access to a large, expanding, and highly engaged user base of frequent travelers, visibility into traveler demand signals, flexible retailing and brand control for their products offered on our platform, access to new distribution initiatives like NDC, and access to our flexible platform architecture and integration capabilities to allow suppliers to roll out and test new products, content, pricing, and other features. In addition, if one or more of our suppliers suffers a deterioration in its financial condition, changes our contractual commission rate, or terminates its relationship with us, it could adversely affect our ability to deliver desired travel inventory to our customers as well as our business, financial condition, and results of operations.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Commissions on sales through GDSs are highly standardized, while direct supplier agreements are more variable and may involve higher commissions. If industry-wide commissions are reduced, or if we are unable to enter into favorable direct agreements with new suppliers, our business, financial condition, and results of operations could be adversely affected. Suppliers may change their commission rates, whether pursuant to our supplier contracts or more broadly, for a number of reasons, including in response to macroeconomic factors or changes in their business strategy. As part of strategic shifts, suppliers may also seek to implement their own direct distribution channels or pivot from intermediary channels, such as certain GDSs, which may result in negative impacts to our business, such as reductions in our supply inventory or increased prices by such suppliers on our platform. Such strategic shifts may reflect supplier efforts to optimize the financial profile of their distribution channels, including by managing commission rates in a manner that negatively impacts our usage-based revenue. Further proliferation or market acceptance of new distribution standards like NDC may also result in strategic shifts by our suppliers, which may negatively impact their relationships with us and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229"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Finally, we typically negotiate or renegotiate our agreements with these suppliers annually or every several years, depending on the duration of the agreement. No assurances can be given that suppliers will elect to participate in our platform or that our compensation, access to inventory, or access to inventory at competitive rates will not be reduced or eliminated in the future. Suppliers may also elect to reduce the cost of their products or services and therefore reduce our margins, and there can be no assurance that our agreements with suppliers will not lapse between renewals, which could limit our inventory. Such providers could seek to charge us for or otherwise restrict access to premium inventory, increase credit card fees or fees for other services, fail to provide us with accurate booking information, or otherwise take actions that could increase our operating expenses. As we focus our sales strategy on targeting and acquiring more of the unmanaged travel market, suppliers may reassess their strategic positioning with us and result in renegotiations of our contractual terms, including commission rates. Any of these actions, or other similar actions, could reduce our revenue and margins and could adversely affect our business, financial condition, results of operations,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6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were incorporated in 2015 and have incurred net losses in each year since inception and we may not achieve or, if achieved, sustain profitability in the future. We generated net losses of $181.1 million in fiscal 2025 and $331.6 million in fiscal 2024. As of January 31, 2025, we had an accumulated deficit of $1,617 million. While we experienced significant revenue growth in recent periods, we cannot predict whether we will maintain this level of growth or when we will achieve profitability. We are not certain whether or when our revenue will be sufficient to sustain or increase our growth or achieve profitability in the future. Even if we achieve profitability, we may not be able to sustain or increase our profitability. We also expect our costs and expenses to increase in future periods, which could negatively affect our future results of operations if our revenue does not increase. In particular, we intend to continue to make significant investments in our business, including to further develop our platform and offerings, such as our technology infrastructure and our AI framework, features, and functionalities, expand our marketing programs and sales teams to drive new customer acquisition and expand engagement with our platform and offerings within our customers, support our international expansion, and develop and introduce new offerings, use cases, and platform features and functionalities. We will also face increased costs associated with growth, the expansion of our customer and supplier base, continued focus on our sales strategies, expansion of our efforts to increase our share of the unmanaged travel market, and increases in general and administrative expenses as a result of being a public company. We also may never achieve or maintain profitability if we are not able to acquire new customers, drive further adoption within existing customers, or maintain and strengthen our supplier relationships.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or, once achieved, sustain profitability, the value of our business and Class A common stock may significantly decrease and our business, financial condition, results of operations, and prospects could be adversely affected.</w:t>
      </w:r>
    </w:p>
    <w:p>
      <w:pPr>
        <w:spacing w:after="0" w:line="139" w:lineRule="exact"/>
        <w:rPr>
          <w:sz w:val="20"/>
          <w:szCs w:val="20"/>
          <w:color w:val="auto"/>
        </w:rPr>
      </w:pPr>
    </w:p>
    <w:p>
      <w:pPr>
        <w:jc w:val="both"/>
        <w:ind w:right="200"/>
        <w:spacing w:after="0" w:line="272" w:lineRule="auto"/>
        <w:rPr>
          <w:sz w:val="20"/>
          <w:szCs w:val="20"/>
          <w:color w:val="auto"/>
        </w:rPr>
      </w:pPr>
      <w:r>
        <w:rPr>
          <w:rFonts w:ascii="Arial" w:cs="Arial" w:eastAsia="Arial" w:hAnsi="Arial"/>
          <w:sz w:val="18"/>
          <w:szCs w:val="18"/>
          <w:b w:val="1"/>
          <w:bCs w:val="1"/>
          <w:i w:val="1"/>
          <w:iCs w:val="1"/>
          <w:color w:val="auto"/>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your investment.</w:t>
      </w:r>
    </w:p>
    <w:p>
      <w:pPr>
        <w:spacing w:after="0" w:line="10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were incorporated in 2015, launched our Travel offering in 2016, and introduced our Expense Management offerings in 2020. Travel demand levels have normalized in recent periods, a trend that we expect to continue, and our recent accelerated growth rates have moderated and may continue to do so in future periods. Further, in more recent periods, there has been uncertainty and disruption in the political environment, global economy, and financial markets, which have resulted and may continue to result in fluctuations in demand for business travel as well as reductions of corporate travel budgets and information technology investment. Accordingly, we have limited experience in, and data and results from, operating our business at its current scale, scope, and complexity and in a rapidly evolving market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business travel. We also have limited data from, and experience operating our business under current macroeconomic conditions, including elevated inflation, rising interest rates, and foreign</w:t>
      </w:r>
      <w:r>
        <w:rPr>
          <w:rFonts w:ascii="MS PGothic" w:cs="MS PGothic" w:eastAsia="MS PGothic" w:hAnsi="MS PGothic"/>
          <w:sz w:val="18"/>
          <w:szCs w:val="18"/>
          <w:color w:val="auto"/>
        </w:rPr>
        <w:t>‐</w:t>
      </w:r>
      <w:r>
        <w:rPr>
          <w:rFonts w:ascii="Arial" w:cs="Arial" w:eastAsia="Arial" w:hAnsi="Arial"/>
          <w:sz w:val="18"/>
          <w:szCs w:val="18"/>
          <w:color w:val="auto"/>
        </w:rPr>
        <w:t>exchange fluctuations, and cannot fully predict how customers and suppliers will operate in this environment. We have encountered, and expect to continue to encounter risks and uncertainties frequently experienced by growing companies in rapidly changing industries, such as the risks and uncertainties described herein. As a result, our ability to plan for future operations and strategic initiatives, predict future results of operations, and plan for and model future growth in revenue and expenses and prospects is subject to significant risk and uncertainty as compared to companies with longer and more consistent operating histories and in more stable macroeconomic environments and industries. These circumstances in turn limit our ability to accurately predict and plan for our customer demands and, given our usage-based travel revenue model, our growth rates, revenue, margins, and profitability.</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Moreover, while we have invested heavily in our additional offerings beyond travel management, including our Corporate Payments, Expense Management, Meetings and Events, VIP, and Bleisure offerings, we are continuing to grow and scale these offerings, and we cannot be certain when, if ever, we will achieve meaningful scale, customer adoption and expansion, and revenue from such offerings, particularly as we continue to grow our customer base and as we scale in number of customers served. Our business and growth strategies are also dependent on continued development, and implementation and integration of Navan Cognition, our proprietary AI framework for our platform, and related AI features and functionalities for our platform. While we have invested significantly in our AI framework, features and functionalities over the past several years, including our Navan Cognition framework, to help drive future growth in our business and reduce costs, AI technology is expected to continue to rapidly advance. We may not be successful in maintaining or increasing market acceptance of our platform to satisfy customer and user demand for integrated AI technologies, features, and functionalities, particularly as competitive technologies and solutions are introduced. We may also not be successful in properly and effectively implementing and integrating our AI features and functionalities for our platform as we work to continue developing them to improve the user and customer experience with our platform and to reduce our costs. Any of these outcomes could harm our business, results of operations, and financial condition. We also expect future trends in our revenue, margins, and profitability to vary in ways that we may not anticipate or predict, which may be driven by our own product or strategic initiatives as well as external factors such as economic conditions. We also have limited experience in deploying our product-led growth strategy, as compared to our sales-led growth strategy. As a result, any predictions about our future revenue and expenses may not be as accurate as they would be if we had a longer operating history at the current scale, scope, and complexity of our business or operated in a more predictable or stable market.</w:t>
      </w:r>
    </w:p>
    <w:p>
      <w:pPr>
        <w:spacing w:after="0" w:line="13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also recently completed several acquisitions of complementary businesses and have also broadened the scope and extent of our offerings outside of the United States. We have limited experience operating this expanded business at current scale and in increasing non-U.S. jurisdictions, including under economic conditions characterized by high inflation or in economic recessions. Certain of our longer-term strategic initiatives may also be obstructed or have unintended effects in the event of an economic recession, which we may not be able to predict. If our assumptions regarding these risks and uncertainties are incorrect or change due to changes in our markets or otherwise, or if we do not address these risks successfully, our results of operations could differ materially from our expectations and our business, financial condition, results of operations, and prospects could be adversely affected. We cannot assure you that we will be successful in addressing these and other challenges we may face in the future.</w:t>
      </w:r>
    </w:p>
    <w:p>
      <w:pPr>
        <w:spacing w:after="0" w:line="133"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85"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Our results of operations have varied significantly from period to period in the past, and we expect that our results of operations will continue to vary significantly in the future such that period-to-period comparisons may not be meaningful. Accordingly, our results of operations in any one quarter should not be relied upon as indicative of our future performance. Our quarterly results of operations may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22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a number of factors, many of which are outside of our control and may be difficult to predict, including:</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grow sales within our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drive adoption of our offerings beyond travel, including our Expense Management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continue integrating AI into our offerings and expanding our use of AI;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and expand our relationships with our suppliers, and to identify and attract new suppliers;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overall demand for business travel due to technological changes or changes in business practices, including as a result of current macroeconomic conditions;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occurrence of travel-related accidents or the grounding of aircraft due to safety concerns or regulatory actions;</w:t>
      </w:r>
    </w:p>
    <w:p>
      <w:pPr>
        <w:spacing w:after="0" w:line="1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technical and operational disruptions at key transit hubs, including key international airports, including due to insufficient funding of aviation and other travel or transportation agencies or governmental bodies;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including the mix of hotel and air travel booked each quarter;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seasonal demand fluctuations, such as reduced travel by our users during holiday periods;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customers’ T&amp;E budgets and IT spending budgets;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and existing customers choosing our competitors’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development or introduction of new products or services that are easier to use or more advanced than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adoption or retention of more entrenched or rival services in the international markets where we compete;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71"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w:t>
      </w:r>
    </w:p>
    <w:p>
      <w:pPr>
        <w:spacing w:after="0" w:line="171"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98"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 in market interest and foreign exchange rates, and the impact of inflation and instability in the global banking system on the United States and global economies;</w:t>
      </w:r>
    </w:p>
    <w:p>
      <w:pPr>
        <w:spacing w:after="0" w:line="98"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geopolitical conflicts, such as the ongoing conflicts in Ukraine and the Middle East, including related sanctions implemented by other countries, on global travel patterns and financial markets;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unrest or instability;</w:t>
      </w:r>
    </w:p>
    <w:p>
      <w:pPr>
        <w:spacing w:after="0" w:line="171"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execute acquisitions and integrate acquired businesses, and their accounting impact on our results of operations, including impairment of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229" w:right="5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new accounting pronouncements or changes in our accounting policies or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security breaches of, technical difficulties with, or interruptions to, the delivery and use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 and</w:t>
      </w:r>
    </w:p>
    <w:p>
      <w:pPr>
        <w:spacing w:after="0" w:line="171"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9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In addition, our quarterly results may fluctuate based on the relative volume of flights and hotel stays booked on our platform, as we tend to collect higher commissions on hotel reservations than air travel.</w:t>
      </w:r>
    </w:p>
    <w:p>
      <w:pPr>
        <w:spacing w:after="0" w:line="117"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Finally, we expect to incur significant additional expenses due to the increased costs of operating as a public company. If our quarterly results of operations fall below the expectations of investors and securities analysts who cover our stock, the price of our Class A common stock could decline substantially, and we could face costly lawsuits, including securities class action suits, and our business, financial condition, results of operations, and prospects could be adversely affected.</w:t>
      </w:r>
    </w:p>
    <w:p>
      <w:pPr>
        <w:spacing w:after="0" w:line="124" w:lineRule="exact"/>
        <w:rPr>
          <w:sz w:val="20"/>
          <w:szCs w:val="20"/>
          <w:color w:val="auto"/>
        </w:rPr>
      </w:pPr>
    </w:p>
    <w:p>
      <w:pPr>
        <w:jc w:val="both"/>
        <w:ind w:right="340"/>
        <w:spacing w:after="0" w:line="272" w:lineRule="auto"/>
        <w:rPr>
          <w:sz w:val="20"/>
          <w:szCs w:val="20"/>
          <w:color w:val="auto"/>
        </w:rPr>
      </w:pPr>
      <w:r>
        <w:rPr>
          <w:rFonts w:ascii="Arial" w:cs="Arial" w:eastAsia="Arial" w:hAnsi="Arial"/>
          <w:sz w:val="18"/>
          <w:szCs w:val="18"/>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10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part of our business strategy, we have in the past and may in the future seek to acquire or invest in businesses, products, or technologies that we believe could complement or expand our platform, enhance our technical capabilities, or otherwise offer growth opportunities. For example, in April 2021, we acquired Reed &amp; Mackay, or R&amp;M, a global travel management provider based in the United Kingdom, or the UK, in February 2022, we acquired Comtravo, a modern travel solution in Germany, Austria, and Switzerland and Resia, a travel agency covering Northern Europe, and in May 2023 we acquired Tripeur, an India-based travel management company. However, there can be no assurance we will be able to successfully identify desirable acquisition candidates in the future,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customers or investors.</w:t>
      </w:r>
    </w:p>
    <w:p>
      <w:pPr>
        <w:spacing w:after="0" w:line="12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encountered and may in the future encounter difficulties assimilating or integrating the businesses, technologies, products and platform capabilities, personnel, or operations of our acquired companies, assets, and businesses, particularly if key personnel of an acquired company choose not to work for us, their software is not easily adapted to work with our platform, or we have difficulty retaining the customers of any acquired business due to changes in ownership, management, or otherwise. We may also have difficulty establishing our company values with personnel of acquired companies, which may negatively impact our culture and work environment. Any such transactions that we are able to complete may not result in any synergies or other benefits we had expected to achieve, which could result in impairment charges that could be substantial. We have also experienced and may in the future experience difficulties and delays in integrating acquired companies and their systems into our controls environment, which may harm our ability to comply with reporting requirements, impact our understanding of certain details of our business and our ability to plan and forecast, or subject us to regulatory scrutiny.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22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the technology and information security systems and infrastructure of businesses we acquire may be underdeveloped or subject to vulnerabilities, subjecting us to additional liabilities. We have incurred and could in the future incur significant costs related to the implementation of enhancements to information security systems and infrastructure of acquired businesses and related to the remediation of any related security breaches. If security, data protection and information security measures in place at businesses we acquire are inadequate or breached, or are subject to cybersecurity attacks, or if any of the foregoing are reported or perceived to have occurred, our reputation and business could be damaged, and we could be subject to regulatory scrutiny, investigations, proceedings, and penalties. We may also acquire businesses whose operations may not be fully compliant with all applicable regulations, including governmental laws and requirements regarding economic and trade sanctions, anti-money laundering, counter-terror financing, and privacy and security laws, subjecting us to potential liabilities and requiring us to spend considerable time, effort, and resources to become compliant.</w:t>
      </w:r>
    </w:p>
    <w:p>
      <w:pPr>
        <w:spacing w:after="0" w:line="127"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as well as unfavorable accounting treatment and exposure to claims and disputes by third parties, including intellectual property claims. In addition, if an acquired business fails to meet our expectations, our business, financial condition, results of operations, and prospects could be adversely affected.</w:t>
      </w:r>
    </w:p>
    <w:p>
      <w:pPr>
        <w:spacing w:after="0" w:line="119" w:lineRule="exact"/>
        <w:rPr>
          <w:sz w:val="20"/>
          <w:szCs w:val="20"/>
          <w:color w:val="auto"/>
        </w:rPr>
      </w:pPr>
    </w:p>
    <w:p>
      <w:pPr>
        <w:ind w:right="860"/>
        <w:spacing w:after="0" w:line="294" w:lineRule="auto"/>
        <w:rPr>
          <w:sz w:val="20"/>
          <w:szCs w:val="20"/>
          <w:color w:val="auto"/>
        </w:rPr>
      </w:pPr>
      <w:r>
        <w:rPr>
          <w:rFonts w:ascii="Arial" w:cs="Arial" w:eastAsia="Arial" w:hAnsi="Arial"/>
          <w:sz w:val="18"/>
          <w:szCs w:val="18"/>
          <w:b w:val="1"/>
          <w:bCs w:val="1"/>
          <w:i w:val="1"/>
          <w:iCs w:val="1"/>
          <w:color w:val="auto"/>
        </w:rPr>
        <w:t>We plan to continue expanding our international operations which could subject us to additional costs and risks, and our continued expansion internationally may not be successful.</w:t>
      </w:r>
    </w:p>
    <w:p>
      <w:pPr>
        <w:spacing w:after="0" w:line="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significant amount of our revenue is derived from customers from outside the United States and we plan to continue expanding our operations internationally in the future. Revenue generated from customers and suppliers outside of the United States was $221.0 million, or 41% of our revenue, and $184.8 million, or 46% of our revenue, for fiscal years 2025 and 2024, respectively. Outside of the United States, we currently have direct and indirect subsidiaries in several countries, including Canada, the United Kingdom, France, Germany, Ireland, Israel, Singapore, India, the United Arab Emirates, Australia, and New Zealand, and have employees in 16 countries. Operating in international markets requires significant resources and management attention and subjects us to regulatory, economic and political risks that are different from those in the United States. In addition, there are significant costs and risks inherent in conducting business in international markets, including:</w:t>
      </w:r>
    </w:p>
    <w:p>
      <w:pPr>
        <w:spacing w:after="0" w:line="13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and maintaining effective controls at foreign locations and the associated increased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adapting our platform and offerings to non-U.S. consumers’ preferences and customs;</w:t>
      </w:r>
    </w:p>
    <w:p>
      <w:pPr>
        <w:spacing w:after="0" w:line="171"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localizing our platform and features for specific countries, including translation into foreign languages, tax, and regulatory updates and associated expenses;</w:t>
      </w:r>
    </w:p>
    <w:p>
      <w:pPr>
        <w:spacing w:after="0" w:line="98"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our platform and offerings to cover travel methods and providers that are not part, or do not reflect a significant portion, of our offering in the U.S.;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competition from local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foreign laws, regulations and licensing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adapting to doing business in other languages and/or cultures;</w:t>
      </w:r>
    </w:p>
    <w:p>
      <w:pPr>
        <w:spacing w:after="0" w:line="171" w:lineRule="exact"/>
        <w:rPr>
          <w:rFonts w:ascii="Arial" w:cs="Arial" w:eastAsia="Arial" w:hAnsi="Arial"/>
          <w:sz w:val="18"/>
          <w:szCs w:val="18"/>
          <w:color w:val="auto"/>
        </w:rPr>
      </w:pPr>
    </w:p>
    <w:p>
      <w:pPr>
        <w:jc w:val="both"/>
        <w:ind w:left="660" w:right="180" w:hanging="328"/>
        <w:spacing w:after="0" w:line="31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compliance with the laws of numerous taxing jurisdictions where we conduct business, potential double taxation of our international earnings, and potentially adverse tax consequences due to U.S. and foreign tax laws as they relate to our international operations;</w:t>
      </w:r>
    </w:p>
    <w:p>
      <w:pPr>
        <w:spacing w:after="0" w:line="75" w:lineRule="exact"/>
        <w:rPr>
          <w:rFonts w:ascii="Arial" w:cs="Arial" w:eastAsia="Arial" w:hAnsi="Arial"/>
          <w:sz w:val="17"/>
          <w:szCs w:val="17"/>
          <w:color w:val="auto"/>
        </w:rPr>
      </w:pPr>
    </w:p>
    <w:p>
      <w:pPr>
        <w:ind w:left="660" w:right="4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anti-bribery laws, such as the U.S. Foreign Corrupt Practices Act of 1977, or the FCPA, and the UK Bribery Act 2010, or the UK Bribery Act, by us, our team members, our suppliers, and our other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2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international locations;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71"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complexity and other risks associated with current and future foreign legal requirements, including legal requirements related to data privacy and security frameworks, such as the European Union, or the EU, and UK General Data Protection Regulations, and other data privacy and security laws that impose different and potentially conflicting obligations with respect to how personal data is processed or require that customer data be stored in a designated territory;</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exchange rate fluctuations and related effects on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and political instability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 and practical difficulties of enforcing rights abroad;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costs of doing business internationally.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factors and other factors have historically posed and may in the future pose challenges to growing our international operations organically, and could harm our international operations and, consequently, negatively impact our business, results of operations, and financial condition. As we seek to continue to expand internationally, we will likely encounter unexpected challenges and expenses due to local regulations, requirements, practices, and markets. Further, we may incur significant operating expenses as a result of our international expansion, and it may not be successful. We also hold cash and cash equivalents internationally, and in some cases, such liquidity resources may not be easily transferred across jurisdictions, which may negatively impact our financial condition and results of operations. We have limited experience with regulatory environments and market practices internationally, and we may not be able to penetrate or successfully operate in new markets. If we are unable to continue to expand internationally and manage the complexity of our global operations successfully, our business, financial condition, results of operations, and prospects could be adversely affected.</w:t>
      </w:r>
    </w:p>
    <w:p>
      <w:pPr>
        <w:spacing w:after="0" w:line="129"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platform.</w:t>
      </w:r>
    </w:p>
    <w:p>
      <w:pPr>
        <w:spacing w:after="0" w:line="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ability to increase our customers and achieve broader market acceptance of our platform will depend to a significant extent on our ability to expand our sales and marketing teams and to deploy our sales and marketing resources efficiently. We intend to continue investing significantly in our sales force and capabilities to land customers with our Travel offering and expand their adoption, usage of, and engagement with additional offerings. Our growth and business strategy are dependent on our ability to successfully execute our sales strategies at increasing scale.</w:t>
      </w:r>
    </w:p>
    <w:p>
      <w:pPr>
        <w:spacing w:after="0" w:line="1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Successfully executing our sales and marketing strategy requires strong leadership, alignment across our sales and marketing functions, and the ability to scale across diverse customer types, channels, and geographies. If we are unable to recruit, hire, develop, and retain high-performing sales or marketing personnel, if our new sales or marketing personnel are unable to achieve desired productivity levels in a reasonable period of time, or if our sales and marketing leaders fail to execute our sales strategies effectively, our ability to attract new customers and expand usage of and engagement with our offerings could be harmed.</w:t>
      </w:r>
    </w:p>
    <w:p>
      <w:pPr>
        <w:spacing w:after="0" w:line="125" w:lineRule="exact"/>
        <w:rPr>
          <w:sz w:val="20"/>
          <w:szCs w:val="20"/>
          <w:color w:val="auto"/>
        </w:rPr>
      </w:pPr>
    </w:p>
    <w:p>
      <w:pPr>
        <w:jc w:val="both"/>
        <w:ind w:right="100" w:firstLine="324"/>
        <w:spacing w:after="0" w:line="268" w:lineRule="auto"/>
        <w:rPr>
          <w:sz w:val="20"/>
          <w:szCs w:val="20"/>
          <w:color w:val="auto"/>
        </w:rPr>
      </w:pPr>
      <w:r>
        <w:rPr>
          <w:rFonts w:ascii="Arial" w:cs="Arial" w:eastAsia="Arial" w:hAnsi="Arial"/>
          <w:sz w:val="18"/>
          <w:szCs w:val="18"/>
          <w:color w:val="auto"/>
        </w:rPr>
        <w:t>We have historically focused our customer acquisition strategy on targeting mid-size and larger customers with a direct sales-led motion via our dedicated sales team. These customers often have a travel and expense vendor already and are sometimes characterized by more complex customer requirements, higher upfront sales costs, and less predictability in the timing or likelihood of expanding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229"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their usage of and engagement with additional offerings following adoption of our Travel offering. In certain circumstances, a larger enterprise or company’s decision to initially adopt our platform, particularly our Travel offering, and expand their usage of and engagement with additional offerings, may be an company-wide decision, requiring additional education regarding the use and benefits of our platform for managing their business travel spend. As a result, the length of our sales cycle and ramp time for usage of and engagement with additional offerings has varied, and may continue to vary, significantly from customer to customer depending on the size and type of the customer. We have also more recently begun deploying our PLG go-to-market strategy to acquire new customers who have traditionally been unmanaged, meaning they have historically not used any travel and expense vendor or solution. Our success depends on our ability to maintain brand trust, execute effective growth marketing, deliver a flexible and intuitive platform experience, and demonstrate tangible cost savings and differentiated technology at scale, including compared to those of our competitors. These customers demand flexible deployment of our offerings within their companies and prioritize ease of use, particularly self-service implementation tools, to roll out our offerings across their employee base at their own pace. While we may adjust our sales strategies from time to time, including investing in newer motions such as our PLG strategy and targeting different customer channels, we have historically acquired the majority of our customers through our SLG strategy and expect such strategy and related customer channels to remain an important driver for new customer growth in the future. If we fail to allocate sufficient sales and marketing funds and resources to our SLG sales strategy, including due to prioritization of other sales strategies that do not generate meaningful return on our investment, our growth, including in new customer acquisition, and our business could be harmed.</w:t>
      </w:r>
    </w:p>
    <w:p>
      <w:pPr>
        <w:spacing w:after="0" w:line="14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also dedicate significant resources to sales and marketing programs, including digital advertising services. The effectiveness and cost of these programs may fluctuate due to competition for key search terms, changes in search engine use, and changes in the search algorithms used by major search engines. We have limited experience conducting broad brand marketing campaigns and other marketing initiatives. Even if we successfully increase revenue as a result of our paid marketing efforts, it may not offset the additional marketing expenses we incur. Our marketing campaigns may also be long-term endeavors, and we may not be able to accurately assess the success of these campaigns for several periods. If we are not able to effectively develop our sales and marketing capabilities and implement our marketing strategies, our business, financial condition, results of operations, and prospects could be adversely affected.</w:t>
      </w:r>
    </w:p>
    <w:p>
      <w:pPr>
        <w:spacing w:after="0" w:line="131"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8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business software and travel industries are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platform and offerings to keep pace with changes in hardware systems and software applications, AI,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results of operations could be adversely affected. If new technologies emerge that deliver competitive products at lower prices, with more use cases, more efficiently, more conveniently, or more securely, it could adversely impact our ability to compete.</w:t>
      </w:r>
    </w:p>
    <w:p>
      <w:pPr>
        <w:spacing w:after="0" w:line="13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incorporated AI-based solutions into our offerings, including through our Navan Cognition framework powering our virtual agents, including our virtual agent chatbot software. As with many innovations, AI presents risks, challenges, and unintended consequences that could impact our successful ability to incorporate the use of AI in our business. For example, our algorithms may be flawed and not achieve sufficient levels of accuracy or contain biased information. Moreover, AI models may create flawed, incomplete, or inaccurate outputs, some of which may appear correct. This may happen if the inputs that the model relied on were inaccurate, incomplete, or flawed (including if a bad 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22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“poisons” the AI with bad inputs or logic), or if the logic of the AI is flawed, resulting in a hallucination. Algorithms are also subject to privacy and data security laws, as well as increasing regulation and scrutiny. In addition, our competitors or other third parties may incorporate AI solutions into their products more successfully than us, and their AI solutions may achieve higher market acceptance than ours, which may result in us failing to recoup our investments in developing AI-powered applications. For example, competitors leveraging AI or other automation may drive increasing efficiency in their support costs while offering faster, more personalized service than ours. We have made significant investments in our AI technology, including in our Navan Cognition framework powering our virtual agents, including our virtual agent chatbot software, which are critical tools in the efficient scaling of our platform. Our ability to employ AI, or the ability of our competitors to do so better, may negatively impact our gross margins, impair our ability to compete effectively, result in reputational harm and have an adverse impact on our operating results. Our platform must also integrate with a variety of network, hardware, mobile, and software platforms and technologies. We need to continuously modify and enhance our platform and offerings to adapt to changes and innovation in these technologies as well as to demonstrate increasing benefits and efficiencies of our platform to customers and their employees, who are expected to demand continued innovation in the features and functionalities of our platform and offerings. This development effort will require significant engineering, marketing, and sales resources, all of which would affect our business and results of operations. Any failure of our platform to operate effectively with future technologies could reduce the demand for our platform. If we are unable to respond to these changes in a cost-effective manner, our platform may become less marketable and less competitive or obsolete, which could adversely affect our business, financial condition, results of operations, and prospects.</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Our corporate card offering exposes us to credit risk and other risks related to customers' ability to pay the balances incurred on their corporate cards.</w:t>
      </w:r>
    </w:p>
    <w:p>
      <w:pPr>
        <w:spacing w:after="0" w:line="8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offer our corporate card product to a wide range of businesses, and the success of this product depends on our ability to effectively manage related risks and detect fraud. The credit decision-making process for our corporate card uses proprietary risk assessment methodologies and other techniques designed to analyze the credit risk of specific businesses based on, among other factors, their past purchase and transaction history. In addition, we bear the entire credit risk and are liable to the issuing bank to settle the transaction and may incur losses as a result of claims from the issuing banks. While we would seek to recover losses from a customer, we may not fully recover them if a customer is unwilling or unable to pay due to their financial condition. Because we are liable to the issuing bank, we may also bear the risk of losses if a customer does not provide payment due to fraudulent or disputed transactions. We are also subject to risk from fraudulent acts of employees or contractors. Additionally, criminals are using increasingly sophisticated methods to engage in illegal activities which they may use to target us, including “skimming,” counterfeit payment cards, phishing schemes, and identity theft. A single, significant incident or a series of incidents of fraud or theft involving our corporate cards could result in reputational damage to us, potentially reducing the use and acceptance of our corporate card offering or lead to greater regulation that would increase our compliance costs. Fraudulent activity could also result in the imposition of regulatory sanctions, including significant monetary fines. The foregoing could harm our business, results of operations, and financial condition.</w:t>
      </w:r>
    </w:p>
    <w:p>
      <w:pPr>
        <w:spacing w:after="0" w:line="13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Additionally, our funding model relies on a variety of funding arrangements, including warehouse facilities and purchase arrangements, with a variety of funding sources. Any significant underperformance of the card receivables we own may adversely impact our relationship with such funding sources and result in an increase in our cost of financing, a modification or termination of our existing funding arrangements or our ability to procure funding,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22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120"/>
        <w:spacing w:after="0" w:line="272" w:lineRule="auto"/>
        <w:rPr>
          <w:sz w:val="20"/>
          <w:szCs w:val="20"/>
          <w:color w:val="auto"/>
        </w:rPr>
      </w:pPr>
      <w:r>
        <w:rPr>
          <w:rFonts w:ascii="Arial" w:cs="Arial" w:eastAsia="Arial" w:hAnsi="Arial"/>
          <w:sz w:val="18"/>
          <w:szCs w:val="18"/>
          <w:b w:val="1"/>
          <w:bCs w:val="1"/>
          <w:i w:val="1"/>
          <w:iCs w:val="1"/>
          <w:color w:val="auto"/>
        </w:rPr>
        <w:t>While we have entered into redundant relationships with third-party partners and issuing banks for our corporate cards, if we lose any of these services, or if the card network ceases to support our cards, our business, results of operations, financial condition, and growth prospects could be harmed.</w:t>
      </w:r>
    </w:p>
    <w:p>
      <w:pPr>
        <w:spacing w:after="0" w:line="10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corporate card is an important element of our growth strategy. We have entered into card issuing agreements with bank program managers and issuing banks for card issuing, compliance, transaction settlement, and related services. Those agreements include significant security, compliance, and operational obligations, including adherence on short notice to evolving regulatory requirements. If we are not able to comply with those obligations or our agreements with the third-party bank program managers and issuing banks are suspended, limited, or otherwise terminated for any reason (including, but not limited to, the failure by an issuing bank to comply with applicable regulations), we could experience service interruptions, delays, and additional expenses in arranging new services. As a result, we may be unable to replace these services on competitive terms, or at all, which could adversely affect our business, financial condition, results of operations, and prospects.</w:t>
      </w:r>
    </w:p>
    <w:p>
      <w:pPr>
        <w:spacing w:after="0" w:line="13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Navan Connect service enables customers to connect their non-Navan corporate cards to our expense management platform to automate reporting and, in some cases, enable the creation of virtual cards for travel bookings on our platform. We do not bear the credit risk or the risk on card losses on cards enrolled in Navan Connect. These cards are issued independently from Navan, and accordingly, we do not have agreements in place that would make Navan liable for those cards' transactions. We do not earn revenue from interchange on cards enrolled in Navan Connect. Navan Connect depends on us maintaining contractual relationships with card networks and card providers, and if a card network or card provider suspends or terminates its agreement with us, our business, financial condition, results of operations, and prospects could be harmed.</w:t>
      </w:r>
    </w:p>
    <w:p>
      <w:pPr>
        <w:spacing w:after="0" w:line="131"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b w:val="1"/>
          <w:bCs w:val="1"/>
          <w:i w:val="1"/>
          <w:iCs w:val="1"/>
          <w:color w:val="auto"/>
        </w:rPr>
        <w:t>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11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host our platform using third-party cloud infrastructure services. All of our offerings utilize resources operated by us through these providers.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virtual data centers and transmitted by third-party internet service providers. We have periodically experienced service disruptions in the past,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 incident affecting our backup data storage locations that may be caused by fire, flood, severe storm, earthquake, power loss, telecommunications failures, unauthorized intrusion, computer viruses, disabling devices, natural disasters, military actions, terrorist attacks, negligence, and other similar events beyond our control could negatively affect our platform.</w:t>
      </w:r>
    </w:p>
    <w:p>
      <w:pPr>
        <w:spacing w:after="0" w:line="12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Beyond cloud hosting, we rely on numerous third parties to operate our critical business systems and process confidential and personal information, such as payment processors that handle customer credit card payments, cloud service providers, and customer care centers. Our ability to monitor these third parties' information security practices is limited, creating significant exposure to potential security events, disruptions, or outages outside our direct control. These third parties may inappropriately access confidential and personal information or may lack adequate security measures, potentially leading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security incidents that compromise the confidentiality, integrity, or availability of systems they operate for us or the information they process on our behalf.</w:t>
      </w:r>
    </w:p>
    <w:p>
      <w:pPr>
        <w:spacing w:after="0" w:line="9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example, the CrowdStrike incident and resulting systems outage in July 2024 significantly impacted airline operations and forced several major carriers to ground flights for a prolonged period. While we were not the source of that incident and the CrowdStrike incident did not have a direct impact on our operations, disruptions of this nature could in the future significantly affect our ability to provide timely travel services to customers who rely on our platform for booking, itinerary management and support. Substantial or sustained failures caused by third-party software issues, airline infrastructure outages or vulnerabilities in our systems could lead to service delays, reduced functionality, customer frustration and reduced trust in our platform. Any prolonged service disruption affecting our platform for any of the foregoing reasons could damage our reputation with current and potential customers, expose us to liability, cause us to lose s, or otherwise harm our business. Also, in the event of damage or interruption, our insurance policies may not adequately compensate us for any losses that we may incur. Such failures could adversely affect our business, financial condition, results of operations, and prospects.</w:t>
      </w:r>
    </w:p>
    <w:p>
      <w:pPr>
        <w:spacing w:after="0" w:line="127"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Supply chain attacks targeting service providers have increased in both frequency and severity in recent years. We cannot guarantee that our service providers' infrastructure or the infrastructure of their partners has not been compromised. While we may be entitled to damages if our third-party service providers fail to satisfy their privacy or security-related obligations to us, we cannot be certain that our applicable contracts with these third parties will adequately limit our data security-related liability or provide sufficient mechanisms for indemnification or recovery from losses they cause us to incur.</w:t>
      </w:r>
    </w:p>
    <w:p>
      <w:pPr>
        <w:spacing w:after="0" w:line="1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platform is accessed by many customers, often at the same time. Any interruptions or delays in access to our platform, including due to third-party provider failures or incidents, could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spacing w:after="0" w:line="1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Given the increasingly international nature of our business, we may also partner with local travel management companies in specific geographies that may not meet the cybersecurity controls expected or required by our suppliers and customers. These local partners may operate under different regulatory frameworks and security standards that don't align with our requirements or customer and supplier expectations, creating additional vulnerability points in our overall security posture. Security incidents involving these international partners could damage customer trust, result in regulatory violations across multiple jurisdictions, and create complex legal challenges due to varying international privacy laws if data these international partners process on our behalf is impacted.</w:t>
      </w:r>
    </w:p>
    <w:p>
      <w:pPr>
        <w:spacing w:after="0" w:line="130" w:lineRule="exact"/>
        <w:rPr>
          <w:sz w:val="20"/>
          <w:szCs w:val="20"/>
          <w:color w:val="auto"/>
        </w:rPr>
      </w:pPr>
    </w:p>
    <w:p>
      <w:pPr>
        <w:ind w:right="380"/>
        <w:spacing w:after="0" w:line="325" w:lineRule="auto"/>
        <w:rPr>
          <w:sz w:val="20"/>
          <w:szCs w:val="20"/>
          <w:color w:val="auto"/>
        </w:rPr>
      </w:pPr>
      <w:r>
        <w:rPr>
          <w:rFonts w:ascii="Arial" w:cs="Arial" w:eastAsia="Arial" w:hAnsi="Arial"/>
          <w:sz w:val="17"/>
          <w:szCs w:val="17"/>
          <w:b w:val="1"/>
          <w:bCs w:val="1"/>
          <w:i w:val="1"/>
          <w:iCs w:val="1"/>
          <w:color w:val="auto"/>
        </w:rPr>
        <w:t>We may not successfully develop or introduce new offerings, services, features, integrations, capabilities, and versions of our existing offerings that achieve market acceptance, and our business could be harmed and our revenue could suffer as a result.</w:t>
      </w:r>
    </w:p>
    <w:p>
      <w:pPr>
        <w:spacing w:after="0" w:line="6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upon the successful development, introduction and customer acceptance of new offerings, services, features, integrations, capabilities, and versions of our existing offering. Unexpected delays in releasing new or enhanced offerings, or errors following their release, could result in loss of sales, delay in market acceptance of our platform, or customer claims against us, any of which could harm our business. The success of any new product, service, feature, integration, capability, or version depends on several factors, including timely completion and delivery, competitive pricing, adequate quality testing, integration with existing technologies, proper marketing of the offering, and market acceptance. For example, our Bleisure offering is a nascent offering, and there can be no assurance that it will reach the level of customer adoption that it was designed to achieve. We may not be able to develop new offerings successfully or to introduce and gain market acceptance of new offerings in a timely manner, or at all.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unable to expand our offerings in a manner that increases retention of existing customers and attracts new customers, or successfully drives adoption by our travel management customers of our expense management and corporate card offerings, our business, financial condition, results of operations, and prospects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6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business has historically been influenced by seasonality, primarily related to seasonal travel trends of business travelers, as our users typically travel less during holiday periods, though this effect varies regionally. As a result, our travel revenue has historically been stronger in the third fiscal quarter. Additionally, a portion of the revenue from our expense management offerings is driven by the volume of corporate card spending processed by our expense management platform, which tends to decrease during periods of decreased business travel. In addition, demand for travel generally fluctuates based on a number of factors, including periods of perceived or actual adverse economic conditions and times of political or economic uncertainty. As a result of quarterly fluctuations caused by these and other factors, comparisons of our results of operations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results of operations may not be useful and our results in any particular period will not necessarily be indicative of the results to be expected for any future period. Seasonality in our business can also be affected by introductions of new or enhanced offerings, including the costs associated with such introductions.</w:t>
      </w:r>
    </w:p>
    <w:p>
      <w:pPr>
        <w:spacing w:after="0" w:line="130"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maintain and expand our base of customers may be impaired, and our business and results of operations will be harmed.</w:t>
      </w:r>
    </w:p>
    <w:p>
      <w:pPr>
        <w:spacing w:after="0" w:line="8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that the brand identity that we have developed has significantly contributed to the success of our business. We also believe that maintaining and enhancing the Navan brand is critical to expanding our customer base and establishing and maintaining relationships with suppliers and other partners. Successful promotion and protection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Travel Management offerings but also in newer offerings, such as Bleisure, and to make substantial investments in new non-U.S. markets, which may not be successful. Marketing campaigns are also critical to the success of our product-led growth sales strategy.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In addition, existing and future brand-marketing campaigns and customer awareness strategies may have lengthy return on investment time horizons. We also have limited experience conducting broad marketing campaigns, such as global integrated marketing campaigns, and other marketing initiatives. As a result, we may not be able to adequately assess the benefits of such initiatives until we have made substantial investments of time and capital, which could also negatively impact our ability to effectively allocate sales and marketing funds and resources to the sales strategy that generates the greatest return on our investment. There could also be a negative reaction to certain advertising campaigns and values-based activity and communications.</w:t>
      </w:r>
    </w:p>
    <w:p>
      <w:pPr>
        <w:spacing w:after="0" w:line="141"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Additionally, our brand could be damaged by incidents involving our suppliers, particularly if the incidents receive considerable negative publicity or result in litigation, some of which may occur in the ordinary course of our business or the business of our suppliers and other partners. In addition, our failure to provide timely and sufficient support services to our users and customers in connection with travel delays and incidents could harm our brand and reputation. Such incidents may arise from events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or may be beyond our control, such as actions taken (or not taken) by one or more suppliers, including flight delays and cancellations. If we fail to promote and maintain the Navan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27"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face significant competition in the markets we serve, and if we do not compete effectively, our business, results of operations, and financial condition could be harmed.</w:t>
      </w:r>
    </w:p>
    <w:p>
      <w:pPr>
        <w:spacing w:after="0" w:line="8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offerings address a highly competitive market with entrenched incumbent industry participants, ranging from legacy service providers to more modern software companies. Some of our competitors may have access to more financial resources, greater name recognition, and better-established customer bases in their target segments, differentiated business models, technology, and other capabilities or a differentiated geographic coverage, which may make it difficult for us to retain or attract new customers. In addition, competitors are increasingly using AI and automation to improve service quality and reduce operational costs, allowing them to deliver more personalized user experiences or more efficient support at scale. New AI-native entrants may bypass traditional models and gain traction quickly, particularly in the unmanaged travel market, including by offering products that more effectively streamline the travel booking and expense management process using AI or other digital-native tools. At the same time, legacy competitors may continue to benefit from their brand strength, customer relationships, and market influence while integrating AI into their offerings, particularly if certain enterprise customers continue to favor traditional offline travel management services. Our travel suppliers may also seek to develop and implement or further invest in existing direct distribution channels. If we cannot compete effectively, our business, financial condition, results of operations, and prospects could be adversely affected.</w:t>
      </w:r>
    </w:p>
    <w:p>
      <w:pPr>
        <w:spacing w:after="0" w:line="13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travel management, we currently compete, and will continue to compete, with a variety of travel and travel-related companies, including other corporate travel management service providers such as BCD Group, Global Business Travel Group, Inc., and SAP Concur, traditional travel agencies, and emerging and established online travel agencies. We compete, to a lesser extent, with credit card loyalty programs, online travel search and price comparison services, facilitators of alternative accommodations such as short-term home or condominium rentals, and social media and e-commerce websites, as well as direct-booking platforms from hotel chains and airliners.</w:t>
      </w:r>
    </w:p>
    <w:p>
      <w:pPr>
        <w:spacing w:after="0" w:line="12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addition, our expense management and corporate card offerings face significant competitive challenges from do-it-yourself approaches as well as companies that provide traditional horizontal platform solutions with expense management features, such as Expensify, Oracle, and SAP, corporate card providers, and expense management solutions, such as Brex and Ramp. Moreover, some travelers may prefer to use their existing travel rewards credit cards to book rather than our corporate card, even if their personal rewards from our expense management offerings would be superior. It is difficult to predict adoption rates and demand for our expense management offerings, the future growth rate and size of the market for expense management and other pre-accounting products, or the entry of competitive offerings. Some traditional horizontal platform solutions with expense management features have substantially greater revenue, personnel, and other resources than we do. We also face competition from a growing number of other businesses offering expense management solutions and corporate cards. Some of these companies are using AI to automate workflows and deliver more adaptive user experiences, which may shift customer expectations and alter how expense management solutions are evaluated and adopted. With the introduction of new technologies and the entry of new companies into the market, we expect competition to persist and intensify. Additionally, it is possible that larger companies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22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cannot assure you that we will be able to compete successfully against any current, emerging, and future competitors or provide sufficiently differentiated products and services to our customer base in any of the markets we serve. Increasing competition from current and emerging competitors, consolidation of our competitors, the introduction of new technologies, and the continued expansion of existing technologies may force us to make changes to our business model, which could adversely affect our business, financial condition, results of operations, and prospects.</w:t>
      </w:r>
    </w:p>
    <w:p>
      <w:pPr>
        <w:spacing w:after="0" w:line="127" w:lineRule="exact"/>
        <w:rPr>
          <w:sz w:val="20"/>
          <w:szCs w:val="20"/>
          <w:color w:val="auto"/>
        </w:rPr>
      </w:pPr>
    </w:p>
    <w:p>
      <w:pPr>
        <w:ind w:right="720"/>
        <w:spacing w:after="0" w:line="294" w:lineRule="auto"/>
        <w:rPr>
          <w:sz w:val="20"/>
          <w:szCs w:val="20"/>
          <w:color w:val="auto"/>
        </w:rPr>
      </w:pPr>
      <w:r>
        <w:rPr>
          <w:rFonts w:ascii="Arial" w:cs="Arial" w:eastAsia="Arial" w:hAnsi="Arial"/>
          <w:sz w:val="18"/>
          <w:szCs w:val="18"/>
          <w:b w:val="1"/>
          <w:bCs w:val="1"/>
          <w:i w:val="1"/>
          <w:iCs w:val="1"/>
          <w:color w:val="auto"/>
        </w:rPr>
        <w:t>If our customers or users of our platform engage in, or are subject to, fraud, criminal activity, or inappropriate conduct, our reputation, brand, business, financial condition, and results of operations could be harmed.</w:t>
      </w:r>
    </w:p>
    <w:p>
      <w:pPr>
        <w:spacing w:after="0" w:line="8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are not able to control or predict the actions of our customers or users during their engagement with our platform or otherwise. We face the risk of criminal activity, fraud, and inappropriate conduct from users or individuals impersonating users on our platform. Such risks include identity theft, use of stolen or fraudulent credit card data, social engineering attacks to gain unauthorized account access, and fraudulent exploitation of our payment card programs. 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If our platform is perceived as a conduit for such activity or if we fail to effectively detect and prevent these threats, our brand reputation could be seriously damaged, resulting in negative press coverage, customer attrition, damage to our supplier relationships, and reduced market confidence. The financial impact of such fraudulent activities is often difficult to quantify quickly or with precision due to the complexity of certain of these schemes. Consequently, the negative effects on our financial results may continue into future periods or have a greater impact than initially anticipated, even after the fraudulent activity has been terminated. If the fraudulent activity occurs through systems controlled by any of our partners, such as our suppliers, we may be unable to remediate or prevent this activity in a timely manner or at all due to limitations in, or our ability to, interact with such systems. The process of identifying the full scope of losses often requires extensive investigation, potentially delaying financial reporting and creating additional operational challenges.</w:t>
      </w:r>
    </w:p>
    <w:p>
      <w:pPr>
        <w:spacing w:after="0" w:line="131"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Our failure to adequately detect, address, or prevent these fraudulent transactions could result in multiple adverse consequences beyond direct financial losses, including:</w:t>
      </w:r>
    </w:p>
    <w:p>
      <w:pPr>
        <w:spacing w:after="0" w:line="9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damage to our reputation and brand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and regulatory action across multiple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errors in financial statements potentially requiring corrections or restatements;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preparing and filing periodic reports;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failures to meet our reporting and other obligations as a public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expenses for remediation and enhanced security measures.</w:t>
      </w:r>
    </w:p>
    <w:p>
      <w:pPr>
        <w:spacing w:after="0" w:line="171"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These risks extend beyond direct fraud against our systems. If criminal, inappropriate, or other negative incidents occur due to the conduct of customers, users, suppliers, or other third parties using our platform, our ability to attract and retain business relationships may be harmed. These incidents can significantly undermine confidence in our services, even when we are not directly at fault.</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our platform continues to grow in scale and geographic reach, the sophistication and variety of potential fraud schemes will likely evolve in parallel. This requires continuous investment in fraud detection technologies, security protocols, and specialized personnel to protect our platform integrity and financial stability. The travel industry is particularly vulnerable to these risks due to the high transaction values and complex payment systems involved, making effective fraud prevention a critical component of our operational strategy and long-term business viability. If criminal, inappropriate, or other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incidents occur due to the conduct of third parties, our ability to attract and retain customers may be harmed, and our reputation, business, and financial results could be harmed.</w:t>
      </w:r>
    </w:p>
    <w:p>
      <w:pPr>
        <w:spacing w:after="0" w:line="101"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If the prices we charge in connection with our offerings are unacceptable to our customers, our business, financial condition, and results of operations may be adversely impacted.</w:t>
      </w:r>
    </w:p>
    <w:p>
      <w:pPr>
        <w:spacing w:after="0" w:line="8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primarily generate revenue through commissions received from our suppliers based on the dollar volume of bookings made by users on our platform as well as per-trip or per-transaction fees from customers for access to our travel management platform or on-demand travel management services. We also generate revenue from annual subscription fees paid by our customers for access to our expense management offerings. As the market for our platform matures, or as new or existing competitors introduce new products or services that compete with ours, we may experience pricing pressure and be unable to renew our agreements with existing customers or attract new customers at prices that are consistent with our pricing model and operating budget. Moreover, our pricing strategy may come under pressure due to industry developments or macroeconomic conditions that are out of our control, including changes in available travel inventory, changes in inventory network standards like the NDC, reduced commission rates, or changes to interchange fees, as well as overall inflation and budget constraints impacting customers in an uncertain macroeconomic environment. Our pricing strategy for existing and new offerings we introduce may prove to be unappealing to our customers, and our competitors could choose to bundle certain products and services competitive with ours. If this were to occur, it is possible that we would have to change our pricing strategies or reduce our prices, which could adversely affect our business, financial condition, results of operations, and prospects.</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0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internal tools have a number of limitations and our methodologies for tracking these metrics may change over time, which could result in unexpected changes to our metrics, including the metrics we report. We calculate and track performance metrics with internal tools, which are not independently verified by any third party. While we believe our metrics are reasonable estimates of our business and financial performance for the applicable period of measurement, the methodologies used to measure these metrics require significant judgment and may be susceptible to algorithm or other technical errors. For example, the accuracy and consistency of our performance metrics may be impacted by changes to internal assumptions regarding how we account for and track customers, limitations on system implementations, and limitations on third-party tools’ ability to match our database.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or growth trends; if we discover material inaccuracies in our metrics; or if the metrics we rely on to track our performance do not provide an accurate measurement of our business, our reputation may be harmed, we may be subject to legal or regulatory actions, and our business, financial condition, results of operations, and prospects could be adversely affected.</w:t>
      </w:r>
    </w:p>
    <w:p>
      <w:pPr>
        <w:spacing w:after="0" w:line="135"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included in this prospectus may prove to be inaccurate, and even if the markets in which we compete achieve the forecasted growth, our business could fail to grow at similar rates, if at all.</w:t>
      </w:r>
    </w:p>
    <w:p>
      <w:pPr>
        <w:spacing w:after="0" w:line="85" w:lineRule="exact"/>
        <w:rPr>
          <w:sz w:val="20"/>
          <w:szCs w:val="20"/>
          <w:color w:val="auto"/>
        </w:rPr>
      </w:pPr>
    </w:p>
    <w:p>
      <w:pPr>
        <w:jc w:val="both"/>
        <w:ind w:right="380" w:firstLine="324"/>
        <w:spacing w:after="0" w:line="268" w:lineRule="auto"/>
        <w:rPr>
          <w:sz w:val="20"/>
          <w:szCs w:val="20"/>
          <w:color w:val="auto"/>
        </w:rPr>
      </w:pPr>
      <w:r>
        <w:rPr>
          <w:rFonts w:ascii="Arial" w:cs="Arial" w:eastAsia="Arial" w:hAnsi="Arial"/>
          <w:sz w:val="18"/>
          <w:szCs w:val="18"/>
          <w:color w:val="auto"/>
        </w:rPr>
        <w:t>The estimates of market opportunity and forecasts of market growth included in this prospectus may prove to be inaccurate. Market opportunity estimates and growth forecasts included in this prospectus, including those we have generated ourselves or that include our data, are subject to significant uncertainty and are based on assumptions and estimates that may not prove to be accurate,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229"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risks described herein. Even if the markets in which we compete achieve the forecasted growth, our business could fail to grow at similar rates, if at all.</w:t>
      </w:r>
    </w:p>
    <w:p>
      <w:pPr>
        <w:spacing w:after="0" w:line="9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or travelers covered by our market opportunity estimates will purchase our offerings at all or generate any particular level of revenue for us. Any expansion in the markets in which we operate depends on a number of factors, including the cost, performance, and perceived value associated with our platform and those of our competitors. Even if the markets in which we compete meet the size estimates and growth forecasts, our business could fail to grow at similar rates, if at all. Our growth is subject to many factors, including our success in implementing our business strategy, which is subject to many risks and uncertainties. Accordingly, our forecasts of market growth included in this prospectus should not be taken as indicative of our future growth.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People</w:t>
      </w:r>
    </w:p>
    <w:p>
      <w:pPr>
        <w:spacing w:after="0" w:line="173"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If we lose Ariel Cohen, our co-founder and Chief Executive Officer, or other key members of our management team or are unable to attract and retain executives and employees we need to support our operations and growth, our business may be harmed.</w:t>
      </w:r>
    </w:p>
    <w:p>
      <w:pPr>
        <w:spacing w:after="0" w:line="8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throughout our organization. The loss of key personnel, including key members of our management team or members of our board of directors, as well as certain of our key marketing, sales, finance, support, product development, human resources, or technology personnel, could disrupt our operations and have a negative impact on our ability to grow our business. In particular, Ariel Cohen, our co-founder and Chief Executive Officer, is critical to our overall management, as well as the continued development of our platform, offerings, culture, and strategic direction. Additionally, certain key members of our management team are based in, or spend considerable time in, Israel, including at our office in Tel Aviv, and the escalating military conflict between Iran and Israel may impact their safety and availability, potentially disrupting our operations and business continuity. From time to time, there may be changes in our management team resulting from the hiring or departure of executives and key employees, which could disrupt our business. In addition, we may face challenges retaining senior management of companies we acquire. Our senior management and key employees are employed on an at-will basis. We currently do not have “key person” insurance for any of our employees. Certain of our key employees have been with us for a long period of time and have fully vested stock options or other long-term equity incentives that may cease to be as attractive once we are a public company and such awards are publicly tradable. The loss of our founders, or one or more of our senior management, key members of senior management of acquired companies, or other key employees could harm our business, and we may not be able to find adequate replacements. To retain our senior management and key employees, we may also decide to provide them with certain compensation types and structures that may be perceived negatively by certain stakeholders or advisory groups or result in stockholder complaints or disputes, which could negatively impact our reputation, stock price, and business. We cannot ensure that we will be able to retain the services of any members of our senior management or other key employees or that we would be able to timely replace members of our senior management or other key employees should any of them depart.</w:t>
      </w:r>
    </w:p>
    <w:p>
      <w:pPr>
        <w:spacing w:after="0" w:line="13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addition, to execute our business strategy, we must attract and retain highly qualified personnel. Competition for highly skilled personnel is intense, especially in the San Francisco Bay Area where we are headquartered, and where we have a need for highly skilled personnel, and we may not be successful in hiring or retaining qualified personnel to fulfill our current or future needs. We compete with many other companies for software developers with high levels of experience in designing, developing, and managing cloud-based software and payment systems, as well as for skilled legal and compliance and risk operations professionals. We may also face increased competition for personnel from other companies which adopt approaches to remote work that differ from ours. In addition, the current regulatory environment related to immigration is uncertain, including with respect to the availability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229"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certain visas. Many of the companies with which we compete for experienced personnel have greater resources than we do and can frequently offer such personnel substantially greater compensation than we can offer.</w:t>
      </w:r>
    </w:p>
    <w:p>
      <w:pPr>
        <w:spacing w:after="0" w:line="9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value of our equity or equity awards declines, experiences significant volatility, or increases such that prospective employees believe there is limited upside to the value of our equity awards, it may adversely affect our ability to recruit and retain highly skilled employees. If we fail to attract new personnel or fail to retain and motivate our current personnel, our business and future growth prospects would be severely harmed. Inflationary pressures, or stress over economic, geopolitical, or pandemic-related events such as those the global market is currently experiencing, may also result in employee attrition. Further, our competitors may be successful in recruiting and hiring members of our management team or other key employees, and it may be difficult for us to find suitable replacements on a timely basis, on competitive terms, or at all. If we fail to identify, attract, develop, and integrate new personnel, or fail to retain and motivate our current personnel, our growth prospects would be adversely affected, which could adversely affect our business, financial condition, results of operations,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6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adversely affect our business, financial condition, results of operations, and prospects.</w:t>
      </w:r>
    </w:p>
    <w:p>
      <w:pPr>
        <w:spacing w:after="0" w:line="124"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b w:val="1"/>
          <w:bCs w:val="1"/>
          <w:i w:val="1"/>
          <w:iCs w:val="1"/>
          <w:color w:val="auto"/>
        </w:rPr>
        <w:t>Our company values have contributed to our success. If we cannot maintain these values as we grow, we could lose certain benefits we derive from them, and our employee turnover could increase, which could harm our business.</w:t>
      </w:r>
    </w:p>
    <w:p>
      <w:pPr>
        <w:spacing w:after="0" w:line="8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believe that our company values have been and will continue to be a key contributor to our success. We have rapidly increased our workforce across all departments, and we expect to continue to hire across our business. Our anticipated headcount growth, combined with our transition from a privately-held to a publicly-traded company, may result in changes to certain employees’ adherence to our core company values. If we do not continue to maintain our adherence to our company values as we grow, including through any future acquisitions or other strategic transactions, we may experience increased turnover in a portion of our current employee base and may not continue to be successful in hiring future employees. Moreover, many of our employees may be eligible to receive significant proceeds from the sale of Class A common stock in the public markets following this offering. This may lead to higher employee attrition rates. If we do not replace departing employees on a timely basis, our business and growth may be harmed.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Privacy, Cybersecurity, and Intellectual Property</w:t>
      </w:r>
    </w:p>
    <w:p>
      <w:pPr>
        <w:spacing w:after="0" w:line="17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are subject to stringent and changing privacy and security laws, regulations, standards, policies, and contractual obligations related to data privacy and security. Our actual or perceived failure to comply with such obligations could lead to government investigations or enforcement actions, a disruption of our services, private litigation, changes to our business practices, increased costs of operations, adverse publicity, limitations on the use or adoption of our services, and other negative effects on our results of operations and business.</w:t>
      </w:r>
    </w:p>
    <w:p>
      <w:pPr>
        <w:spacing w:after="0" w:line="11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Our customers and travelers store personal, business, financial, and other sensitive information on our platform. In addition, we receive, store, and otherwise process personal and business information and other data, including sensitive, proprietary, or confidential information from and about actual and prospective customers and travelers, in addition to our employees and service providers. Our handling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229"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such information is subject to a variety of evolving privacy and security laws and regulations, including regulation by various government agencies, such as the U.S. Federal Trade Commission and various state, local, and foreign governments. New or proposed laws and regulations are subject to differing interpretations and may be inconsistent among jurisdictions, and guidance on implementation and compliance practices are often updated or otherwise revised, which adds to the complexity of processing personal information. Moreover, we publish privacy and security policies, representations, certifications, standards, publications, contracts, and other obligations to third parties related to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3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United States, numerous federal and state laws and regulations, including state personal information laws, state data breach notification laws, federal and state consumer protection laws and regulations, and other similar laws (such as wiretapping laws) govern the collection, use, disclosure, and protection of personal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in California, the California Consumer Privacy Act, or the CCPA, requires, among other things, that covered businesses provide disclosures to California residents and afford residents abilities to opt-out of certain sales of personal information, and gives California residents the ability to limit use of certain sensitive information. The CCPA provides for fines and allows private litigants affected by certain data breaches to recover significant statutory damages. These laws demonstrate the evolving regulatory environment related to personal information and make it difficult to predict the impact of such laws on our business or operations. Such complexities have required and may continue to require us to modify our data-processing practices and policies and to incur substantial costs and expenses in an effort to comply. Similar laws are being considered in several other states, as well as at the federal and local levels, and we expect more states to pass similar laws in the future.</w:t>
      </w:r>
    </w:p>
    <w:p>
      <w:pPr>
        <w:spacing w:after="0" w:line="141"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addition, several foreign countries and governmental bodies, including the EU, and the UK, have laws and regulations governing the handling and processing of personal information, which are more restrictive than those in the United States. Laws and regulations in these jurisdictions apply broadly to the collection, use, storage, disclosure, security, transfer, and other processing of various types of data, including data that identifies or may be used to identify an individual. Our current and prospective service offerings subject us to the European Union General Data Protection Regulation 2016/679, or the EU GDPR, the United Kingdom (UK) Data Protection Act of 2018 that effectively implemented EU GDPR under UK law and later amended by virtue of the European Union (Withdrawal) Act 2018, collectively the UK GDPR, other EU member state-implementing legislation, and the privacy laws of many other foreign jurisdictions.</w:t>
      </w:r>
    </w:p>
    <w:p>
      <w:pPr>
        <w:spacing w:after="0" w:line="12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For example, the EU GDPR and the UK GDPR impose stringent requirements for controllers and processors of personal data of individuals within the European Economic Area, or EEA, and the UK, respectively, and non-compliance may trigger robust regulatory investigation or enforcement and fines of up to the greater of €20 million or 4% of the annual global revenue in respect of the EU GDPR, and up to the greater of £17.5 million or up to 4% of annual global revenue in respect of the UK GDPR. Companies that violate the EU GDPR or the UK GDPR can also face prohibitions on data processing and other corrective action, such as class action lawsuits brought by classes of data subjects or by consumer protection organizations authorized at law to represent their interests. Other countries outside of Europe increasingly emulate European data protection laws. As another example, the General Data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Law (Lei Geral de Proteção de Dados Pessoais, or “LGPD”) (Law No. 13,709/2018) applies to our operations. The LGPD broadly regulates processing personal data of individuals in Brazil and imposes compliance obligations and penalties comparable to those of the EU GDPR. The Swiss Federal Act on Data Protection, or the FADP, also applies to the collection and processing of personal data, including health-related information, by companies located in Switzerland, or in certain circumstances, by companies located outside of Switzerland. We also have operations in Singapore and may be subject to new and emerging data privacy regimes in Asia, including Singapore’s Personal Data Protection Act. As a result, operating our business or offering our services in Europe or other countries with similar data protection laws would subject us to substantial compliance costs and potential liability and may require changes to the ways we collect and use personal information.</w:t>
      </w:r>
    </w:p>
    <w:p>
      <w:pPr>
        <w:spacing w:after="0" w:line="13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23"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(such as China, Russia, and Iran) and covered individuals (meaning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w:t>
      </w:r>
    </w:p>
    <w:p>
      <w:pPr>
        <w:spacing w:after="0" w:line="12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scope and interpretation of the laws that are or may be applicable to us are often uncertain and may be conflicting, as a result of the rapidly evolving regulatory framework for privacy issues worldwide. As a result of the laws that are or may be applicable to us, and due to the sensitive nature of the information we collect, we have implemented policies and procedures designed to protect our data and our customers’ data against loss, misuse, corruption, misappropriation caused by systems failures, or unauthorized access. If our policies, procedures, or measures relating to privacy, data protection, information security, marketing, or customer communications fail to comply with laws, regulations, policies, legal obligations, or industry standards, we may be subject to governmental enforcement actions, litigation, regulatory investigations, fines, penalties, and negative publicity, and it could cause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229"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application providers, customers, suppliers, and other partners to lose trust in us, which could harm our business, financial condition, results of operations, and prospects.</w:t>
      </w:r>
    </w:p>
    <w:p>
      <w:pPr>
        <w:spacing w:after="0" w:line="9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Because the interpretation and application of privacy, data protection and information security laws, regulations, rules, and other standards and obligations are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negatively impact our business, financial condition, results of operations, and prospects.</w:t>
      </w:r>
    </w:p>
    <w:p>
      <w:pPr>
        <w:spacing w:after="0" w:line="12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Our business is heavily reliant on revenue from behavioral, interest-based, or tailored advertising, which we refer to collectively as targeted advertising, but delivering targeted advertisements is becoming increasingly difficult due to changes to our ability to gather information about user behavior through third party platforms, new laws and regulations, and consumer resistance. For example, in 2021, Apple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The ePrivacy Regulation and national implementing laws are anticipated to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offerings, and any of these developments or changes could significantly impair our ability to reach new or existing customers or otherwise negatively affect our operations.</w:t>
      </w:r>
    </w:p>
    <w:p>
      <w:pPr>
        <w:spacing w:after="0" w:line="15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Further, our business relies significantly on our ability to accept credit or debit card payments. Such payments are subject to the Payment Card Industry, or PCI, Data Security Standard, which is a multifaceted security standard that is designed to protect credit card account data as mandated by PCI entities. We rely on vendors to handle PCI matters and to ensure PCI compliance. Despite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compliance efforts, we may become subject to claims that we have violated the PCI Data Security Standard, or PCI-DSS, based on past, present, and future business practices. In addition, payment card networks may adopt changes to the PCI-DSS, or change their interpretations of such rules in a way that we or our processors might find it difficult or even impossible to follow, or costly to implement. If we violate the PCI-DSS or other applicable rules, we may incur fines, restrictions on our ability to accept payment cards, or suffer reputational harm, all of which could have an adverse impact on our business. Noncompliance with PCI-DSS can result in penalties ranging from $5,000 to $100,000 per month by credit card companies, litigation, damage to our reputation, and revenue losses.</w:t>
      </w:r>
    </w:p>
    <w:p>
      <w:pPr>
        <w:spacing w:after="0" w:line="12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may at times fail (or be perceived to have failed) in our efforts to comply with our data privacy and security obligations. Moreover, despite our efforts, our personnel or third parties with whom we work have in some cases filed and may fail in the future to comply with such obligations, which could negatively impact our business operations. Any failure or perceived failure by us to comply with laws, regulations, policies, legal, or contractual obligations, industry standards, or regulatory guidance relating to privacy, data protection, or information security, may result in governmental investigations and enforcement actions, litigation (including class claims), fines and penalties, or adverse publicity, and could cause our customers, travelers, suppliers, and other partners to lose trust in us, which could have an adverse effect on our reputation and business. Furthermore, there can be no assurance that the limitations of liability in our contracts would be enforceable or adequate or would otherwise protect us from liabilities or damages if we fail to comply with applicable privacy and security laws, privacy policies, or data protection obligations related to information security or security breaches.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2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expect that there will continue to be new proposed laws, regulations, and industry standards relating to privacy, data protection, information security, marketing, and consumer communications,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customer base and increase revenue. Future restrictions on the collection, use, sharing, or disclosure of data, or additional requirements for express or implied consent of our customers, travelers, suppliers, or other partners for the use and disclosure of such information could require us to incur additional costs or modify our platform, possibly in a material manner, and could limit our ability to develop new functionality.</w:t>
      </w:r>
    </w:p>
    <w:p>
      <w:pPr>
        <w:spacing w:after="0" w:line="12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our business, financial condition, or reputation could be harmed, and we may be forced to implement new measures to reduce our exposure to this liability. This may require us to expend substantial resources or to discontinue certain products or services, which would negatively affect our business, financial condition, and results of operations. In addition, the increased attention focused upon liability issues as a result of lawsuits, regulatory investigations, and legislative proposals could harm our reputation or otherwise adversely affect the growth of our business. Furthermore, any costs incurred as a result of this potential liability could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our suppliers, our other partners, our customers, and others who use our services obtain and process a large amount of sensitive data. If our information technology systems or data, or those of the third parties upon with whom we work, including our suppliers, our other partners, or customers, are or were compromised, we could experience adverse impacts resulting from such compromise, including, but not limited to, regulatory investigations or actions, litigation, fines and penalties, interruptions to our operations, claims that we breached our data protection obligations, harm to our reputation, and a loss of future customers or sales and other adverse consequences.</w:t>
      </w:r>
    </w:p>
    <w:p>
      <w:pPr>
        <w:spacing w:after="0" w:line="116"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In the ordinary course of our business, we, our suppliers, payment or expense service partners, our other partners, our customers, and the third-party vendors and data centers that we use, obtain and process large amounts of sensitive data, including personal data related to our customers and travelers and their transactions, as well as other data of the counterparties to their transactions.</w:t>
      </w:r>
    </w:p>
    <w:p>
      <w:pPr>
        <w:spacing w:after="0" w:line="11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and the suppliers, partners and other third-party vendors and data centers that we use, have experienced, and may in the future experience, cybersecurity attacks and threats, including threats or attempts to disrupt our information technology infrastructure and unauthorized attempts to gain access to sensitive or confidential information. Cybersecurity incidents and malicious internet-based activity continue to increase, and providers of cloud-based services have frequently been targeted by such attacks. These cybersecurity challenges, including threats to our own IT infrastructure or those of our customers or third-party providers, may take a variety of forms ranging from stolen credit cards, compromised business and personal information, errors or malfeasance of our personnel, including personnel who have authorized access to our systems and/or information, customer employee fraud, account takeover, social engineering (including through deep fakes, which may be increasingly more difficult to identify as fake, and phishing attacks), ransomware, malicious code (such as viruses and worms), malware (including as a result of advanced persistent threat intrusions), denial-of-service attacks, credential stuffing attacks, credential harvesting, personnel misconduct or error,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and can lead to significant interruptions in our operations, ability to provide our offerings,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These could be initiated by individuals or groups of hackers or sophisticated cyber criminals (including the deployment of harmful malware such as malicious code, viruses, and worms). State-sponsored cybersecurity attacks could also harm our business, financial condition, results of operations, and prospects.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cyber-attacks that could significantly disrupt our systems and operations, supply chain, and ability to provide our services.</w:t>
      </w:r>
    </w:p>
    <w:p>
      <w:pPr>
        <w:spacing w:after="0" w:line="13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31" w:lineRule="exact"/>
        <w:rPr>
          <w:sz w:val="20"/>
          <w:szCs w:val="20"/>
          <w:color w:val="auto"/>
        </w:rPr>
      </w:pPr>
    </w:p>
    <w:p>
      <w:pPr>
        <w:ind w:right="600" w:firstLine="324"/>
        <w:spacing w:after="0" w:line="287" w:lineRule="auto"/>
        <w:rPr>
          <w:sz w:val="20"/>
          <w:szCs w:val="20"/>
          <w:color w:val="auto"/>
        </w:rPr>
      </w:pPr>
      <w:r>
        <w:rPr>
          <w:rFonts w:ascii="Arial" w:cs="Arial" w:eastAsia="Arial" w:hAnsi="Arial"/>
          <w:sz w:val="18"/>
          <w:szCs w:val="18"/>
          <w:color w:val="auto"/>
        </w:rPr>
        <w:t>We employ a shared responsibility model where our customers are responsible for using, configuring and otherwise implementing security measures related to our platform and offerings in a manner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229"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meets applicable cybersecurity standards, complies with laws, and addresses their information security risk. As part of this shared responsibility security model, we make certain security features available to our customers that can be implemented at our customers’ discretion, or identify security areas or measures for which our customers are responsible.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may be adversely impacted.</w:t>
      </w:r>
    </w:p>
    <w:p>
      <w:pPr>
        <w:spacing w:after="0" w:line="12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techniques used to sabotage or to obtain unauthorized access to our information technology systems or those upon whom we rely to process our information change frequently, and we have not always been able in the past and may be unable in the future to anticipate such techniques or implement adequate preventative measures or to stop security breaches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 Third parties may also attempt to and successfully exploit vulnerabilities in, or obtain unauthorized access to, platforms, systems, networks, and/or physical facilities utilized by us or others upon whom we rely. For more information on this risk, see the section titled “—Risks Related to Our Business and Industry—Dependence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12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Even if we have issued or otherwise made patches or information for vulnerabilities in our software applications or offerings, our customers may be unwilling or unable to deploy such patches and use such information effectively and in a timely manner. Vulnerabilities could be exploited and result in a security incident.</w:t>
      </w:r>
    </w:p>
    <w:p>
      <w:pPr>
        <w:spacing w:after="0" w:line="12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and our suppliers have in the past experienced cybersecurity incidents of a limited scale. We may be unable to anticipate or prevent techniques used in the future to obtain unauthorized access or to sabotage systems because they change frequently and often are not detected until after an incident has occurred.</w:t>
      </w:r>
    </w:p>
    <w:p>
      <w:pPr>
        <w:spacing w:after="0" w:line="11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certain administrative, technical, and physical security measures in place, and we have policies and procedures in place to contractually require service providers to whom we disclose data to implement and maintain reasonable privacy, data protection, and information security measures. Certain data privacy and security obligations have required us to implement and maintain specific security measures or industry-standard or reasonable security measures to protect our information technology systems and sensitive information. However, if our privacy protection, data protection, or information security measures or those of the previously mentioned third parties are inadequate or are breached or perceived to have occurred, our reputation and business could be damaged. Recent high-profile security breaches and related disclosures of sensitive data by large institutions suggest that the risk of such events is significant, even if privacy, data protection, and information security measures are implemented and enforced. If sensitive information is lost or improperly disclosed or threatened to be disclosed, we could incur significant costs associated with remediation and the implementation of additional security measures, and may incur significant liability and financial loss, and be subject to regulatory scrutiny, investigations, proceedings,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229"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Additionally, if our own confidential business information were improperly disclosed, our business, financial condition, results of operations, and prospects could be harmed.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other customers and travelers, prevent us from obtaining new partners and other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Further, applicable privacy and security obligations may require us to notify relevant stakeholders of security incidents. Such disclosures are costly, and the disclosures or the failure to comply with such requirements could lead to adverse consequences. Any actual or perceived security breach at a company providing services to us or our customers could have similar effects. Further, as many of our employees continue to work remotely, such as our customer support agents, these cybersecurity risks are heightened by an increased attack surface across our business and those of our partners and service providers. We have heightened monitoring in the face of such risks, but cannot guarantee that our efforts, or the efforts of those upon whom we rely and partner with, will be successful in preventing any such information security incidents.</w:t>
      </w:r>
    </w:p>
    <w:p>
      <w:pPr>
        <w:spacing w:after="0" w:line="13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or that of our customers could be leaked, disclosed, or revealed as a result of or in connection with our employees’, personnel’s, or vendors’ use of AI technologies.</w:t>
      </w:r>
    </w:p>
    <w:p>
      <w:pPr>
        <w:spacing w:after="0" w:line="122"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While we maintain cybersecurity insurance, our insurance may be insufficient or may not cover all liabilities incurred as a result of cybersecurity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negatively impact our business, financial condition, results of operations, and prospects.</w:t>
      </w:r>
    </w:p>
    <w:p>
      <w:pPr>
        <w:spacing w:after="0" w:line="13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suppliers and other partners, we may become less competitive and our business, results of operations, and financial condition may be harmed.</w:t>
      </w:r>
    </w:p>
    <w:p>
      <w:pPr>
        <w:spacing w:after="0" w:line="10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suppliers and other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2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(including legacy software) or APIs;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modifies its terms of service or other policies, including fees charged to, or other restrictions on us, or other application developers;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229"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agreements under which we in-license intellectual property or technology from third parties may be complex, and certain provisions in such agreements may be susceptible to multiple interpretations. The resolution of any contract interpretation disagreement that may arise could narrow the scope of our rights to the relevant technology or increase our financial or other obligations. Moreover, if disputes over intellectual property we have in-licensed, or in-license in the future, prevent or impair our ability to maintain our licensing arrangements on commercially acceptable terms, we may experience disruptions to our business or to the development of product candidates. Any of the foregoing outcomes could harm our business, financial condition, and results of operations.</w:t>
      </w:r>
    </w:p>
    <w:p>
      <w:pPr>
        <w:spacing w:after="0" w:line="12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Should any of our third-party services or product providers modify their products or standards in a manner that degrades the functionality of our platform or gives preferential treatment to competitive products or services, whether to enhance their competitive position or for any other reason, or if we are not permitted or able to integrate with these and other third-party applications in the future, our business, results of operations, and financial condition could be harmed. In addition, some of our competitors may be able to disrupt the operations or compatibility of our platform with their products or services. Such competitors may also be able to exert strong business influence on our ability to, and the terms on which we, operate our platform.</w:t>
      </w:r>
    </w:p>
    <w:p>
      <w:pPr>
        <w:spacing w:after="0" w:line="1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Further, our platform includes mobile applications to enable individuals and companies to access our platform through their mobile devices. If our mobile applications do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of our offerings and engagement with our platform. Also, we may not be successful in developing or maintaining relationships with key participants in the mobile industry or in ensuring that our platform operates effectively with a range of operating systems, networks, devices, browsers, protocols, and standards. If we are unable to effectively anticipate and manage these risks, or if it is difficult for customers to access and use our platform, our business, financial condition, results of operations, and prospects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open-source software in our platform, which could subject us to litigation or other actions.</w:t>
      </w:r>
    </w:p>
    <w:p>
      <w:pPr>
        <w:spacing w:after="0" w:line="1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use open-source software in our platform. Using open source software can incur greater risk than using third-party commercial software due to the fact that open source licensors do not provide warranties, maintenance and support, or other contractual protections. Open source software may also present a heightened risk of security vulnerabilities, including due to the intentional acts of malicious actors who inject such vulnerabilities into the code, or to older versions of the software not remaining current with applicable updates and patches to address vulnerabilities or other bugs. In addition, if we were to combine our proprietary technology with open-source software in a certain manner under certain open-source licenses, we could be required to release the source code of our proprietary technology. While we take precautions to monitor our use of open-source software, if we inappropriately use or incorporate open-source software subject to certain types of open-source licenses that challenge the proprietary nature of our offerings, we may be subject to claims that we violated the license requirements, or be required to re-engineer such offerings, discontinue the sale of such offerings, or take other remedial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i w:val="1"/>
          <w:iCs w:val="1"/>
          <w:color w:val="auto"/>
        </w:rPr>
        <w:t>Our use of artificial intelligence, including Gen AI and ML, gives rise to legal, business, and operational risks, which may result in diminished performance, regulatory scrutiny, social impacts, reputational harm, and liability arising from the use of this technology.</w:t>
      </w:r>
    </w:p>
    <w:p>
      <w:pPr>
        <w:spacing w:after="0" w:line="10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currently use AI, including Gen AI and ML, in our platform framework and our offerings, as well as new agentic AI and Gen AI developments, including in our Navan Cognition framework and future product interface enhancements such as Navan Go. The rapid evolution of AI, including Gen AI and ML, technologies will continue to require the application of significant resources to adopt, develop, test, integrate, and maintain the technologies included in our platform framework and our offerings in order to remain competitive, implement these technologies responsibly, and minimize unintended or harmful impacts. There are significant risks involved in adopting, developing, maintaining, and deploying these technologies, and there can be no assurance that the usage of such technologies will enhance our offerings or services or be beneficial to our business, including our efficiency or profitability. In particular, AI, including Gen AI and ML, technologies may be incorrectly designed or implemented; may be trained or reliant on incomplete, inadequate, inaccurate, biased, or otherwise poor quality data or on data to which we or third parties do not have sufficient rights; may produce results that are inaccurate or incomplete or may take unintended actions from user queries and inputs, even with no hallucinations; and/or may be adversely impacted by unforeseen defects, technical challenges, cybersecurity threats, third-party litigation or regulatory action, or material performance issues. Any of the above could negatively impact the performance of our offerings and business, as well as our reputation, and we could be subject to civil claims or incur liability and costs resulting from the actual or perceived violation of laws or contracts to which we are a party.</w:t>
      </w:r>
    </w:p>
    <w:p>
      <w:pPr>
        <w:spacing w:after="0" w:line="13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addition, AI technologies, including agentic AI, may be vulnerable to adversarial user behavior or create inaccurate or misleading content or other discriminatory or unexpected results or behaviors, such as hallucinatory behavior that can generate irrelevant, unintended, nonsensical, or factually incorrect results. Our customers may rely on or use this flawed content or information to their detriment, which may expose us to brand or reputational harm, competitive harm, consumer complaints, legal liability, and other adverse consequences, any of which could harm our business, results of operations, and financial condition.</w:t>
      </w:r>
    </w:p>
    <w:p>
      <w:pPr>
        <w:spacing w:after="0" w:line="125"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Development, maintenance and operation of AI, including Gen AI and ML, technologies requires additional investment in the development of proprietary datasets, machine learning models, and systems to train and operate models, and monitor and test for accuracy, bias, and other variables, which are complex, costly, and could impact our profit margin as we expand the use of AI, including Gen AI and ML, technologies in our offerings.</w:t>
      </w:r>
    </w:p>
    <w:p>
      <w:pPr>
        <w:spacing w:after="0" w:line="12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to our proprietary technologies, we use, or may use, AI, including Gen AI and ML, technologies licensed from third parties. Our ability to continue to adopt, integrate and use such technologies at the scale we may need may be dependent on access to specific third-party software and infrastructure, such as processing hardware or third-party AI models, and we cannot control the quality, availability or pricing of such third-party software and infrastructure, especially in a highly competitive environment. If any such third-party AI, including Gen AI and ML, technologies become incompatible with our offerings or unavailable for use or have degradations in performance, or if the providers of such models unfavorably change the terms on which their AI, including Gen AI and ML, technologies are offered or terminate their relationship with us, our solutions may become less appealing to our customers. In addition, to the extent any third-party AI, including Gen AI and ML, technologies are used as a vendor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131"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We face competition from other companies in our industry with respect to the development and deployment of AI, including Gen AI and ML, technologies to enhance our competitive offerings. Those other companies may develop AI, including Gen AI and ML, technologies that are similar or superior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ours and/or are more cost-effective and/or quicker to develop, deploy, and maintain. Any inability to develop, offer or deploy new AI, including Gen AI and ML, technologies as effectively, quickly and/or as cost-efficiently as our competitors could negatively impact our operating results, customer relationships, and growth.</w:t>
      </w:r>
    </w:p>
    <w:p>
      <w:pPr>
        <w:spacing w:after="0" w:line="11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regulatory and intellectual property frameworks governing the use and protection of AI, including Gen AI and ML, technologies and of its outputs are rapidly evolving, and we cannot predict how future legislation and regulation will impact our ability to offer and protect offerings that we develop which leverage AI, including Gen AI and ML, technologies. Many federal, state, and foreign government bodies and agencies have introduced or proposed additional laws and regulations, such as the EU AI Act. Additionally, existing laws and regulations may be interpreted in ways that would affect the operation of and availability of IP protection for our AI, including Gen AI and ML, technologies, as well as the outputs from our use of such technologies. As a result, implementation standards, enforcement practices, and available scope of protection are likely to remain uncertain for the foreseeable future, and we cannot yet determine the impact future laws, regulations, or standards may have on our business (including our positioning with respect to our competition) and may not always be able to anticipate how to respond to these laws or regulations. Already, certain existing legal regimes (such as those relating to data privacy) regulate certain aspects of AI, including Gen AI and ML, technologies, and new laws regulating AI, including Gen AI and ML, technologies are expected to continue to be proposed and enacted in the United States and globally. Additionally, certain privacy laws extend rights to consumers (such as the right to delete certain personal data) and regulate automated decision making, which may be incompatible with our use of AI, including Gen AI and ML. These obligations may make it harder for us to conduct our business using AI, including Gen AI and ML, lead to regulatory fines or penalties, require us to change our business practices, retrain our AI, including Gen AI and ML, or prevent or limit our use of AI, including Gen AI and ML. For example, the FTC has required other companies to turn over (or disgorge) valuable insights or trainings generated through the use of AI, including Gen AI and ML where they allege the company has violated privacy and consumer protection laws.</w:t>
      </w:r>
    </w:p>
    <w:p>
      <w:pPr>
        <w:spacing w:after="0" w:line="13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It is also possible that new laws and regulations will be adopted in the United States and in other non-U.S. jurisdictions, or that existing laws and regulations, including data privacy, consumer protection, competition laws, may be interpreted in ways that would limit our ability to use AI, including Gen AI and ML, technologies for our business, or require us to change the way we use AI, including Gen AI and ML, technologies in a manner that negatively affects the performance of our offerings, services, and business and requires us to expend resources and adjust our offerings or services in certain jurisdictions. Further, the cost to comply with such laws, regulations, or decisions and/or guidance interpreting existing laws, could be significant and would increase our operating expenses (such as by imposing additional reporting obligations regarding our use of AI, including Gen AI and ML, technologies). Such an increase in operating expenses, as well as any actual or perceived failure to comply with such laws and regulations, could adversely affect our business, financial condition and results of operations.</w:t>
      </w:r>
    </w:p>
    <w:p>
      <w:pPr>
        <w:spacing w:after="0" w:line="12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Any sensitive information (including confidential, competitive, proprietary, or personal data) that we or our customers and their users input into a third-party Gen AI, including Gen AI or ML, platform could be leaked or disclosed to others, including if sensitive information is used to train the third parties’ AI, including Gen AI or ML, model. Additionally, where an AI, including Gen AI or ML, model ingests personal data and makes connections using such data, those technologies may reveal other personal or sensitive information generated by the model.</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Our failure or inability to protect our intellectual property rights, or claims by others that we are infringing upon or unlawfully using their intellectual property, could diminish the value of our brand and weaken our competitive position, and could adversely affect our business, financial condition, results of operations, and prospects.</w:t>
      </w:r>
    </w:p>
    <w:p>
      <w:pPr>
        <w:spacing w:after="0" w:line="104"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We currently rely on a combination of copyright, patent, trademark, trade secret, and unfair competition laws, as well as confidentiality agreements and procedures and licensing arrangements, to establish and protect our intellectual property rights. We have devoted substantial resources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development of our proprietary technologies and related processes. In order to protect our proprietary technologies and processes, we rely in part on trade-secret laws and confidentiality agreements with our employees, licensees, independent contractors, suppliers, partners, and other advisors. These agreements may not effectively prevent disclosure of confidential information and may not provide an adequate remedy in the event of unauthorized disclosure of confidential information. We cannot be certain that the steps taken by us to protect our intellectual property rights will be adequate to prevent infringement of such rights by others. Additionally, the process of obtaining patent or trademark protection is expensive and time-consuming, and we may not be able to prosecute all necessary or desirable patent applications or apply for all necessary or desirable trademark applications at a reasonable cost or in a timely manner. Even if we are successful in such prosecutions, such legal protections may be incomplete or time-limited. Though an issued patent is presumed valid and enforceable, this presumption is not conclusive. Patents, if issued, may be challenged, deemed unenforceable, invalidated or circumvented and the related proceedings could be costly. And even if not invalidated, patents only have a limited lifespan.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that are competitive with our offerings. Thus, any patents that we may own may not provide any protection against competitors. Competitors may also attempt to replicate or reverse engineer our offerings, design around our patents, or develop and obtain patent protection for more effective products.</w:t>
      </w:r>
    </w:p>
    <w:p>
      <w:pPr>
        <w:spacing w:after="0" w:line="131"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Moreover, intellectual property protection may be unavailable or limited in some foreign countries where laws or law enforcement practices may not protect our intellectual property rights as fully as in the United States, and it may be more difficult for us to successfully challenge the use of our intellectual property rights by other parties in these countries. Costly and time-consuming litigation could be necessary to enforce and determine the scope of our proprietary rights, and our failure or inability to obtain or maintain trade-secret protection or otherwise protect our proprietary rights could adversely affect our business, financial condition, results of operations, and prospects.</w:t>
      </w:r>
    </w:p>
    <w:p>
      <w:pPr>
        <w:spacing w:after="0" w:line="12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Additionally, although we require our employees, third-party providers, and contractors to assign or grant us rights in the intellectual property they create while working for us, we may not have entered into enforceable agreements in every case or may not have sufficient rights to certain works developed before the execution of such agreements. Further, applicable laws may limit the enforceability or scope of such assignments. If we are unable to adequately establish our ownership of intellectual property created for us, or if such intellectual property is later found to be owned by others, we could face claims of infringement, be required to obtain additional licenses on unfavorable terms, or lose valuable rights, any of which could adversely affect our business, financial condition, results of operations, and prospects.</w:t>
      </w:r>
    </w:p>
    <w:p>
      <w:pPr>
        <w:spacing w:after="0" w:line="12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have in the past and may in the future be subject to patent infringement and trademark claims and lawsuits in various jurisdictions, and we cannot be certain that our platform and solutions or activities do not violate the patents, trademarks, or other intellectual property rights of third-party claimants. Companies in the technology industry and other patent, copyright, and trademark-holders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 As we face increasing competition and gain an increasingly high profile, the intellectual property rights claims against us have grown and will likely continue to grow.</w:t>
      </w:r>
    </w:p>
    <w:p>
      <w:pPr>
        <w:spacing w:after="0" w:line="1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from time to time, we may receive letters from third parties alleging that we are infringing upon their intellectual property rights or inviting us to license their intellectual property rights. Our technologies and other intellectual property may not be able to withstand such third-party claims, and successful infringement claims against us could result in significant monetary liability, prevent us from selling some of our products and services, or require us to change our branding. In addition, resolution of claims may require us to redesign our platform and offerings, license rights from third parties at a significant expense, or cease using those rights altogether. We may in the future bring claims against third parties for infringing our intellectual property rights. Costs of supporting such litigation and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229"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may be considerable, and there can be no assurances that a favorable outcome will be obtained. Patent infringement, trademark infringement, trade secret misappropriation, and other intellectual property claims and proceedings brought against us or brought by us, whether successful or not, could require significant attention of our management and resources and have in the past and could further result in substantial costs, harm to our brand, and could adversely affect our business, financial condition, results of operations, and prospects.</w:t>
      </w:r>
    </w:p>
    <w:p>
      <w:pPr>
        <w:spacing w:after="0" w:line="124"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If we do not adequately identify our patentable inventions or protect our patent rights, the value of our offerings may be adversely affected and our business, financial condition, results of operations, and prospects could be adversely affected.</w:t>
      </w:r>
    </w:p>
    <w:p>
      <w:pPr>
        <w:spacing w:after="0" w:line="8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issued patents and a number of pending patent applications in the United States to protect our intellectual property and competitive position. However, we may fail to timely identify or protect patentable inventions, particularly those arising in the course of development activities conducted by or on behalf of us. If we do not file for patent protection in a timely manner, we may lose the opportunity to secure such protection. Moreover, although we enter into confidentiality and non-disclosure agreements with employees, consultants, collaborators, suppliers, and other third parties, there is a risk that such parties could breach these agreements and disclose proprietary information before a patent application is filed, thereby jeopardizing our rights. We may also rely on in-licenses to patents or patent applications owned by third parties. Depending on the terms of the applicable licenses, we may not have control over the prosecution, maintenance, or enforcement of such intellectual property rights, and such activities may not be conducted in a manner that is consistent with our best interests.</w:t>
      </w:r>
    </w:p>
    <w:p>
      <w:pPr>
        <w:spacing w:after="0" w:line="12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Additionally, some of our current and future patents and applications may share ownership with or require cross-licenses with third parties. If we are unable to obtain exclusive rights to such shared or cross-licensed intellectual property, the other co-owners may license their rights to third parties, including competitors. Furthermore, enforcement of shared patents may require cooperation from co-owners, which may not be forthcoming. Any of these factors could impair our ability to protect our innovations, limit our competitive advantage, and adversely affect our business, financial condition, and results of operations.</w:t>
      </w:r>
    </w:p>
    <w:p>
      <w:pPr>
        <w:spacing w:after="0" w:line="127"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b w:val="1"/>
          <w:bCs w:val="1"/>
          <w:i w:val="1"/>
          <w:iCs w:val="1"/>
          <w:color w:val="auto"/>
        </w:rPr>
        <w:t>Our reliance on third parties, including employees located outside of the United States, for the development of our intellectual property exposes us to additional risks, including limited enforceability of intellectual property rights, potential violations of U.S. export controls, and increased risk of intellectual property theft or misappropriation.</w:t>
      </w:r>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rely, or may rely, on employees and third-party service providers located outside of the United States for certain aspects of development for our products and services. The use of foreign developers may expose us to risks related to trade secrets, confidentiality, and the assignment of intellectual property rights, particularly where local laws may not recognize or enforce contractual provisions related to ownership or confidentiality in the same manner as we expect in the United States. We also face risks related to compliance with U.S. export control laws and regulations when sharing technology or technical data with foreign nationals. Any failure to adequately secure our intellectual property rights or comply with applicable laws could harm our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73"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or may become material to our business. Our failure to comply could harm our business.</w:t>
      </w:r>
    </w:p>
    <w:p>
      <w:pPr>
        <w:spacing w:after="0" w:line="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are directly and indirectly subject to local, state, and federal laws, rules, regulations, licensing and other authorization schemes, including card network scheme rules, and industry standards that govern our business, activities, as well as the services our vendors and our partners provide (such as our corporate card offering, which our partner banks offer via Navan). These laws, rules, regulations, and licensing and authorization schemes include, or may in the future include, those relating to banking, invoicing, cross-border and domestic money transmission, foreign exchange, payments services (such as payment processing and settlement services), lending, brokering, servicing, debt collection, anti-money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laundering, counter-terrorism financing, escheatment, U.S. and international sanctions regimes, and compliance with the PCI Data Security Standard, which is a set of requirements designed to ensure that all companies that process, store, or transmit payment card information maintain a secure environment to protect cardholder data. These laws, rules, regulations, licensing and other authorization schemes, and industry standards are complex, subject to change, vary across different jurisdictions, and are implemented and enforced, in the United States by multiple authorities and governing bodies, including but not limited to the U.S. Department of the Treasury, the Federal Deposit Insurance Corporation, the Board of Governors of the Federal Reserve System, the U.S. Department of Treasury’s Office of Foreign Assets Control, or OFAC, self-regulatory organizations, state banking departments, and numerous state and local governmental and regulatory authorities. We may not always be able to accurately predict the scope or applicability of certain laws, rules, regulations, licensing schemes, or standards to our business, or interpretations of the same, particularly as we expand into new areas of operations, which could have a significant negative effect on our existing business and our ability to pursue future plans.</w:t>
      </w:r>
    </w:p>
    <w:p>
      <w:pPr>
        <w:spacing w:after="0" w:line="13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Banking agencies, including the Office of the Comptroller of the Currency, also have imposed requirements on regulated financial institutions to manage their third-party service providers. Among other things, these requirements include performing appropriate due diligence when selecting third -party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Our relationships with our banks, as well as third-party service providers we engage in connection with our banking relationships, require accommodating these requirements and therefore impose additional costs and risks on us in connection with such arrangements. We expect to expend significant resources on an ongoing basis in an effort to assist our bank partners in meeting their legal requirements.</w:t>
      </w:r>
    </w:p>
    <w:p>
      <w:pPr>
        <w:spacing w:after="0" w:line="12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Further,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may result in additional compliance and licensing or registration requirements, and may increase regulatory scrutiny of our business. We have been and may continue to be subject to such regulatory scrutiny. In particular, while we believe that we are not currently subject to licensing, registration, and related types of regulatory requirements with respect to our expense management offerings, we may still receive inquiries from regulators given our offering to corporate customers of credit cards issued by an issuing bank. Further, if any of our current or future product offerings become subject to additional lending-, payment-, or other financial service-related laws or regulations in the future, we could be subject to licensing and registration requirements that impose obligations and restrictions with respect to the investment of customer funds, reporting requirements, bonding requirements, minimum capital requirements, customer disclosure requirements, and oversight and examination by state regulatory agencies concerning various aspects of our business. This could also require changes to the manner in which we conduct some aspects of our business and increase our compliance costs.</w:t>
      </w:r>
    </w:p>
    <w:p>
      <w:pPr>
        <w:spacing w:after="0" w:line="136"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adoption of new or amended money transmitter or money services business statutes and regulations or changes in regulators’ interpretation of existing state and federal money transmitter or money services business statutes or regulations could subject us to new registration or licensing requirements. Such changes could also limit business activities until we are appropriately licensed. There can be no assurance that we will be able to obtain or maintain any such licenses, and, even if we were able to do so, there could be substantial costs and potential product changes involved in obtaining and maintaining such licenses, which could negatively impact our business. In addition, we may be forced to restrict or change our operations or business practices, make product changes, or delay planned product launches or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Many of these laws and regulations are evolving, unclear, and inconsistent across various jurisdictions, and ensuring compliance with them is difficult and costly. With increasing frequency, federal and state regulators are holding businesses in the lending and payments industry to higher standards of training, monitoring, and compliance, including monitoring for possible violations of laws by our customers and people who do business with our customers while using our products. If we fail to comply with laws and regulations applicable to our business in a timely and appropriate manner, we may be subject to litigation or regulatory proceedings, we may have to pay fines and penalties, and our customer relationships and reputation may be adversely affected, which could negatively impact our business, results of operations, and financial condition. Any of the foregoing could negatively impact our brand, reputation, business, results of operations, and financial condition.</w:t>
      </w:r>
    </w:p>
    <w:p>
      <w:pPr>
        <w:spacing w:after="0" w:line="133" w:lineRule="exact"/>
        <w:rPr>
          <w:sz w:val="20"/>
          <w:szCs w:val="20"/>
          <w:color w:val="auto"/>
        </w:rPr>
      </w:pPr>
    </w:p>
    <w:p>
      <w:pPr>
        <w:jc w:val="both"/>
        <w:ind w:right="520"/>
        <w:spacing w:after="0" w:line="272"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anti-money laundering, and counter-terrorism financing that could impair our ability to compete in international markets or subject us to criminal or civil liability if we violate such laws.</w:t>
      </w:r>
    </w:p>
    <w:p>
      <w:pPr>
        <w:spacing w:after="0" w:line="1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we continue to expand internationally, we will become subject to additional laws and regulations, and will need to implement new regulatory controls to comply with applicable laws. We are currently required to comply with U.S. economic and trade sanctions administered by OFAC, and we have processes in place to comply with such OFAC regulations as well as similar requirements in other jurisdictions, including the United Kingdom and European Union. Under OFAC and other applicable sanctions laws and regulations, direct and indirect transactions or other business dealings and activities, including the facilitation of such transactions and the provision of certain products and/or services, to specified countries, governments, individuals, and entities are prohibited. As part of our compliance efforts, we scan our customers and counterparties against OFAC and other governmental watch lists. We are also subject to or otherwise required by contract to comply with and address various anti-money laundering and counter-terrorist financing laws, regulations, and standards around the world that require the maintenance of an anti-money laundering compliance program and prohibit, among other things, facilitating transactions involving the proceeds of criminal activities or other illicit activities. Our financial institution partners as well as regulators in the United States and globally continue to increase their scrutiny of compliance with these obligations, which may require us to further invest resources in, or otherwise revise or expand our compliance program, including the procedures we use to verify the identity of our customers and to monitor transactions facilitated through our services, including payments to persons outside of the United States. Additionally, we currently engage in limited activity in OFAC-sanctioned regions based upon general licenses issued by OFAC to engage in such activity. We also have sought specific licenses from OFAC when required. We continue to review the OFAC sanctions and our practices to verify compliance. We could be subject to fines or other enforcement action, and cease and desist orders, if we are found to violate these laws, and our relationships with our financial institution partners could be at risk of or could be subject to termination or other adverse consequences.</w:t>
      </w:r>
    </w:p>
    <w:p>
      <w:pPr>
        <w:spacing w:after="0" w:line="13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Violations of sanctions and anti-money laundering laws and regulations could lead to fines, criminal sanctions against us, our officers, or our employees, cessation of business activities in sanctioned countries, implementation of compliance programs, and prohibitions on the conduct of our business. Any such violations could include prohibitions on our ability to offer our services in our or more countries, and could significantly damage our reputation, our brand, our international expansion efforts, our ability to attract and retain employees, and our business, prospects, operating results, and financial condition.</w:t>
      </w:r>
    </w:p>
    <w:p>
      <w:pPr>
        <w:spacing w:after="0" w:line="127"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8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are subject to the FCPA, U.S. domestic bribery laws, and other anti-corruption laws, including the UK Bribery Act. Anti-corruption and anti-bribery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229"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expand operations abroad, we may engage with business partners and third-party intermediaries to market our services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In addition, we cannot assure you that all of our employees and agents will not take actions in violation of our Company compliance policies and applicable law, for which we may be ultimately held responsible. As we increase our international sales and business, our risks under these laws may increase.</w:t>
      </w:r>
    </w:p>
    <w:p>
      <w:pPr>
        <w:spacing w:after="0" w:line="1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could harm our business, financial condition, results of operations, and prospects. Responding to any investigation or action will likely result in a significant diversion of management’s attention and resources and significant defense costs and other professional fees. If any subpoenas are received or investigations are launched, or governmental or other sanctions are imposed, or if we do not prevail in any possible civil or criminal proceeding, our business, financial condition, results of operations, and prospects could be adversely affected. In addition, the U.S. government may seek to hold us liable for successor liability for FCPA violations committed by companies in which we invest or that we acquire. As a general matter, investigations, enforcement actions, and sanctions could harm our reputation,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face risks associated with the growth of our business with certain heavily regulated industry verticals.</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market and sell our offering to customers in heavily regulated industry verticals. As a result, we face additional regulatory scrutiny, risks, and burdens from the governmental entities and agencies which regulate those industries. Selling to and supporting customers in heavily regulated verticals and expanding in those verticals will continue to require significant resources, and there is no guarantee that such efforts will be successful or beneficial to us. If we are unable to successfully maintain or expand our market share in such verticals, or cost-effectively comply with governmental and regulatory requirements applicable to our activities with customers in such verticals, our business, financial condition, and results of operations may be harmed.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6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to intellectual property litigation, we have in the past and may in the future become subject to legal proceedings and claims or regulatory inquiries or proceedings that arise in the ordinary course of business, such as claims brought by our customers in connection with commercial disputes, employment claims made by our current or former employees, or claims for reimbursement following misappropriation of customer data.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reducing our results of operations and leading analysts or potential investors to reduce their expectations of our performance, which could reduce the trading price of our Class A common stock. Litigation might result in substantial costs and may divert management’s attention and resources,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229"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additional tax liabilities as a result of changes in tax laws.</w:t>
      </w:r>
    </w:p>
    <w:p>
      <w:pPr>
        <w:spacing w:after="0" w:line="16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subject to U.S. federal, state, and local income, sales, and other taxes in the United States, as well as foreign income, withholding, and value-added taxes, and other indirect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spacing w:after="0" w:line="1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the tax regimes we are subject to or operate under are unsettled and may be subject to significant change, which may become increasingly challenging as we expand our operations globally. Changes in tax laws, issuance of new tax rulings, or changes in interpretations of existing laws could cause us to be subject to additional income-based and non-income-based taxes, including payroll, sales, use, value-added, digital, net worth, property, and goods and services taxes, which could adversely affect our results of operations and financial condition. In particular, the U.S. government recently enacted legislation commonly referred to as the One Big Beautiful Bill Act which, along with other recent U.S. federal tax reform legislation, has resulted in significant changes to the taxation of business entities including, among other changes, the imposition of minimum taxes or surtaxes on certain types of income, changes to the taxation of income derived from international operations, changes in the deduction and amortization of research and development expenditures, and limitations on the deductibility of business interest. For example, in 2022, the Inflation Reduction Act was signed into law in the United States, which enacted, among other changes, a minimum tax on certain corporations with book income of at least $1 billion, subject to certain adjustments, and a 1% excise tax on certain stock buybacks and similar corporate actions. The issuance of additional regulatory or accounting guidance related to these and any future changes in tax law could significantly affect our tax obligations and effective tax rate in the period issued.</w:t>
      </w:r>
    </w:p>
    <w:p>
      <w:pPr>
        <w:spacing w:after="0" w:line="13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our tax obligations and effective tax rate in the countries where we do business could increase as a result of international tax developments, including the implementation of certain initiatives led by the Organization for Economic Cooperation and Development, or the OECD, and the European Commission. For example, the OECD has been leading multilateral efforts on proposals, commonly referred to as “BEPS 2.0”, which involve the reallocation of taxing rights in respect of certain multinational enterprises above a fixed profit margin to the jurisdictions in which they carry on business (referred to as “Pillar One”) and the imposition of a minimum effective corporate tax rate (referred to as “Pillar Two”). A number of countries in which we conduct business have enacted, or are in the process of enacting, core elements of the Pillar Two rules. Based on our understanding of the applicable minimum revenue thresholds, we currently expect that we do not fall within the scope of either Pillar One or Pillar Two rules, however, if we become subject to the Pillar Two rules in the future, it could increase our overall tax obligations and result in additional compliance costs.</w:t>
      </w:r>
    </w:p>
    <w:p>
      <w:pPr>
        <w:spacing w:after="0" w:line="12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Due to expansion of our international business activities, any changes in the U.S. taxation and foreign taxation of our cross-border activities may increase our worldwide effective tax rate and adversely affect our results of operations and financial condition. The enactment of legislation implementing changes in the U.S. taxation of international business activities or the adoption of other tax reform policies globally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169"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As of January 31, 2025, we had net operating loss, or NOL, carryforwards of approximately $805.0 million, $628.6 million and $20.0 million for federal, state, and foreign tax purposes, respectively, that are available to reduce future taxable income. Under current U.S. federal income tax law, our NOLs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generated in tax years beginning before January 1, 2018 will begin expiring in 2036, and our NOLs generated in tax years beginning after December 31, 2017 may be carried forward indefinitely, but utilization of such post-2017 NOLs that are carried forward to taxable years beginning after December 31, 2020 is limited to a maximum of 80% of the taxable income for such year determined without regard to such carryforwards. Our state NOL carryforwards will begin to expire in 2036. Our foreign NOLs will carryforward indefinitely. As of January 31, 2025, we had available research and development tax credit carryforwards of approximately $15.5 million and $11.1 million for federal and state tax purposes, respectively. If not utilized, our federal tax credits will expire at various dates beginning in 2036. Our state tax credits do not expire and will carry forward indefinitely. Also, for state income tax purposes, the extent to which states will conform to the U.S. federal income tax laws is uncertain and there may be periods during which the use of NOL carryforwards is suspended or otherwise limited, which could accelerate or permanently increase state taxes owed. For example, California has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 Any such limitations could harm our business, results of operations, financial condition or prospects.</w:t>
      </w:r>
    </w:p>
    <w:p>
      <w:pPr>
        <w:spacing w:after="0" w:line="13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addition, under Sections 382 and 383 of the Code, a corporation that undergoes an “ownership change,” generally defined as a greater-than-50-percentage-point change (by value) in its equity ownership by certain stockholders over a three-year period, is subject to limitations on its ability to utilize its pre-change NOLs and other tax attributes such as research tax credits to offset future taxable income or income tax. We have identified certain ownership changes since our inception but do not believe that these changes resulted in any limitations on our ability to use our NOL carryforwards and tax credit carryforwards. We may have experienced additional ownership changes that have not yet been identified that could result in the expiration of our NOL carryforwards and tax credit carryforwards before utilization.</w:t>
      </w:r>
    </w:p>
    <w:p>
      <w:pPr>
        <w:spacing w:after="0" w:line="11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we may experience ownership changes as a result of this offering or future offerings or other changes in the ownership of our stock.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significant portion of the NOLs, even if we were to achieve profitability. In addition, any future changes in tax laws could impact our ability to utilize NOLs in future years and may result in greater tax liabilities than we would otherwise incur and adversely affect our cash flows and financial position.</w:t>
      </w:r>
    </w:p>
    <w:p>
      <w:pPr>
        <w:spacing w:after="0" w:line="130"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sales and use tax, value added tax, or other transaction taxes, and we could be subject to liability with respect to all or a portion of past or future sales.</w:t>
      </w:r>
    </w:p>
    <w:p>
      <w:pPr>
        <w:spacing w:after="0" w:line="85"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 application of U.S. federal, state, local, and foreign tax laws to our business, or any potential changes in our business model, is unclear and continually evolving. New tax laws, statutes, rules, regulations, or ordinances could be enacted at any time (possibly with retroactive effect) and could be applied solely or disproportionately to our business model or could otherwise negatively impact our results of operations and financial condition.</w:t>
      </w:r>
    </w:p>
    <w:p>
      <w:pPr>
        <w:spacing w:after="0" w:line="12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products and solutions, or the imposition of new laws or regulations or the interpretation of existing laws and regulations requiring the payment of additional taxes, would result in increased costs and administrative burdens for us. If we are subject to additional taxes and decide to offset such increased costs by collecting and remitting such taxes from our customers, or otherwise passing those costs through to our customers, our customers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229"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discouraged from purchasing our products and solutions. Any increased tax burden may decrease our ability or willingness to compete in relatively burdensome tax jurisdictions, result in substantial tax liabilities related to past or future sales, or otherwise seriously harm our business, results of operations, financial condition or prospects.</w:t>
      </w:r>
    </w:p>
    <w:p>
      <w:pPr>
        <w:spacing w:after="0" w:line="119"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could adversely affect our business, financial condition, results of operations, and prospects.</w:t>
      </w:r>
    </w:p>
    <w:p>
      <w:pPr>
        <w:spacing w:after="0" w:line="10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are continuing to expand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transfer-pricing regulations administered by taxing authorities in various jurisdictions in which we operate with potentially divergent tax laws. The amount of taxes we pay in different jurisdictions will depend on the application of the tax laws of the various jurisdictions, including the United States, to our international business activities, changes in tax rates, new or revised tax laws or interpretations of existing tax laws and policies by taxing authorities and courts in various jurisdictions, and our ability to operate our business in a manner consistent with our corporate structure and intercompany arrangements then in effect. It is not uncommon for tax authorities in different countries to have conflicting views, for instance, with respect to, among other things, the manner in which the arm’s length standard is applied for transfer pricing purposes, the transfer-pricing and charges for intercompany services and other transactions, or with respect to the valuation of intellectual property. If taxing authorities in any of the jurisdictions in which we conduct our international operations were to successfully challenge our transfer pricing, we could be required to reallocate part or all of our income to reflect transfer-pricing adjustments, which could result in an increased tax liability to us. In such circumstances, if the country from which the income was reallocated does not agree to the reallocation, we could become subject to tax on the same income in both countries, resulting in double taxation.</w:t>
      </w:r>
    </w:p>
    <w:p>
      <w:pPr>
        <w:spacing w:after="0" w:line="13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we have been and may continue to be audited in various foreign jurisdictions, and such jurisdictions, including jurisdictions in which we are not currently filing, may assess new or additional taxes, sales taxes and value added taxes against us. Although we believe our tax estimates are reasonable, the final determination of any tax audits or litigation could be significantly different from our historical tax provisions and accruals, which could have an adverse effect on our results of operations or cash flows in the period or periods for which a determination is made, and could significantly harm our business, financial condition, results of operations,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results of operations.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71" w:lineRule="exact"/>
        <w:rPr>
          <w:sz w:val="20"/>
          <w:szCs w:val="20"/>
          <w:color w:val="auto"/>
        </w:rPr>
      </w:pPr>
    </w:p>
    <w:p>
      <w:pPr>
        <w:ind w:left="660" w:right="8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U.S. and international jurisdictions in which we operate due to differing statutory tax rates in various jurisdictions;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international operations, corporate structure, business model, or intercompany arrangements;</w:t>
      </w:r>
    </w:p>
    <w:p>
      <w:pPr>
        <w:spacing w:after="0" w:line="171" w:lineRule="exact"/>
        <w:rPr>
          <w:rFonts w:ascii="Arial" w:cs="Arial" w:eastAsia="Arial" w:hAnsi="Arial"/>
          <w:sz w:val="18"/>
          <w:szCs w:val="18"/>
          <w:color w:val="auto"/>
        </w:rPr>
      </w:pPr>
    </w:p>
    <w:p>
      <w:pPr>
        <w:jc w:val="both"/>
        <w:ind w:left="660" w:right="160" w:hanging="328"/>
        <w:spacing w:after="0" w:line="318"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tax-planning strategies, and the economic and political environments in which we do business;</w:t>
      </w:r>
    </w:p>
    <w:p>
      <w:pPr>
        <w:spacing w:after="0" w:line="75"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229"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320" w:firstLine="324"/>
        <w:spacing w:after="0" w:line="439" w:lineRule="auto"/>
        <w:rPr>
          <w:sz w:val="20"/>
          <w:szCs w:val="20"/>
          <w:color w:val="auto"/>
        </w:rPr>
      </w:pPr>
      <w:r>
        <w:rPr>
          <w:rFonts w:ascii="Arial" w:cs="Arial" w:eastAsia="Arial" w:hAnsi="Arial"/>
          <w:sz w:val="18"/>
          <w:szCs w:val="18"/>
          <w:color w:val="auto"/>
        </w:rPr>
        <w:t xml:space="preserve">Any of these developments could adversely affect our business, financial condition, results of operations, and prospects. </w:t>
      </w:r>
      <w:r>
        <w:rPr>
          <w:rFonts w:ascii="Arial" w:cs="Arial" w:eastAsia="Arial" w:hAnsi="Arial"/>
          <w:sz w:val="18"/>
          <w:szCs w:val="18"/>
          <w:b w:val="1"/>
          <w:bCs w:val="1"/>
          <w:color w:val="auto"/>
        </w:rPr>
        <w:t>Risks Related to Financial and Accounting Matters</w:t>
      </w:r>
    </w:p>
    <w:p>
      <w:pPr>
        <w:spacing w:after="0" w:line="1"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business, financial condition, results of operations, and prospects could be adversely affected.</w:t>
      </w:r>
    </w:p>
    <w:p>
      <w:pPr>
        <w:spacing w:after="0" w:line="8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those related to revenue recognition, contract acquisition costs, valuation of embedded derivative liabilities, stock-based compensation, common stock valuations, and business combinations. Additionally, as a result of the current macroeconomic uncertainty, many of management’s estimates and assumptions have required and will continue to require increased judgment and carry a higher degree of variability and volatility. Our business, financial condition, results of operations, and prospects could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3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negatively impact our business, financial condition, results of operations, and prospects, or cause an adverse deviation from our revenue and operating profit target, which may negatively impact our results of operations.</w:t>
      </w:r>
    </w:p>
    <w:p>
      <w:pPr>
        <w:spacing w:after="0" w:line="131"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For as long as we continue to be an emerging growth company, we may take advantage of certain exemptions from various reporting requirements that are applicable to other public companies that are not emerging growth companies, including (i) not being required to comply with the independent auditor attestation requirements of the Sarbanes-Oxley Act of 2002, or the Sarbanes-Oxley Act, (ii) reduced disclosure obligations regarding executive compensation in this prospectus and our periodic reports and proxy statements and the required number of years of audited financial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in this prospectus.</w:t>
      </w:r>
    </w:p>
    <w:p>
      <w:pPr>
        <w:spacing w:after="0" w:line="127" w:lineRule="exact"/>
        <w:rPr>
          <w:sz w:val="20"/>
          <w:szCs w:val="20"/>
          <w:color w:val="auto"/>
        </w:rPr>
      </w:pPr>
    </w:p>
    <w:p>
      <w:pPr>
        <w:ind w:right="900" w:firstLine="324"/>
        <w:spacing w:after="0" w:line="287" w:lineRule="auto"/>
        <w:rPr>
          <w:sz w:val="20"/>
          <w:szCs w:val="20"/>
          <w:color w:val="auto"/>
        </w:rPr>
      </w:pPr>
      <w:r>
        <w:rPr>
          <w:rFonts w:ascii="Arial" w:cs="Arial" w:eastAsia="Arial" w:hAnsi="Arial"/>
          <w:sz w:val="18"/>
          <w:szCs w:val="18"/>
          <w:color w:val="auto"/>
        </w:rPr>
        <w:t>We could be an emerging growth company for up to five fiscal years following the completion of this offering. However, certain circumstances could cause us to lose that status earlier, including the date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229"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which we are deemed to be a “large accelerated filer,” under applicable SEC rules, if we have total annual gross revenue of $1.235 billion or more, or if we issue more than $1.0 billion in non-convertible debt during any three-year period before that time.</w:t>
      </w:r>
    </w:p>
    <w:p>
      <w:pPr>
        <w:spacing w:after="0" w:line="99" w:lineRule="exact"/>
        <w:rPr>
          <w:sz w:val="20"/>
          <w:szCs w:val="20"/>
          <w:color w:val="auto"/>
        </w:rPr>
      </w:pPr>
    </w:p>
    <w:p>
      <w:pPr>
        <w:jc w:val="both"/>
        <w:ind w:right="40" w:firstLine="324"/>
        <w:spacing w:after="0" w:line="262"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Accordingly, our consolidated financial statements may therefore not be comparable to those of companies that comply with such new or revised accounting standards.</w:t>
      </w:r>
    </w:p>
    <w:p>
      <w:pPr>
        <w:spacing w:after="0" w:line="122"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Investors may find our Class A common stock less attractive because we may rely on certain of these exemptions. If some investors find our common stock less attractive as a result, there may be a less active trading market for our Class A common stock and our price may be more volatile and may decline.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increased costs and demands on management resources as a result of operating as a public company.</w:t>
      </w:r>
    </w:p>
    <w:p>
      <w:pPr>
        <w:spacing w:after="0" w:line="16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As a public company, we will incur significant legal, accounting, compliance, investor relations, and other expenses that we did not incur as a private company and these expenses will increase even more after we are no longer an “emerging growth company.” Our management and other personnel will need to devote a substantial amount of time and incur significant expense in connection with legal, compliance, and investor relations initiatives. For example, in anticipation of becoming a public company, we will need to adopt additional internal controls and disclosure controls and procedures, retain a transfer agent, and adopt insider trading policies and procedures. As a public company, we will bear all of the internal and external costs of preparing and distributing periodic public reports in compliance with our obligations under the securities laws.</w:t>
      </w:r>
    </w:p>
    <w:p>
      <w:pPr>
        <w:spacing w:after="0" w:line="12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regulations and standards relating to corporate governance and public disclosure, including the Sarbanes-Oxley Act, and the related rules and regulations implemented by the Securities and Exchange Commission, or the SEC,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particularly to serve on our audit committee and compensation committee, and qualified executive officers. If we are unable to effectively manage these increased costs and demands upon management resources, our business, financial condition, results of operations, and prospects could be adversely affected.</w:t>
      </w:r>
    </w:p>
    <w:p>
      <w:pPr>
        <w:spacing w:after="0" w:line="135"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110"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We may, in the future, discover material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229"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17"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We have previously identified a material weakness in our internal control over financial reporting, which resulted from a lack of established internal controls and procedures and an insufficient number of accounting and finance personnel possessing the necessary GAAP technical expertise at our Reed &amp; Mackay subsidiary, resulting in a series of adjustments, including controls and procedures:</w:t>
      </w:r>
    </w:p>
    <w:p>
      <w:pPr>
        <w:spacing w:after="0" w:line="1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ensure journal entries are properly reviewed and approved;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ensure compliance with GAAP, specifically as it relates to accounting for revenue.</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After the material weakness was identified, we implemented a remediation plan that included new controls and processes, hiring additional accounting and finance personnel with an appropriate level of expertise, and improved group level oversight over and review of significant and complex transactions. As of January 31, 2025, we completed our remediation efforts, including the testing of the operating effectiveness of the controls, and we have concluded that the material weakness has been remediated. However, we recognize that maintaining effective internal control over financial reporting will continue to require significant attention from management and expense, and we cannot assure that we will not identify material weaknesses in the future.</w:t>
      </w:r>
    </w:p>
    <w:p>
      <w:pPr>
        <w:spacing w:after="0" w:line="128"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We will be a public company in the United States subject to the Sarbanes-Oxley Act after the completion of this offering. Section 404 of the Sarbanes-Oxley Act requires that we include a report of management on our internal control over financial reporting in our annual report on Form 10-K beginning with our second annual report.</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or Nasdaq.</w:t>
      </w:r>
    </w:p>
    <w:p>
      <w:pPr>
        <w:spacing w:after="0" w:line="133"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laws and regulations could be impaired.</w:t>
      </w:r>
    </w:p>
    <w:p>
      <w:pPr>
        <w:spacing w:after="0" w:line="8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the Sarbanes-Oxley Act, the Dodd-Frank Wall Street Reform and Consumer Protection Act of 2010, the listing requirements of Nasdaq, and other applicable securities rules and regulations. We expect that compliance with these rules and regulations will increase our legal and financial compliance costs, make some activities more difficult, time-consuming, or costly, and increase demand on our systems and resources, particularly after we are no longer an emerging growth company.</w:t>
      </w:r>
    </w:p>
    <w:p>
      <w:pPr>
        <w:spacing w:after="0" w:line="125"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320" w:top="229" w:right="39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ensure information required to be disclosed by us in our consolidated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accounting-related costs and significant management oversight.</w:t>
      </w:r>
    </w:p>
    <w:p>
      <w:pPr>
        <w:spacing w:after="0" w:line="1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However, while we remain an “emerging growth company,” we will not be required to include an attestation report on internal control over financial reporting issued by our independent registered public accounting firm. Ineffective disclosure controls and procedures and internal control over financial reporting could also cause investors to lose confidence in our reported financial and other information, which would likely have a negative effect on the market price of our Class A common stock. We are not currently required to comply with the SEC rules that implement Sections 302 and 404 of the Sarbanes-Oxley Act, and we are therefore not required to make a formal assessment of the effectiveness of our internal control over financial reporting for that purpose.</w:t>
      </w:r>
    </w:p>
    <w:p>
      <w:pPr>
        <w:spacing w:after="0" w:line="13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cause a decline in the price of our Class A common stock and could negatively impact our business, financial condition, results of operations, and prospects.</w:t>
      </w:r>
    </w:p>
    <w:p>
      <w:pPr>
        <w:spacing w:after="0" w:line="128" w:lineRule="exact"/>
        <w:rPr>
          <w:sz w:val="20"/>
          <w:szCs w:val="20"/>
          <w:color w:val="auto"/>
        </w:rPr>
      </w:pPr>
    </w:p>
    <w:p>
      <w:pPr>
        <w:jc w:val="both"/>
        <w:ind w:right="360" w:firstLine="324"/>
        <w:spacing w:after="0" w:line="268" w:lineRule="auto"/>
        <w:rPr>
          <w:sz w:val="20"/>
          <w:szCs w:val="20"/>
          <w:color w:val="auto"/>
        </w:rPr>
      </w:pPr>
      <w:r>
        <w:rPr>
          <w:rFonts w:ascii="Arial" w:cs="Arial" w:eastAsia="Arial" w:hAnsi="Arial"/>
          <w:sz w:val="18"/>
          <w:szCs w:val="18"/>
          <w:color w:val="auto"/>
        </w:rPr>
        <w:t>Upon becoming a public company, and particularly after we are no longer an “emerging growth company,” significant resources and management oversight will be required. As a result, management’s attention may be diverted from other business concerns, which could harm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debt-service obligations may adversely affect our financial condition and results of operations.</w:t>
      </w:r>
    </w:p>
    <w:p>
      <w:pPr>
        <w:spacing w:after="0" w:line="16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a significant amount of debt arrangements, as described further in the section titled “Description of Material Indebtedness.” Our ability to make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229"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99" w:lineRule="exact"/>
        <w:rPr>
          <w:sz w:val="20"/>
          <w:szCs w:val="20"/>
          <w:color w:val="auto"/>
        </w:rPr>
      </w:pPr>
    </w:p>
    <w:p>
      <w:pPr>
        <w:ind w:left="660" w:right="40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 acquisition of our company less attractive or more difficult.</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Any of these factors could harm our business, results of operations, and financial condition. In addition, if we incur additional indebtedness, the risks related to our business and our ability to service or repay our indebtedness would increase. We are also required to comply with the restrictive covenants set forth in certain of our debt arrangements, including a requirement that we satisfy certain financial liquidity conditions, certain limitations on our ability to incur additional indebtedness, and other operating restrictions that could adversely impact our ability to engage in certain transactions and conduct our business.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For additional information regarding the Warehouse Credit Facility (as defined below), see the section titled “Description of Material Indebtedness—Warehouse Credit Facility.” In addition, changes by any rating agency to our credit rating may negatively impact the value and liquidity of our securities. Downgrades in our credit ratings could restrict our ability to obtain additional financing in the future and could affect the terms of any such financing. If we are unable to effectively manage our debt-service obligations, our business, financial condition, results of operations, and prospects could be adversely affected.</w:t>
      </w:r>
    </w:p>
    <w:p>
      <w:pPr>
        <w:spacing w:after="0" w:line="138"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8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funded our operations since inception primarily through equity and debt financings as well as cash generated from operations.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results of operations, and financial condition. If we incur additional debt, the debt holders would have rights senior to holders of Class A common stock to make claims on our assets, and the terms of any debt could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 The trading prices for technology companies have been highly volatile, especially recently due to rising interest rates, inflation, and the uncertain macroeconomic environment, which may reduce our ability to access capital on favorable terms or at all. In addition, a recession, depression, or other sustained adverse market event could adversely affect the value of our Class A common stock as well as our business, financial condition, results of operations, and prospects.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and Ownership of our Class A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 and you could lose all or part of your investment.</w:t>
      </w:r>
    </w:p>
    <w:p>
      <w:pPr>
        <w:spacing w:after="0" w:line="16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cannot predict the prices at which our Class A common stock will trade. The initial public offering price of our Class A common stock will be determined by negotiations between us and the underwriters and may not bear any relationship to the market price at which our Class A common stock will trade after this offering or to any other established criteria of the value of our business and prospects and the market price of our Class A common stock following this offering may fluctuate substantially and may be lower than the initial public offering price. The market price of our Class A common stock following this offering will depend on a number of factors, including those described in this “Risk Factors” section, many of which are beyond our control and may not be related to our operating performance. In addition, the limited public float of our Class A common stock following this offering will tend to increase the volatility of the trading price of our Class A common stock. These fluctuations could cause you to lose all or part of your investment in our Class A common stock, since you might not be able to sell your shares at or above the price you paid in this offering. Factors that could cause fluctuations in the market price of our Class A common stock include the following:</w:t>
      </w:r>
    </w:p>
    <w:p>
      <w:pPr>
        <w:spacing w:after="0" w:line="131" w:lineRule="exact"/>
        <w:rPr>
          <w:sz w:val="20"/>
          <w:szCs w:val="20"/>
          <w:color w:val="auto"/>
        </w:rPr>
      </w:pPr>
    </w:p>
    <w:p>
      <w:pPr>
        <w:ind w:left="660" w:right="10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fluctuations in our GBV, payment volume, revenue, gross margins, and other results of operations as well as in demand for business travel;</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developments in the travel industry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71"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98"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sales of shares of our Class A common stock by us or our stockholders;</w:t>
      </w:r>
    </w:p>
    <w:p>
      <w:pPr>
        <w:spacing w:after="0" w:line="98"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third-party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229"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or expectations with respect to sales of shares of our Class A common stock by us or our security holders;</w:t>
      </w:r>
    </w:p>
    <w:p>
      <w:pPr>
        <w:spacing w:after="0" w:line="171"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macroeconomic conditions, including rising interest rates, inflation, foreign currency fluctuation, instability in the global banking system, risks of economic recession, and slow or negative growth of our markets;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political unrest or instability; and</w:t>
      </w:r>
    </w:p>
    <w:p>
      <w:pPr>
        <w:spacing w:after="0" w:line="1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including the ongoing conflicts in Ukraine and the Middle East and tensions between China and Taiwan.</w:t>
      </w:r>
    </w:p>
    <w:p>
      <w:pPr>
        <w:spacing w:after="0" w:line="9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adversely affect our business, financial condition, results of operations, and prospects.</w:t>
      </w:r>
    </w:p>
    <w:p>
      <w:pPr>
        <w:spacing w:after="0" w:line="131"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this offering, there has been no public market or active private market for our Class A common stock. We intend to apply to list</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Class A common stock on . However,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market price of your shares of Class A common stock. An inactive market may also impair our ability to raise capital by selling shares and may impair our ability to acquire other companies or technologies by using our shares as consideration, and could negatively impact our business, financial condition, results of operations, and prospects.</w:t>
      </w:r>
    </w:p>
    <w:p>
      <w:pPr>
        <w:spacing w:after="0" w:line="133"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85"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w:t>
      </w:r>
    </w:p>
    <w:p>
      <w:pPr>
        <w:spacing w:after="0" w:line="2" w:lineRule="exact"/>
        <w:rPr>
          <w:sz w:val="20"/>
          <w:szCs w:val="20"/>
          <w:color w:val="auto"/>
        </w:rPr>
      </w:pPr>
    </w:p>
    <w:p>
      <w:pPr>
        <w:spacing w:after="0"/>
        <w:tabs>
          <w:tab w:leader="none" w:pos="2740" w:val="left"/>
          <w:tab w:leader="none" w:pos="8840" w:val="left"/>
        </w:tabs>
        <w:rPr>
          <w:sz w:val="20"/>
          <w:szCs w:val="20"/>
          <w:color w:val="auto"/>
        </w:rPr>
      </w:pPr>
      <w:r>
        <w:rPr>
          <w:rFonts w:ascii="Arial" w:cs="Arial" w:eastAsia="Arial" w:hAnsi="Arial"/>
          <w:sz w:val="18"/>
          <w:szCs w:val="18"/>
          <w:color w:val="auto"/>
        </w:rPr>
        <w:t>stock to decline. Based on</w:t>
      </w:r>
      <w:r>
        <w:rPr>
          <w:sz w:val="20"/>
          <w:szCs w:val="20"/>
          <w:color w:val="auto"/>
        </w:rPr>
        <w:tab/>
      </w:r>
      <w:r>
        <w:rPr>
          <w:rFonts w:ascii="Arial" w:cs="Arial" w:eastAsia="Arial" w:hAnsi="Arial"/>
          <w:sz w:val="18"/>
          <w:szCs w:val="18"/>
          <w:color w:val="auto"/>
        </w:rPr>
        <w:t>shares of our Class A common stock outstanding as of</w:t>
      </w:r>
      <w:r>
        <w:rPr>
          <w:sz w:val="20"/>
          <w:szCs w:val="20"/>
          <w:color w:val="auto"/>
        </w:rPr>
        <w:tab/>
      </w:r>
      <w:r>
        <w:rPr>
          <w:rFonts w:ascii="Arial" w:cs="Arial" w:eastAsia="Arial" w:hAnsi="Arial"/>
          <w:sz w:val="17"/>
          <w:szCs w:val="17"/>
          <w:color w:val="auto"/>
        </w:rPr>
        <w:t>, 2025, we will have</w:t>
      </w:r>
    </w:p>
    <w:p>
      <w:pPr>
        <w:spacing w:after="0" w:line="9" w:lineRule="exact"/>
        <w:rPr>
          <w:sz w:val="20"/>
          <w:szCs w:val="20"/>
          <w:color w:val="auto"/>
        </w:rPr>
      </w:pPr>
    </w:p>
    <w:p>
      <w:pPr>
        <w:spacing w:after="0"/>
        <w:tabs>
          <w:tab w:leader="none" w:pos="10040" w:val="left"/>
        </w:tabs>
        <w:rPr>
          <w:sz w:val="20"/>
          <w:szCs w:val="20"/>
          <w:color w:val="auto"/>
        </w:rPr>
      </w:pPr>
      <w:r>
        <w:rPr>
          <w:rFonts w:ascii="Arial" w:cs="Arial" w:eastAsia="Arial" w:hAnsi="Arial"/>
          <w:sz w:val="18"/>
          <w:szCs w:val="18"/>
          <w:color w:val="auto"/>
        </w:rPr>
        <w:t>shares (if the underwriters exercise their option to purchase additional shares in full) of our Class A common stock and</w:t>
      </w:r>
      <w:r>
        <w:rPr>
          <w:sz w:val="20"/>
          <w:szCs w:val="20"/>
          <w:color w:val="auto"/>
        </w:rPr>
        <w:tab/>
      </w:r>
      <w:r>
        <w:rPr>
          <w:rFonts w:ascii="Arial" w:cs="Arial" w:eastAsia="Arial" w:hAnsi="Arial"/>
          <w:sz w:val="18"/>
          <w:szCs w:val="18"/>
          <w:color w:val="auto"/>
        </w:rPr>
        <w:t>shares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 outstanding after this offering.</w:t>
      </w:r>
    </w:p>
    <w:p>
      <w:pPr>
        <w:spacing w:after="0" w:line="153"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All of the shares of Class A common stock sold in this offering will be freely tradable without restrictions or further registration under the Securities Act, except for any shares held by our affiliates as defined in Rule 144 under the Securities Act (including any shares that may be purchased by any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affiliates in this offering). The remaining shares of our common stock are subject to the lock-up agreement or market stand-off agreements described below.</w:t>
      </w:r>
    </w:p>
    <w:p>
      <w:pPr>
        <w:spacing w:after="0" w:line="99" w:lineRule="exact"/>
        <w:rPr>
          <w:sz w:val="20"/>
          <w:szCs w:val="20"/>
          <w:color w:val="auto"/>
        </w:rPr>
      </w:pPr>
    </w:p>
    <w:p>
      <w:pPr>
        <w:jc w:val="both"/>
        <w:ind w:right="140" w:firstLine="324"/>
        <w:spacing w:after="0" w:line="272" w:lineRule="auto"/>
        <w:rPr>
          <w:sz w:val="20"/>
          <w:szCs w:val="20"/>
          <w:color w:val="auto"/>
        </w:rPr>
      </w:pPr>
      <w:r>
        <w:rPr>
          <w:rFonts w:ascii="Arial" w:cs="Arial" w:eastAsia="Arial" w:hAnsi="Arial"/>
          <w:sz w:val="17"/>
          <w:szCs w:val="17"/>
          <w:color w:val="auto"/>
        </w:rPr>
        <w:t>Subject to certain exceptions, we, all of our directors and executive officers, and substantially all of the holders of our common stock, or securities exercisable for or convertible into our common stock outstanding immediately prior to this offering, are subject to market stand-off agreements or have agreed not to offer, sell, or agree to sell, directly or indirectly, any shares of common stock without the permission of</w:t>
      </w:r>
    </w:p>
    <w:p>
      <w:pPr>
        <w:spacing w:after="0" w:line="1" w:lineRule="exact"/>
        <w:rPr>
          <w:sz w:val="20"/>
          <w:szCs w:val="20"/>
          <w:color w:val="auto"/>
        </w:rPr>
      </w:pPr>
    </w:p>
    <w:p>
      <w:pPr>
        <w:ind w:right="60" w:firstLine="600"/>
        <w:spacing w:after="0" w:line="250" w:lineRule="auto"/>
        <w:rPr>
          <w:sz w:val="20"/>
          <w:szCs w:val="20"/>
          <w:color w:val="auto"/>
        </w:rPr>
      </w:pPr>
      <w:r>
        <w:rPr>
          <w:rFonts w:ascii="Arial" w:cs="Arial" w:eastAsia="Arial" w:hAnsi="Arial"/>
          <w:sz w:val="18"/>
          <w:szCs w:val="18"/>
          <w:color w:val="auto"/>
        </w:rPr>
        <w:t>, on behalf of the underwriters, for a period of days from the date of this prospectus. When the lock-up period expires, we and our securityholders subject to a lock-up agreement or market stand-off agreement will be able to sell our shares in the public market. In</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 , on behalf of the underwriters, may, in its sole discretion, release all or some portion of the shares subject to lock-up agreements prior to the expiration of the lock-up period. See the section titled “Shares Eligible for Future Sale” for more information.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129" w:lineRule="exact"/>
        <w:rPr>
          <w:sz w:val="20"/>
          <w:szCs w:val="20"/>
          <w:color w:val="auto"/>
        </w:rPr>
      </w:pPr>
    </w:p>
    <w:p>
      <w:pPr>
        <w:ind w:left="340"/>
        <w:spacing w:after="0"/>
        <w:tabs>
          <w:tab w:leader="none" w:pos="2780" w:val="left"/>
          <w:tab w:leader="none" w:pos="10360" w:val="left"/>
        </w:tabs>
        <w:rPr>
          <w:sz w:val="20"/>
          <w:szCs w:val="20"/>
          <w:color w:val="auto"/>
        </w:rPr>
      </w:pPr>
      <w:r>
        <w:rPr>
          <w:rFonts w:ascii="Arial" w:cs="Arial" w:eastAsia="Arial" w:hAnsi="Arial"/>
          <w:sz w:val="18"/>
          <w:szCs w:val="18"/>
          <w:color w:val="auto"/>
        </w:rPr>
        <w:t>In addition, as of</w:t>
      </w:r>
      <w:r>
        <w:rPr>
          <w:sz w:val="20"/>
          <w:szCs w:val="20"/>
          <w:color w:val="auto"/>
        </w:rPr>
        <w:tab/>
      </w:r>
      <w:r>
        <w:rPr>
          <w:rFonts w:ascii="Arial" w:cs="Arial" w:eastAsia="Arial" w:hAnsi="Arial"/>
          <w:sz w:val="18"/>
          <w:szCs w:val="18"/>
          <w:color w:val="auto"/>
        </w:rPr>
        <w:t>, 2025, we had options outstanding that, if fully exercised, would result in the issuance of</w:t>
      </w:r>
      <w:r>
        <w:rPr>
          <w:sz w:val="20"/>
          <w:szCs w:val="20"/>
          <w:color w:val="auto"/>
        </w:rPr>
        <w:tab/>
      </w:r>
      <w:r>
        <w:rPr>
          <w:rFonts w:ascii="Arial" w:cs="Arial" w:eastAsia="Arial" w:hAnsi="Arial"/>
          <w:sz w:val="17"/>
          <w:szCs w:val="17"/>
          <w:color w:val="auto"/>
        </w:rPr>
        <w:t>shares of</w:t>
      </w:r>
    </w:p>
    <w:p>
      <w:pPr>
        <w:spacing w:after="0" w:line="27"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Class A common stock and</w:t>
      </w:r>
      <w:r>
        <w:rPr>
          <w:sz w:val="20"/>
          <w:szCs w:val="20"/>
          <w:color w:val="auto"/>
        </w:rPr>
        <w:tab/>
      </w:r>
      <w:r>
        <w:rPr>
          <w:rFonts w:ascii="Arial" w:cs="Arial" w:eastAsia="Arial" w:hAnsi="Arial"/>
          <w:sz w:val="17"/>
          <w:szCs w:val="17"/>
          <w:color w:val="auto"/>
        </w:rPr>
        <w:t>shares of Class B common stock, restricted stock units, or RSUs, outstanding to be settled in</w:t>
      </w:r>
    </w:p>
    <w:p>
      <w:pPr>
        <w:spacing w:after="0" w:line="9" w:lineRule="exact"/>
        <w:rPr>
          <w:sz w:val="20"/>
          <w:szCs w:val="20"/>
          <w:color w:val="auto"/>
        </w:rPr>
      </w:pPr>
    </w:p>
    <w:p>
      <w:pPr>
        <w:ind w:left="660"/>
        <w:spacing w:after="0"/>
        <w:tabs>
          <w:tab w:leader="none" w:pos="9800" w:val="left"/>
        </w:tabs>
        <w:rPr>
          <w:sz w:val="20"/>
          <w:szCs w:val="20"/>
          <w:color w:val="auto"/>
        </w:rPr>
      </w:pPr>
      <w:r>
        <w:rPr>
          <w:rFonts w:ascii="Arial" w:cs="Arial" w:eastAsia="Arial" w:hAnsi="Arial"/>
          <w:sz w:val="18"/>
          <w:szCs w:val="18"/>
          <w:color w:val="auto"/>
        </w:rPr>
        <w:t>shares of Class A common stock, and warrants outstanding that, if exercised, would result in the issuance of</w:t>
      </w:r>
      <w:r>
        <w:rPr>
          <w:sz w:val="20"/>
          <w:szCs w:val="20"/>
          <w:color w:val="auto"/>
        </w:rPr>
        <w:tab/>
      </w:r>
      <w:r>
        <w:rPr>
          <w:rFonts w:ascii="Arial" w:cs="Arial" w:eastAsia="Arial" w:hAnsi="Arial"/>
          <w:sz w:val="17"/>
          <w:szCs w:val="17"/>
          <w:color w:val="auto"/>
        </w:rPr>
        <w:t>shares of Class A</w:t>
      </w:r>
    </w:p>
    <w:p>
      <w:pPr>
        <w:spacing w:after="0" w:line="9" w:lineRule="exact"/>
        <w:rPr>
          <w:sz w:val="20"/>
          <w:szCs w:val="20"/>
          <w:color w:val="auto"/>
        </w:rPr>
      </w:pPr>
    </w:p>
    <w:p>
      <w:pPr>
        <w:spacing w:after="0"/>
        <w:tabs>
          <w:tab w:leader="none" w:pos="4820" w:val="left"/>
          <w:tab w:leader="none" w:pos="8340" w:val="left"/>
        </w:tabs>
        <w:rPr>
          <w:sz w:val="20"/>
          <w:szCs w:val="20"/>
          <w:color w:val="auto"/>
        </w:rPr>
      </w:pPr>
      <w:r>
        <w:rPr>
          <w:rFonts w:ascii="Arial" w:cs="Arial" w:eastAsia="Arial" w:hAnsi="Arial"/>
          <w:sz w:val="18"/>
          <w:szCs w:val="18"/>
          <w:color w:val="auto"/>
        </w:rPr>
        <w:t>common stock. We also granted options to purchase</w:t>
      </w:r>
      <w:r>
        <w:rPr>
          <w:sz w:val="20"/>
          <w:szCs w:val="20"/>
          <w:color w:val="auto"/>
        </w:rPr>
        <w:tab/>
      </w:r>
      <w:r>
        <w:rPr>
          <w:rFonts w:ascii="Arial" w:cs="Arial" w:eastAsia="Arial" w:hAnsi="Arial"/>
          <w:sz w:val="18"/>
          <w:szCs w:val="18"/>
          <w:color w:val="auto"/>
        </w:rPr>
        <w:t>shares of Class A common stock and</w:t>
      </w:r>
      <w:r>
        <w:rPr>
          <w:sz w:val="20"/>
          <w:szCs w:val="20"/>
          <w:color w:val="auto"/>
        </w:rPr>
        <w:tab/>
      </w:r>
      <w:r>
        <w:rPr>
          <w:rFonts w:ascii="Arial" w:cs="Arial" w:eastAsia="Arial" w:hAnsi="Arial"/>
          <w:sz w:val="18"/>
          <w:szCs w:val="18"/>
          <w:color w:val="auto"/>
        </w:rPr>
        <w:t>shares of Class B common stock,</w:t>
      </w:r>
    </w:p>
    <w:p>
      <w:pPr>
        <w:spacing w:after="0" w:line="9" w:lineRule="exact"/>
        <w:rPr>
          <w:sz w:val="20"/>
          <w:szCs w:val="20"/>
          <w:color w:val="auto"/>
        </w:rPr>
      </w:pPr>
    </w:p>
    <w:p>
      <w:pPr>
        <w:spacing w:after="0"/>
        <w:tabs>
          <w:tab w:leader="none" w:pos="2680" w:val="left"/>
          <w:tab w:leader="none" w:pos="8180" w:val="left"/>
        </w:tabs>
        <w:rPr>
          <w:sz w:val="20"/>
          <w:szCs w:val="20"/>
          <w:color w:val="auto"/>
        </w:rPr>
      </w:pPr>
      <w:r>
        <w:rPr>
          <w:rFonts w:ascii="Arial" w:cs="Arial" w:eastAsia="Arial" w:hAnsi="Arial"/>
          <w:sz w:val="18"/>
          <w:szCs w:val="18"/>
          <w:color w:val="auto"/>
        </w:rPr>
        <w:t>and RSUs to be settled in</w:t>
      </w:r>
      <w:r>
        <w:rPr>
          <w:sz w:val="20"/>
          <w:szCs w:val="20"/>
          <w:color w:val="auto"/>
        </w:rPr>
        <w:tab/>
      </w:r>
      <w:r>
        <w:rPr>
          <w:rFonts w:ascii="Arial" w:cs="Arial" w:eastAsia="Arial" w:hAnsi="Arial"/>
          <w:sz w:val="18"/>
          <w:szCs w:val="18"/>
          <w:color w:val="auto"/>
        </w:rPr>
        <w:t>shares of Class A common stock subsequent to</w:t>
      </w:r>
      <w:r>
        <w:rPr>
          <w:sz w:val="20"/>
          <w:szCs w:val="20"/>
          <w:color w:val="auto"/>
        </w:rPr>
        <w:tab/>
      </w:r>
      <w:r>
        <w:rPr>
          <w:rFonts w:ascii="Arial" w:cs="Arial" w:eastAsia="Arial" w:hAnsi="Arial"/>
          <w:sz w:val="17"/>
          <w:szCs w:val="17"/>
          <w:color w:val="auto"/>
        </w:rPr>
        <w:t>, 2025. All of the shares of Class A</w:t>
      </w:r>
    </w:p>
    <w:p>
      <w:pPr>
        <w:spacing w:after="0" w:line="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common stock and Class B common stock issuable upon the exercise stock options and settlement of RSUs,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and applicable vesting requirements.</w:t>
      </w:r>
    </w:p>
    <w:p>
      <w:pPr>
        <w:spacing w:after="0" w:line="12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Immediately following this offering, the holders of shares of our capital stock have rights, subject to some conditions, to require us to file registration statements for the public resale of such capital stock or to include such shares in registration statements that we may file for us or other stockholders.</w:t>
      </w:r>
    </w:p>
    <w:p>
      <w:pPr>
        <w:spacing w:after="0" w:line="11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We may also issue our shares of Class A common stock or securities convertible into shares of our Class A common stock from time to time in connection with a financing, acquisition, investments, or otherwise. If we are unable to effectively manage the risks relating to the price of our Class A common stock, our business, financial condition, results of operations, and prospects could be adversely affected.</w:t>
      </w:r>
    </w:p>
    <w:p>
      <w:pPr>
        <w:spacing w:after="0" w:line="119"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power with Ariel Cohen and Ilan Twig, our co-founders, which will limit your ability to influence the outcome of important transactions, including a change in control.</w:t>
      </w:r>
    </w:p>
    <w:p>
      <w:pPr>
        <w:spacing w:after="0" w:line="8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Class B common stock has votes per share, and our Class A common stock, which is the stock we are offering by means of this prospectus, has one vote per share. Upon the closing of this offering, our co-founders will together hold all of the issued and outstanding shares of our Class B common stock. Accordingly, upon the closing of this offering, Ariel Cohen, our co-founder, Chief Executive Officer, and a member of our board of directors will hold, together with his affiliates, approximately % of the voting power of our outstanding capital stock; and Ilan Twig, our co-founder, Chief Technology Officer, and a member of our board of directors, will hold, together with his affiliates, approximately % of the voting power of our outstanding capital stock. Therefore, our co-founders, individually or together, will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Our co-founders, individually or together, may have interests that differ from yours and may vote in a way with which you disagree and which may be adverse to your interests. This concentrated control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229"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76" w:lineRule="exact"/>
        <w:rPr>
          <w:sz w:val="20"/>
          <w:szCs w:val="20"/>
          <w:color w:val="auto"/>
        </w:rPr>
      </w:pPr>
    </w:p>
    <w:p>
      <w:pPr>
        <w:ind w:right="120" w:firstLine="324"/>
        <w:spacing w:after="0" w:line="260" w:lineRule="auto"/>
        <w:rPr>
          <w:sz w:val="20"/>
          <w:szCs w:val="20"/>
          <w:color w:val="auto"/>
        </w:rPr>
      </w:pPr>
      <w:r>
        <w:rPr>
          <w:rFonts w:ascii="Arial" w:cs="Arial" w:eastAsia="Arial" w:hAnsi="Arial"/>
          <w:sz w:val="18"/>
          <w:szCs w:val="18"/>
          <w:color w:val="auto"/>
        </w:rPr>
        <w:t>Future transfers by the holders of Class B common stock will generally result in those shares converting into shares of Class A common stock, subject to limited exceptions, such as certain transfers effected for estate planning or charitable purposes. In addition, each share of</w:t>
      </w:r>
    </w:p>
    <w:p>
      <w:pPr>
        <w:spacing w:after="0" w:line="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Class B common stock will convert automatically into one share of Class A common stock upon . For information about our dual class structure, see the section titled “Description of Capital Stock.” If we are unable to effectively manage these risks, our business, financial condition, results of operations, and prospects could be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6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adverse publicity, or other adverse consequences. Certain stock index providers exclude companies with multi-class share structures from being added to certain of its indices. In addition, several stockholder advisory firms and large institutional investors oppose the use of multiple class structures. As a result, the dual class structure of our common stock may make us ineligible for inclusion in certain indices and may discourage such indices from selecting us for inclusion, notwithstanding our automatic termination provision, may cause stockholder advisory firms to publish negative commentary about our corporate governance practices or otherwise seek to cause us to change our capital structure, and may result in large institutional investors not purchasing shares of our Class A common stock. Given the sustained flow of investment funds into passive strategies that seek to track certain indices, any exclusion from certain stock indices could result in less demand for our Class A common stock. Any actions or publications by stockholder advisory firms or institutional investors critical of our corporate governance practices or capital structure could also adversely affect the value of our Class A common stock, and could adversely affect our business, financial condition, results of operations, and prospects.</w:t>
      </w:r>
    </w:p>
    <w:p>
      <w:pPr>
        <w:spacing w:after="0" w:line="130"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8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There is an increasing focus from certain investors, employees, customers,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1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business, financial condition, results of operations, and prospects could be adversely affected.</w:t>
      </w:r>
    </w:p>
    <w:p>
      <w:pPr>
        <w:spacing w:after="0" w:line="127"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85"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we may be slow to attract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results of operations fail to meet, or significantly exceed, our announced guidance or the expectations of analysts or public investors, analysts could downgrade our Class A common stock or publish unfavorable research about us. If one or more of these analysts cease coverage of our Class A common stock or fail to publish reports on us regularly, our visibility in the financial markets could decrease, which in turn could cause our stock price or trading volume to decline and could cause our business, financial condition, results of operations, and prospects to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6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could adversely affect our business, financial condition, results of operations, and prospects.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w:t>
      </w:r>
    </w:p>
    <w:p>
      <w:pPr>
        <w:spacing w:after="0" w:line="16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financial condition, results of operations, and prospects could be harmed, and the market price of our Class A common stock could decline, and our business, financial condition, results of operations, and prospects could be adversely affected.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These investments may not yield a favorable return to our investors.</w:t>
      </w:r>
    </w:p>
    <w:p>
      <w:pPr>
        <w:spacing w:after="0" w:line="129"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 which may never occur.</w:t>
      </w:r>
    </w:p>
    <w:p>
      <w:pPr>
        <w:spacing w:after="0" w:line="8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In addition, the Warehouse Credit Facility and ABL Facility contain restrictions on our ability to pay cash dividends on our capital stock. For additional information regarding the Warehouse Credit Facility and ABL Facility, see the section titled “Description of Material Indebtedness.”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i w:val="1"/>
          <w:iCs w:val="1"/>
          <w:color w:val="auto"/>
        </w:rPr>
        <w:t>Because the initial public offering price of our Class A common stock will be substantially higher than the pro forma net tangible book value per share of our outstanding common stock following this offering, new investors will experience immediate and substantial dilution.</w:t>
      </w:r>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initial public offering price is substantially higher than the pro forma net tangible book value per share of our common stock immediately following this offering based on the total value of our tangible assets less our total liabilities. Therefore, if you purchase shares of our Class A common stock in this offering, based on the midpoint of the offering price range set forth on the cover page of this prospectus,</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and the issuance of shares of Class A common stock in this offering, you will experience immediate dilution of $ per share, the difference between the price per share you pay for our Class A common stock and its pro forma net tangible book value per share as of</w:t>
      </w:r>
    </w:p>
    <w:p>
      <w:pPr>
        <w:spacing w:after="0" w:line="1" w:lineRule="exact"/>
        <w:rPr>
          <w:sz w:val="20"/>
          <w:szCs w:val="20"/>
          <w:color w:val="auto"/>
        </w:rPr>
      </w:pPr>
    </w:p>
    <w:p>
      <w:pPr>
        <w:jc w:val="both"/>
        <w:ind w:right="40" w:firstLine="1708"/>
        <w:spacing w:after="0" w:line="258"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2025. Furthermore, if the underwriters exercise their option to purchase additional shares, if outstanding stock options and warrants are exercised, if we issue awards to our employees under our equity incentive plans, or if we otherwise issue additional shares of our Class A common stock, you could experience further dilution. See the section titled “Dilution” for additional information.</w:t>
      </w:r>
    </w:p>
    <w:p>
      <w:pPr>
        <w:spacing w:after="0" w:line="126"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85" w:lineRule="exact"/>
        <w:rPr>
          <w:sz w:val="20"/>
          <w:szCs w:val="20"/>
          <w:color w:val="auto"/>
        </w:rPr>
      </w:pPr>
    </w:p>
    <w:p>
      <w:pPr>
        <w:jc w:val="both"/>
        <w:ind w:right="100" w:firstLine="324"/>
        <w:spacing w:after="0" w:line="278" w:lineRule="auto"/>
        <w:rPr>
          <w:sz w:val="20"/>
          <w:szCs w:val="20"/>
          <w:color w:val="auto"/>
        </w:rPr>
      </w:pPr>
      <w:r>
        <w:rPr>
          <w:rFonts w:ascii="Arial" w:cs="Arial" w:eastAsia="Arial" w:hAnsi="Arial"/>
          <w:sz w:val="17"/>
          <w:szCs w:val="17"/>
          <w:color w:val="auto"/>
        </w:rPr>
        <w:t>Provisions in our amended and restated certificate of incorporation and restated bylaws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amended and restated certificate of incorporation and restated bylaws include provisions that:</w:t>
      </w:r>
    </w:p>
    <w:p>
      <w:pPr>
        <w:spacing w:after="0" w:line="11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 created directorships;</w:t>
      </w:r>
    </w:p>
    <w:p>
      <w:pPr>
        <w:spacing w:after="0" w:line="171" w:lineRule="exact"/>
        <w:rPr>
          <w:rFonts w:ascii="Arial" w:cs="Arial" w:eastAsia="Arial" w:hAnsi="Arial"/>
          <w:sz w:val="18"/>
          <w:szCs w:val="18"/>
          <w:color w:val="auto"/>
        </w:rPr>
      </w:pPr>
    </w:p>
    <w:p>
      <w:pPr>
        <w:ind w:left="660" w:right="60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restated bylaws;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only our chief executive officer or a majority of our board of directors will be authorized to call a special meeting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directors may only be removed “for cause” and only with the approval of two-thirds of our stockholders;</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a dual-class common stock structure in which holders of our Class B common stock may have the ability to significantly influence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229"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board of directors is expressly authorized to make, alter, or repeal our bylaws; and</w:t>
      </w:r>
    </w:p>
    <w:p>
      <w:pPr>
        <w:spacing w:after="0" w:line="171"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advance-notice requirements for nominations for election to our board of directors or for proposing matters that can be acted upon by stockholders at annual stockholder meetings.</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Moreover, Section 203 of the Delaware General Corporation Law, or the DGCL, may discourage, delay, or prevent a change in control of our company. Section 203 imposes certain restrictions on mergers, business combinations, and other transactions between us and holders of 15% or more of our common stock.</w:t>
      </w:r>
    </w:p>
    <w:p>
      <w:pPr>
        <w:spacing w:after="0" w:line="119"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Our amended and restated certificate of incorporation contains exclusive forum provisions for certain claims, which may limit our stockholders’ ability to obtain a favorable judicial forum for disputes with us or our directors, officers, or employees.</w:t>
      </w:r>
    </w:p>
    <w:p>
      <w:pPr>
        <w:spacing w:after="0" w:line="85"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amended and restated certificate of incorporation, or our restated bylaws, or any action asserting a claim against us that is governed by the internal affairs doctrine.</w:t>
      </w:r>
    </w:p>
    <w:p>
      <w:pPr>
        <w:spacing w:after="0" w:line="12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Moreover, 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will, to the fullest extent permitted by law, be the exclusive forum for resolving any complaint asserting a cause of action arising under the Securities Act, or the Federal Forum Provision. Our decision to adopt the Federal Forum Provision followed a decision by the Supreme Court of the State of Delaware holding that such provisions are facially valid under Delaware law. While there can be no assurance that federal or state courts will follow the holding of the Supreme Court of the State of Delaware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27"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22"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Our stockholders will not be deemed to have waived our compliance with the federal securities laws and the regulations promulgated thereunder.</w:t>
      </w:r>
    </w:p>
    <w:p>
      <w:pPr>
        <w:spacing w:after="0" w:line="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amended and restated certificate of incorporation or restated bylaws to be inapplicable or unenforceable in an action, we may incur additional costs associated with resolving such action in other jurisdictions, which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3"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could limit our ability to grow our business and negatively affect our results of operations.</w:t>
      </w:r>
    </w:p>
    <w:p>
      <w:pPr>
        <w:spacing w:after="0" w:line="8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global tariff uncertainty, labor shortages, supply chain disruptions, rising interest rates, inflation, international trade relations, weak economic conditions in certain regions, political turmoil, natural catastrophes, warfare, terrorist attacks on the United States, Europe, the Asia Pacific region, including Japan, or elsewhere, could cause a decrease in business investments by existing or potential customers, including spending on travel and information technology, and negatively affect the growth of our business. Competitors, many of whom are larger and have greater financial resources than we do, may respond to challenging market conditions by lowering prices in an attempt to attract our customers. In addition, the increased pace of consolidation in certain industries may result in reduced overall spending on our offering. We cannot predict the timing, strength, or duration of any economic slowdown, instability, or recovery, generally or within any particular industry.</w:t>
      </w:r>
    </w:p>
    <w:p>
      <w:pPr>
        <w:spacing w:after="0" w:line="133"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i w:val="1"/>
          <w:iCs w:val="1"/>
          <w:color w:val="auto"/>
        </w:rPr>
        <w:t>We may be adversely affected by natural disasters, pandemics, cyberattacks and other catastrophic events, and by man-made problems such as terrorism, that could disrupt our business operations, and our business continuity and disaster recovery plans may not adequately protect us from a serious disaster.</w:t>
      </w:r>
    </w:p>
    <w:p>
      <w:pPr>
        <w:spacing w:after="0" w:line="1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thus could negatively impact our business, financial condition, results of operations, and prospects. Our business operations are also subject to interruption by fire, power shortages, flooding, and other events beyond our control. In addition, our global operations expose us to risks associated with public health crises, such as pandemics and epidemics, which could harm our business and cause our results of operations to suffer. Further, acts of war, armed conflict, terrorism, and other geopolitical unrest, such as the ongoing conflicts in Ukraine and the Middle East and tensions between China and Taiwan, could cause disruptions in our business or the businesses of our customers, suppliers or the economy as a whole. In particular, we have operations and customers in Israel, and certain of our customers in other regions have substantial operations and customers in Israel. Our growth, business, and results of operations could be negatively impacted if the current conflicts in the Middle East, including the escalating conflict between Israel and Iran, continues, worsens or expands to other nations or regions, including if our customers are harmed and reduce their engagement with our platform. 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negatively impact our business, financial condition, results of operations, and prospects. For example, our corporate headquarters is located in the San Francisco Bay Area in California, a state that frequently experiences earthquakes, wildfires, heatwaves, and droughts. Additionally, all the aforementioned risks will be further increased if we do not implement an effective disaster recovery plan or our suppliers’ or other partners’ disaster recovery plans prove to be inadequate.</w:t>
      </w:r>
    </w:p>
    <w:p>
      <w:pPr>
        <w:spacing w:after="0" w:line="141"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If currency exchange rates fluctuate substantially in the future, the results of our operations, which are reported in U.S. dollars, could be adversely affected.</w:t>
      </w:r>
    </w:p>
    <w:p>
      <w:pPr>
        <w:spacing w:after="0" w:line="85"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As we continue to expand our international operations, we become more exposed to the effects of fluctuations in currency exchange rates. Although the majority of our sales contracts have historically been denominated in U.S. dollars, and therefore, most of our revenue has not been subject to foreign currency risk, we also book significant sales in Euros and Pounds, and any changes in the value of foreign currencies relative to the U.S. dollar could affect our revenue and results of operations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229"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transactional and translational remeasurement that is reflected in our earnings. In addition, we incur expenses for employee compensation and other operating expenses at our non -U.S. locations in the local currency. Fluctuations in the exchange rates between the U.S. dollar and other currencies could result in the dollar equivalent of such expenses being higher. These exposures may change over time as business practices evolve and economic conditions change, such as shifts driven by monetary policy changes and geopolitical events, and could have a negative impact on our results of operations, revenue and net income (loss) as expressed in U.S. dollars. Although we may in the future decide to undertake foreign exchange hedging transactions to cover a portion of our foreign currency exchange exposure, we currently do not hedge our exposure to foreign currency exchange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320" w:top="229" w:right="39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This prospectus contains forward-looking statements. All statements contained in this prospectus other than statements of historical fact, including statements regarding our future results of operations and financial condition, our business strategy and plans, market growth, and our objectives for future operations, are forward-looking statements. The words “believe,” “may,” “will,” “potentially,” “estimate,” “continue,” “anticipate,” “intend,” “could,” “would,” “project,” “target,” “plan,” “expect,” “predict,” “should,” “toward,” the negative of these words, and other similar expressions are intended to identify forward-looking statements.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contained in this prospectus include, but are not limited to, statements about:</w:t>
      </w:r>
    </w:p>
    <w:p>
      <w:pPr>
        <w:spacing w:after="0" w:line="171" w:lineRule="exact"/>
        <w:rPr>
          <w:sz w:val="20"/>
          <w:szCs w:val="20"/>
          <w:color w:val="auto"/>
        </w:rPr>
      </w:pPr>
    </w:p>
    <w:p>
      <w:pPr>
        <w:ind w:left="660" w:right="160" w:hanging="328"/>
        <w:spacing w:after="0" w:line="26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GBV, payment volume, revenue, cost of revenue, gross profit or gross margin, operating expenses, including changes in operating expenses, and our ability to achieve and maintain future profitability;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total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overall demand for business travel and global travel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customers’ T&amp;E budgets and IT spending budgets;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acceptance of our platform and our ability to increase adoption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grow sales within our existing customers;</w:t>
      </w:r>
    </w:p>
    <w:p>
      <w:pPr>
        <w:spacing w:after="0" w:line="171"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drive adoption and expansion of our additional offerings, including Payments, Expense Management, Meetings and Events, VIP, and Bleisure;</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continue developing, improving, and implementing AI and ML into our platform and offerings, including Navan Cognition, our proprietary AI framework for our platform, and related AI features and functionalities;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timely and effectively scale, enhance and adapt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develop and introduce new offerings and products and bring them to market in a timely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operate and expand internationally;</w:t>
      </w:r>
    </w:p>
    <w:p>
      <w:pPr>
        <w:spacing w:after="0" w:line="171"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our expectations concerning relationships with suppliers and payment partners, and our ability to maintain commission rates and access to travel inventory;</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 and our ability to successfully integrate them into our business and operations;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229"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4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may become applicable to our business both in the United States and internationally;</w:t>
      </w:r>
    </w:p>
    <w:p>
      <w:pPr>
        <w:spacing w:after="0" w:line="98" w:lineRule="exact"/>
        <w:rPr>
          <w:rFonts w:ascii="Arial" w:cs="Arial" w:eastAsia="Arial" w:hAnsi="Arial"/>
          <w:sz w:val="18"/>
          <w:szCs w:val="18"/>
          <w:color w:val="auto"/>
        </w:rPr>
      </w:pPr>
    </w:p>
    <w:p>
      <w:pPr>
        <w:ind w:left="660" w:right="72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high-quality, cost-effective customer support, including through automation and AI-enabled tools, while controlling customer support costs;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 including as it relates to AI;</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macroeconomic conditions in the United States and globally, including the effects of tariffs, immigration policy, inflation, rising or volatile interest rates, foreign currency fluctuations, instability in the global banking system, climate-related events, and geopolitical conflicts or tensions such as those in the Ukraine, the Middle East, and between China and Taiwan;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of remote and hybrid work models on our business, operations, and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operate and grow our business in light of macroeconomic uncertainty;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expenses associated with being a public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statements regarding our future operations, financial condition, and prospects and business strategies.</w:t>
      </w:r>
    </w:p>
    <w:p>
      <w:pPr>
        <w:spacing w:after="0" w:line="17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the section titled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2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prospectus or to conform these statements to actual results or to changes in our expectations, except as required by law.</w:t>
      </w:r>
    </w:p>
    <w:p>
      <w:pPr>
        <w:spacing w:after="0" w:line="122"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Although we believe such information to be reliable and we are responsible for all of the disclosure contained in this prospectus,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8" w:lineRule="exact"/>
        <w:rPr>
          <w:sz w:val="20"/>
          <w:szCs w:val="20"/>
          <w:color w:val="auto"/>
        </w:rPr>
      </w:pPr>
    </w:p>
    <w:p>
      <w:pPr>
        <w:jc w:val="both"/>
        <w:ind w:right="220" w:firstLine="324"/>
        <w:spacing w:after="0" w:line="26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22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Within this prospectus, we reference information, statistics, estimates, and forecasts regarding our industry, including the market size and growth of the markets in which we participate. We have obtained this information, and these statistics, estimates, and forecasts from publicly available information and various independent third-party sources, including independent industry publications, reports by market research firms and other independent sources, such as Euromonitor International Limited and the Global Business Travel Association. Some data and other information contained in this prospectus are also based on management’s estimates and calculations, which are derived from our review and interpretation of internal surveys and data and independent third-party sources. Data regarding the industries in which we compete and our market position and market share within these industries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sections titled “Risk Factors” and “Special Note Regarding Forward-Looking Statements.” These and other factors could cause our future performance to differ materially from our assumptions and estimates. As a result, you should be aware that market, ranking and other similar industry data included in this prospectus, and estimates and beliefs based on that data, may not be reliable. Accordingly, you are cautioned not to place undue reliance on such market and industry data or any other such estimates.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sources of certain statistics, estimates, and forecasts contained in this prospectus are:</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Euromonitor International Limited, </w:t>
      </w:r>
      <w:r>
        <w:rPr>
          <w:rFonts w:ascii="Arial" w:cs="Arial" w:eastAsia="Arial" w:hAnsi="Arial"/>
          <w:sz w:val="18"/>
          <w:szCs w:val="18"/>
          <w:i w:val="1"/>
          <w:iCs w:val="1"/>
          <w:color w:val="auto"/>
        </w:rPr>
        <w:t>Global Business Travel Industry Assessment Report</w:t>
      </w:r>
      <w:r>
        <w:rPr>
          <w:rFonts w:ascii="Arial" w:cs="Arial" w:eastAsia="Arial" w:hAnsi="Arial"/>
          <w:sz w:val="18"/>
          <w:szCs w:val="18"/>
          <w:color w:val="auto"/>
        </w:rPr>
        <w:t>, June 2025, commissioned by us.</w:t>
      </w:r>
    </w:p>
    <w:p>
      <w:pPr>
        <w:spacing w:after="0" w:line="171"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Euromonitor International Limited, </w:t>
      </w:r>
      <w:r>
        <w:rPr>
          <w:rFonts w:ascii="Arial" w:cs="Arial" w:eastAsia="Arial" w:hAnsi="Arial"/>
          <w:sz w:val="18"/>
          <w:szCs w:val="18"/>
          <w:i w:val="1"/>
          <w:iCs w:val="1"/>
          <w:color w:val="auto"/>
        </w:rPr>
        <w:t>Embedded Finance Powered Transformation Across Travel – Intermediaries, Lodging, Shopping,</w:t>
      </w:r>
      <w:r>
        <w:rPr>
          <w:rFonts w:ascii="Arial" w:cs="Arial" w:eastAsia="Arial" w:hAnsi="Arial"/>
          <w:sz w:val="18"/>
          <w:szCs w:val="18"/>
          <w:color w:val="auto"/>
        </w:rPr>
        <w:t xml:space="preserve"> </w:t>
      </w:r>
      <w:r>
        <w:rPr>
          <w:rFonts w:ascii="Arial" w:cs="Arial" w:eastAsia="Arial" w:hAnsi="Arial"/>
          <w:sz w:val="18"/>
          <w:szCs w:val="18"/>
          <w:i w:val="1"/>
          <w:iCs w:val="1"/>
          <w:color w:val="auto"/>
        </w:rPr>
        <w:t>and Food and Dining</w:t>
      </w:r>
      <w:r>
        <w:rPr>
          <w:rFonts w:ascii="Arial" w:cs="Arial" w:eastAsia="Arial" w:hAnsi="Arial"/>
          <w:sz w:val="18"/>
          <w:szCs w:val="18"/>
          <w:color w:val="auto"/>
        </w:rPr>
        <w:t>, May 2024.</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Global Business Travel Association, </w:t>
      </w:r>
      <w:r>
        <w:rPr>
          <w:rFonts w:ascii="Arial" w:cs="Arial" w:eastAsia="Arial" w:hAnsi="Arial"/>
          <w:sz w:val="18"/>
          <w:szCs w:val="18"/>
          <w:i w:val="1"/>
          <w:iCs w:val="1"/>
          <w:color w:val="auto"/>
        </w:rPr>
        <w:t>2024 Business Travel Index Outlook: Annual Report and Forecast</w:t>
      </w:r>
      <w:r>
        <w:rPr>
          <w:rFonts w:ascii="Arial" w:cs="Arial" w:eastAsia="Arial" w:hAnsi="Arial"/>
          <w:sz w:val="18"/>
          <w:szCs w:val="18"/>
          <w:color w:val="auto"/>
        </w:rPr>
        <w:t>, July 2024.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World Travel &amp; Tourism Council, </w:t>
      </w:r>
      <w:r>
        <w:rPr>
          <w:rFonts w:ascii="Arial" w:cs="Arial" w:eastAsia="Arial" w:hAnsi="Arial"/>
          <w:sz w:val="18"/>
          <w:szCs w:val="18"/>
          <w:i w:val="1"/>
          <w:iCs w:val="1"/>
          <w:color w:val="auto"/>
        </w:rPr>
        <w:t>Economic Impact Report</w:t>
      </w:r>
      <w:r>
        <w:rPr>
          <w:rFonts w:ascii="Arial" w:cs="Arial" w:eastAsia="Arial" w:hAnsi="Arial"/>
          <w:sz w:val="18"/>
          <w:szCs w:val="18"/>
          <w:color w:val="auto"/>
        </w:rPr>
        <w: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229"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estimate that the net proceeds from our sale of shares of our Class A common stock in this offering at an assumed initial public offering price of $ per share, which is the midpoint of the offering price range set forth on the cover page of this prospectus, and after deducting underwriting discounts and commissions and estimated offering expenses, will be approximately $ million, or $ million if the underwriters’ option to purchase additional shares is exercised in full. We will not receive any proceeds from sales of shares of Class A common stock by the selling stockholders.</w:t>
      </w:r>
    </w:p>
    <w:p>
      <w:pPr>
        <w:spacing w:after="0" w:line="12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principal purposes of this offering are to create a public market for our Class A common stock, increase our visibility in the marketplace, obtain additional capital, increase our capitalization and financial flexibility and facilitate an orderly distribution of shares for the selling stockholders. We intend to use approximately $ million of the net proceeds from this offering to repay outstanding term loans under and terminate our credit agreement with VCP Capital Markets, LLC, referred to as the Vista Facility, which currently bears interest at a variable interest rate based on the 3-month SOFR rate (with a 1.00% SOFR floor) plus (A) if we have elected to pay the interest in cash, 6.50% per annum in cash or (B) if we have elected to pay interest partially in cash and partially paid in kind, 6.50% per annum (of which</w:t>
      </w:r>
    </w:p>
    <w:p>
      <w:pPr>
        <w:spacing w:after="0" w:line="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5.00% shall be paid in cash and 1.50% paid in kind) and matures on February 24, 2030. Proceeds from the Vista Facility were used to repay then-outstanding indebtedness. As of , 2025, the outstanding principal amount under the Vista Facility was $ million. For a further description of the Vista Facility, see the section titled “Description of Material Indebtedness.”</w:t>
      </w:r>
    </w:p>
    <w:p>
      <w:pPr>
        <w:spacing w:after="0" w:line="124" w:lineRule="exact"/>
        <w:rPr>
          <w:sz w:val="20"/>
          <w:szCs w:val="20"/>
          <w:color w:val="auto"/>
        </w:rPr>
      </w:pPr>
    </w:p>
    <w:p>
      <w:pPr>
        <w:jc w:val="both"/>
        <w:ind w:right="60" w:firstLine="324"/>
        <w:spacing w:after="0" w:line="262" w:lineRule="auto"/>
        <w:rPr>
          <w:sz w:val="20"/>
          <w:szCs w:val="20"/>
          <w:color w:val="auto"/>
        </w:rPr>
      </w:pPr>
      <w:r>
        <w:rPr>
          <w:rFonts w:ascii="Arial" w:cs="Arial" w:eastAsia="Arial" w:hAnsi="Arial"/>
          <w:sz w:val="18"/>
          <w:szCs w:val="18"/>
          <w:color w:val="auto"/>
        </w:rPr>
        <w:t>We also intend to use $ million of the net proceeds from this offering to pay the anticipated tax withholding and remittance obligations related to the RSU Net Settlement, assuming (i) the fair market value of our Class A common stock at the time of settlement will be equal to the assumed initial public offering price per share of $ , the midpoint of the price range set forth on the cover page of this prospectus, and (ii) an assumed % tax withholding rate.</w:t>
      </w:r>
    </w:p>
    <w:p>
      <w:pPr>
        <w:spacing w:after="0" w:line="1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currently intend to use the remaining net proceeds we receive from this offering for working capital and other general corporate purposes, which may include product and platform development, general and administrative matters, and capital expenditures. We may also use a portion of the remaining net proceeds for the acquisition of, or investment in, technologies, solutions, or businesses that complement our business. However, we do not have agreements or commitments for any material acquisitions or investments outside the ordinary course of business at this time.</w:t>
      </w:r>
    </w:p>
    <w:p>
      <w:pPr>
        <w:spacing w:after="0" w:line="125"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will have broad discretion over the uses of the remaining net proceeds of this offering. We cannot specify with certainty all of the particular uses for the remaining net proceeds to us from this offering. We intend to invest the net proceeds from this offering in short-term, investment-grade interest-bearing securities, such as money market funds, certificates of deposit, commercial paper, and guaranteed obligations of the U.S. government.</w:t>
      </w:r>
    </w:p>
    <w:p>
      <w:pPr>
        <w:spacing w:after="0" w:line="122" w:lineRule="exact"/>
        <w:rPr>
          <w:sz w:val="20"/>
          <w:szCs w:val="20"/>
          <w:color w:val="auto"/>
        </w:rPr>
      </w:pPr>
    </w:p>
    <w:p>
      <w:pPr>
        <w:ind w:right="240" w:firstLine="324"/>
        <w:spacing w:after="0" w:line="260" w:lineRule="auto"/>
        <w:rPr>
          <w:sz w:val="20"/>
          <w:szCs w:val="20"/>
          <w:color w:val="auto"/>
        </w:rPr>
      </w:pPr>
      <w:r>
        <w:rPr>
          <w:rFonts w:ascii="Arial" w:cs="Arial" w:eastAsia="Arial" w:hAnsi="Arial"/>
          <w:sz w:val="18"/>
          <w:szCs w:val="18"/>
          <w:color w:val="auto"/>
        </w:rPr>
        <w:t>A $1.00 increase (decrease) in the assumed initial public offering price of $ per share, which is the midpoint of the offering price range set forth on the cover page of this prospectus, would increase (decrease) the net proceeds to us from this offering by approximately</w:t>
      </w:r>
    </w:p>
    <w:p>
      <w:pPr>
        <w:spacing w:after="0" w:line="2" w:lineRule="exact"/>
        <w:rPr>
          <w:sz w:val="20"/>
          <w:szCs w:val="20"/>
          <w:color w:val="auto"/>
        </w:rPr>
      </w:pPr>
    </w:p>
    <w:p>
      <w:pPr>
        <w:jc w:val="both"/>
        <w:ind w:right="120" w:firstLine="8"/>
        <w:spacing w:after="0" w:line="265" w:lineRule="auto"/>
        <w:tabs>
          <w:tab w:leader="none" w:pos="35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million, assuming the number of shares of our Class A common stock offered by us remains the same and after deducting underwriting discounts and commissions. Similarly, each increase (decrease) of 1.0 million shares in the number of shares of our Class A common stock</w:t>
      </w:r>
    </w:p>
    <w:p>
      <w:pPr>
        <w:jc w:val="both"/>
        <w:ind w:right="40"/>
        <w:spacing w:after="0" w:line="258" w:lineRule="auto"/>
        <w:rPr>
          <w:sz w:val="20"/>
          <w:szCs w:val="20"/>
          <w:color w:val="auto"/>
        </w:rPr>
      </w:pPr>
      <w:r>
        <w:rPr>
          <w:rFonts w:ascii="Arial" w:cs="Arial" w:eastAsia="Arial" w:hAnsi="Arial"/>
          <w:sz w:val="18"/>
          <w:szCs w:val="18"/>
          <w:color w:val="auto"/>
        </w:rPr>
        <w:t>offered would increase (decrease) the net proceeds from this offering by approximately $ million, assuming that the assumed initial public offering price of $ , which is the midpoint of the offering price range set forth on the cover page of this prospectus, remains the same, and after deducting the underwriting discounts and commissions.</w:t>
      </w:r>
    </w:p>
    <w:p>
      <w:pPr>
        <w:spacing w:after="0" w:line="12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Each $1.00 increase (decrease) in the assumed initial public offering price per share of $ , which is the midpoint of the price range set forth on the cover page of this prospectus, assuming no change in the assumed settlement date or applicable tax withholding rate, would increase (decrease) the amount we would be required to pay to satisfy our tax withholding and remittance obligations described above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320" w:top="229" w:right="37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approximately $ million. In addition, each 1.0% increase (decrease) in the tax withholding rate, assuming no change in the assumed initial public offering price per share, would increase (decrease) the amount of tax withholding and remittance obligations described above by approximately $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229"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currently intend to retain all available funds and any future earnings for use in the operation of our business and do not anticipate paying any dividends on our capital stock in the foreseeable future. Additionally, our ability to pay dividends or make distributions is limited by certain restrictions in connection with the Warehouse Credit Facility, the Vista Facility, and ABL Facility. For additional information regarding the Warehouse Credit Facility, the Vista Facility, and ABL Facility, see the section titled “Description of Material Indebtedness.” Additionally, our ability to pay dividends may be further restricted by agreements we may enter into in the future. Any future determination to declare dividends will be made at the discretion of our board of directors and will depend on our financial condition, results of operations, contractual restrictions,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20" w:top="229"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CAPITALIZATION</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300" w:type="dxa"/>
            <w:vAlign w:val="bottom"/>
          </w:tcPr>
          <w:p>
            <w:pPr>
              <w:spacing w:after="0"/>
              <w:rPr>
                <w:sz w:val="20"/>
                <w:szCs w:val="20"/>
                <w:color w:val="auto"/>
              </w:rPr>
            </w:pPr>
            <w:r>
              <w:rPr>
                <w:rFonts w:ascii="Arial" w:cs="Arial" w:eastAsia="Arial" w:hAnsi="Arial"/>
                <w:sz w:val="18"/>
                <w:szCs w:val="18"/>
                <w:color w:val="auto"/>
              </w:rPr>
              <w:t>The following table sets forth our cash and cash equivalents and our capitalization as of</w:t>
            </w:r>
          </w:p>
        </w:tc>
        <w:tc>
          <w:tcPr>
            <w:tcW w:w="1200" w:type="dxa"/>
            <w:vAlign w:val="bottom"/>
          </w:tcPr>
          <w:p>
            <w:pPr>
              <w:ind w:left="360"/>
              <w:spacing w:after="0"/>
              <w:rPr>
                <w:sz w:val="20"/>
                <w:szCs w:val="20"/>
                <w:color w:val="auto"/>
              </w:rPr>
            </w:pPr>
            <w:r>
              <w:rPr>
                <w:rFonts w:ascii="Arial" w:cs="Arial" w:eastAsia="Arial" w:hAnsi="Arial"/>
                <w:sz w:val="18"/>
                <w:szCs w:val="18"/>
                <w:color w:val="auto"/>
                <w:w w:val="96"/>
              </w:rPr>
              <w:t>, 2025, on:</w:t>
            </w:r>
          </w:p>
        </w:tc>
      </w:tr>
    </w:tbl>
    <w:p>
      <w:pPr>
        <w:spacing w:after="0" w:line="13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pro forma basis, which reflects (i) the automatic conversion of all outstanding shares of our redeemable convertible preferred stock</w:t>
      </w:r>
    </w:p>
    <w:p>
      <w:pPr>
        <w:spacing w:after="0" w:line="39" w:lineRule="exact"/>
        <w:rPr>
          <w:sz w:val="20"/>
          <w:szCs w:val="20"/>
          <w:color w:val="auto"/>
        </w:rPr>
      </w:pPr>
    </w:p>
    <w:p>
      <w:pPr>
        <w:ind w:left="660" w:right="120"/>
        <w:spacing w:after="0" w:line="250" w:lineRule="auto"/>
        <w:rPr>
          <w:sz w:val="20"/>
          <w:szCs w:val="20"/>
          <w:color w:val="auto"/>
        </w:rPr>
      </w:pPr>
      <w:r>
        <w:rPr>
          <w:rFonts w:ascii="Arial" w:cs="Arial" w:eastAsia="Arial" w:hAnsi="Arial"/>
          <w:sz w:val="18"/>
          <w:szCs w:val="18"/>
          <w:color w:val="auto"/>
        </w:rPr>
        <w:t>outstanding as of , 2025, into shares of our Class A common stock pursuant to the Capital Stock Conversion in connection with the closing of this offering pursuant to the terms of our amended and restated certificate of incorporation, (ii) the conversion of the aggregate principal and accrued and unpaid interest on the Convertible Notes pursuant to the Note Conversion, into shares of our Class A common stock, based upon (A) the assumed initial public offering price of $ per share, which is the midpoint of the offering price range set forth on the cover page of this prospectus, and (B) an assumed closing date of this</w:t>
      </w:r>
    </w:p>
    <w:p>
      <w:pPr>
        <w:spacing w:after="0" w:line="2" w:lineRule="exact"/>
        <w:rPr>
          <w:sz w:val="20"/>
          <w:szCs w:val="20"/>
          <w:color w:val="auto"/>
        </w:rPr>
      </w:pPr>
    </w:p>
    <w:p>
      <w:pPr>
        <w:ind w:left="660" w:right="200"/>
        <w:spacing w:after="0" w:line="253" w:lineRule="auto"/>
        <w:rPr>
          <w:sz w:val="20"/>
          <w:szCs w:val="20"/>
          <w:color w:val="auto"/>
        </w:rPr>
      </w:pPr>
      <w:r>
        <w:rPr>
          <w:rFonts w:ascii="Arial" w:cs="Arial" w:eastAsia="Arial" w:hAnsi="Arial"/>
          <w:sz w:val="18"/>
          <w:szCs w:val="18"/>
          <w:color w:val="auto"/>
        </w:rPr>
        <w:t>offering of , 2025, including the reclassification of the embedded derivative liability related to the Convertible Notes to additional paid-in capital, (iii) the conversion of the aggregate principal and accrued and unpaid interest on the outstanding SAFEs</w:t>
      </w:r>
    </w:p>
    <w:p>
      <w:pPr>
        <w:sectPr>
          <w:pgSz w:w="11900" w:h="16838" w:orient="portrait"/>
          <w:cols w:equalWidth="0" w:num="1">
            <w:col w:w="11180"/>
          </w:cols>
          <w:pgMar w:left="320" w:top="229" w:right="399" w:bottom="1440" w:gutter="0" w:footer="0" w:header="0"/>
        </w:sectPr>
      </w:pPr>
    </w:p>
    <w:p>
      <w:pPr>
        <w:ind w:left="660" w:right="40"/>
        <w:spacing w:after="0" w:line="250" w:lineRule="auto"/>
        <w:rPr>
          <w:sz w:val="20"/>
          <w:szCs w:val="20"/>
          <w:color w:val="auto"/>
        </w:rPr>
      </w:pPr>
      <w:r>
        <w:rPr>
          <w:rFonts w:ascii="Arial" w:cs="Arial" w:eastAsia="Arial" w:hAnsi="Arial"/>
          <w:sz w:val="18"/>
          <w:szCs w:val="18"/>
          <w:color w:val="auto"/>
        </w:rPr>
        <w:t>pursuant to the SAFE Conversion, into shares of our Class A common stock, based upon (A) the assumed initial public offering price of $ per share, which is the midpoint of the offering price range set forth on the cover page of this prospectus, and (B) an assumed closing date of this offering of , 2025, (iv) the net issuance of shares of Class A common stock in connection with the RSU Net Settlement, after withholding shares to satisfy estimated tax withholding and remittance obligations of $ million, based on (A) the assumed initial public offering price of $ per share, the midpoint of the price range set forth on the cover page of this prospectus, and (B) an assumed % tax withholding rate, (v) the automatic conversion of the</w:t>
      </w:r>
    </w:p>
    <w:p>
      <w:pPr>
        <w:sectPr>
          <w:pgSz w:w="11900" w:h="16838" w:orient="portrait"/>
          <w:cols w:equalWidth="0" w:num="1">
            <w:col w:w="11180"/>
          </w:cols>
          <w:pgMar w:left="320" w:top="229" w:right="399" w:bottom="1440" w:gutter="0" w:footer="0" w:header="0"/>
          <w:type w:val="continuous"/>
        </w:sectPr>
      </w:pPr>
    </w:p>
    <w:p>
      <w:pPr>
        <w:spacing w:after="0" w:line="2"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redeemable convertible preferred stock warrant to a Class A common stock warrant, and the resulting remeasurement and assumed reclassification of the redeemable convertible preferred stock warrant liability to additional paid-in capital, and (vi) the filing and effectiveness of our amended and restated certificate of incorporation that will become effective immediately prior to the completion of this offering; and</w:t>
      </w:r>
    </w:p>
    <w:p>
      <w:pPr>
        <w:sectPr>
          <w:pgSz w:w="11900" w:h="16838" w:orient="portrait"/>
          <w:cols w:equalWidth="0" w:num="1">
            <w:col w:w="11180"/>
          </w:cols>
          <w:pgMar w:left="320" w:top="229" w:right="399" w:bottom="1440" w:gutter="0" w:footer="0" w:header="0"/>
          <w:type w:val="continuous"/>
        </w:sectPr>
      </w:pP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80" w:hanging="4"/>
        <w:spacing w:after="0" w:line="278" w:lineRule="auto"/>
        <w:rPr>
          <w:sz w:val="20"/>
          <w:szCs w:val="20"/>
          <w:color w:val="auto"/>
        </w:rPr>
      </w:pPr>
      <w:r>
        <w:rPr>
          <w:rFonts w:ascii="Arial" w:cs="Arial" w:eastAsia="Arial" w:hAnsi="Arial"/>
          <w:sz w:val="18"/>
          <w:szCs w:val="18"/>
          <w:color w:val="auto"/>
        </w:rPr>
        <w:t>a pro forma as adjusted basis, which reflects (i) the pro forma adjustments set forth above, (ii) the sale and issuance of</w:t>
      </w:r>
      <w:r>
        <w:rPr>
          <w:sz w:val="20"/>
          <w:szCs w:val="20"/>
          <w:color w:val="auto"/>
        </w:rPr>
        <w:t xml:space="preserve"> </w:t>
      </w:r>
      <w:r>
        <w:rPr>
          <w:rFonts w:ascii="Arial" w:cs="Arial" w:eastAsia="Arial" w:hAnsi="Arial"/>
          <w:sz w:val="18"/>
          <w:szCs w:val="18"/>
          <w:color w:val="auto"/>
        </w:rPr>
        <w:t>shares of our Class A common stock in this offering at an assumed initial public offering price of $ per share, which is the midpoint of the offering price range set forth on the cover page of this prospectus, and our receipt of $ million in estimated net proceeds from</w:t>
      </w:r>
    </w:p>
    <w:p>
      <w:pPr>
        <w:spacing w:after="0" w:line="191" w:lineRule="exact"/>
        <w:rPr>
          <w:sz w:val="20"/>
          <w:szCs w:val="20"/>
          <w:color w:val="auto"/>
        </w:rPr>
      </w:pPr>
    </w:p>
    <w:p>
      <w:pPr>
        <w:sectPr>
          <w:pgSz w:w="11900" w:h="16838" w:orient="portrait"/>
          <w:cols w:equalWidth="0" w:num="2">
            <w:col w:w="400" w:space="260"/>
            <w:col w:w="10520"/>
          </w:cols>
          <w:pgMar w:left="320" w:top="229" w:right="399" w:bottom="1440" w:gutter="0" w:footer="0" w:header="0"/>
          <w:type w:val="continuous"/>
        </w:sectPr>
      </w:pPr>
    </w:p>
    <w:p>
      <w:pPr>
        <w:ind w:left="660" w:right="580"/>
        <w:spacing w:after="0" w:line="263" w:lineRule="auto"/>
        <w:rPr>
          <w:sz w:val="20"/>
          <w:szCs w:val="20"/>
          <w:color w:val="auto"/>
        </w:rPr>
      </w:pPr>
      <w:r>
        <w:rPr>
          <w:rFonts w:ascii="Arial" w:cs="Arial" w:eastAsia="Arial" w:hAnsi="Arial"/>
          <w:sz w:val="17"/>
          <w:szCs w:val="17"/>
          <w:color w:val="auto"/>
        </w:rPr>
        <w:t>the offering, after deducting underwriting discounts and commissions and estimated offering expenses, and (iii) the use of net proceeds from this offering, together with existing cash and cash equivalents, if necessary, to (A) satisfy the estimated tax withholding and remittance obligations reflected in the pro forma adjustments described in the preceding bullet and (B) repay</w:t>
      </w:r>
    </w:p>
    <w:p>
      <w:pPr>
        <w:spacing w:after="0" w:line="1" w:lineRule="exact"/>
        <w:rPr>
          <w:sz w:val="20"/>
          <w:szCs w:val="20"/>
          <w:color w:val="auto"/>
        </w:rPr>
      </w:pPr>
    </w:p>
    <w:p>
      <w:pPr>
        <w:ind w:left="1060" w:hanging="40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million in outstanding loans under and terminate the Vista Facility.</w:t>
      </w:r>
    </w:p>
    <w:p>
      <w:pPr>
        <w:spacing w:after="0" w:line="153"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information below is illustrative only and our capitalization following this offering will be adjusted based on the actual initial public offering price and other terms of the offering determined at pricing. You should read this table together with our consolidated financial statements and the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320" w:top="229" w:right="39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and the section titled “Management’s Discussion and Analysis of Financial Condition and Results of Operations,” that are included elsewhere in this prospectus.</w:t>
      </w:r>
    </w:p>
    <w:p>
      <w:pPr>
        <w:spacing w:after="0" w:line="149"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 2025</w:t>
      </w:r>
    </w:p>
    <w:p>
      <w:pPr>
        <w:spacing w:after="0" w:line="35" w:lineRule="exact"/>
        <w:rPr>
          <w:sz w:val="20"/>
          <w:szCs w:val="20"/>
          <w:color w:val="auto"/>
        </w:rPr>
      </w:pPr>
    </w:p>
    <w:tbl>
      <w:tblPr>
        <w:tblLayout w:type="fixed"/>
        <w:tblInd w:w="6340" w:type="dxa"/>
        <w:tblCellMar>
          <w:top w:w="0" w:type="dxa"/>
          <w:left w:w="0" w:type="dxa"/>
          <w:bottom w:w="0" w:type="dxa"/>
          <w:right w:w="0" w:type="dxa"/>
        </w:tblCellMar>
      </w:tblPr>
      <w:tr>
        <w:trPr>
          <w:trHeight w:val="146"/>
        </w:trPr>
        <w:tc>
          <w:tcPr>
            <w:tcW w:w="1560" w:type="dxa"/>
            <w:vAlign w:val="bottom"/>
            <w:tcBorders>
              <w:top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Actual</w:t>
            </w:r>
          </w:p>
        </w:tc>
        <w:tc>
          <w:tcPr>
            <w:tcW w:w="1680" w:type="dxa"/>
            <w:vAlign w:val="bottom"/>
            <w:tcBorders>
              <w:top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Pro Forma</w:t>
            </w:r>
          </w:p>
        </w:tc>
        <w:tc>
          <w:tcPr>
            <w:tcW w:w="1660" w:type="dxa"/>
            <w:vAlign w:val="bottom"/>
            <w:tcBorders>
              <w:top w:val="single" w:sz="8" w:color="auto"/>
            </w:tcBorders>
          </w:tcPr>
          <w:p>
            <w:pPr>
              <w:jc w:val="center"/>
              <w:ind w:left="28"/>
              <w:spacing w:after="0" w:line="146"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232"/>
        </w:trPr>
        <w:tc>
          <w:tcPr>
            <w:tcW w:w="1560" w:type="dxa"/>
            <w:vAlign w:val="bottom"/>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166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-19685</wp:posOffset>
            </wp:positionV>
            <wp:extent cx="3111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cash, current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Debt, current and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ABL Facility</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40"/>
        <w:spacing w:after="0" w:line="217" w:lineRule="auto"/>
        <w:rPr>
          <w:sz w:val="20"/>
          <w:szCs w:val="20"/>
          <w:color w:val="auto"/>
        </w:rPr>
      </w:pPr>
      <w:r>
        <w:rPr>
          <w:rFonts w:ascii="Arial" w:cs="Arial" w:eastAsia="Arial" w:hAnsi="Arial"/>
          <w:sz w:val="16"/>
          <w:szCs w:val="16"/>
          <w:color w:val="auto"/>
        </w:rPr>
        <w:t>Vista Facility</w:t>
      </w:r>
      <w:r>
        <w:rPr>
          <w:rFonts w:ascii="Arial" w:cs="Arial" w:eastAsia="Arial" w:hAnsi="Arial"/>
          <w:sz w:val="21"/>
          <w:szCs w:val="21"/>
          <w:color w:val="auto"/>
          <w:vertAlign w:val="superscript"/>
        </w:rPr>
        <w:t>(3)</w:t>
      </w:r>
    </w:p>
    <w:p>
      <w:pPr>
        <w:ind w:left="240"/>
        <w:spacing w:after="0"/>
        <w:rPr>
          <w:sz w:val="20"/>
          <w:szCs w:val="20"/>
          <w:color w:val="auto"/>
        </w:rPr>
      </w:pPr>
      <w:r>
        <w:rPr>
          <w:rFonts w:ascii="Arial" w:cs="Arial" w:eastAsia="Arial" w:hAnsi="Arial"/>
          <w:sz w:val="16"/>
          <w:szCs w:val="16"/>
          <w:color w:val="auto"/>
        </w:rPr>
        <w:t>Trade loan facility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Warehouse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Convertible notes, net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Simple agreements for future equity (SAFEs)</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Total debt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non-current liabilities</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Redeemable convertible preferred stock; $0.00000625 par value per</w:t>
      </w:r>
    </w:p>
    <w:p>
      <w:pPr>
        <w:spacing w:after="0" w:line="5" w:lineRule="exact"/>
        <w:rPr>
          <w:sz w:val="20"/>
          <w:szCs w:val="20"/>
          <w:color w:val="auto"/>
        </w:rPr>
      </w:pPr>
    </w:p>
    <w:p>
      <w:pPr>
        <w:ind w:left="180" w:right="5040"/>
        <w:spacing w:after="0" w:line="264" w:lineRule="auto"/>
        <w:rPr>
          <w:sz w:val="20"/>
          <w:szCs w:val="20"/>
          <w:color w:val="auto"/>
        </w:rPr>
      </w:pPr>
      <w:r>
        <w:rPr>
          <w:rFonts w:ascii="Arial" w:cs="Arial" w:eastAsia="Arial" w:hAnsi="Arial"/>
          <w:sz w:val="16"/>
          <w:szCs w:val="16"/>
          <w:color w:val="auto"/>
        </w:rPr>
        <w:t>share; 471,082,741 shares authorized, 439,080,808 shares issued and outstanding, actual; no shares authorized, issued, and outstanding, pro forma and pro forma as adjusted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 equity:</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2"/>
        </w:trPr>
        <w:tc>
          <w:tcPr>
            <w:tcW w:w="6140" w:type="dxa"/>
            <w:vAlign w:val="bottom"/>
            <w:gridSpan w:val="5"/>
          </w:tcPr>
          <w:p>
            <w:pPr>
              <w:ind w:left="240"/>
              <w:spacing w:after="0"/>
              <w:rPr>
                <w:sz w:val="20"/>
                <w:szCs w:val="20"/>
                <w:color w:val="auto"/>
              </w:rPr>
            </w:pPr>
            <w:r>
              <w:rPr>
                <w:rFonts w:ascii="Arial" w:cs="Arial" w:eastAsia="Arial" w:hAnsi="Arial"/>
                <w:sz w:val="16"/>
                <w:szCs w:val="16"/>
                <w:color w:val="auto"/>
              </w:rPr>
              <w:t>Preferred stock; $0.00000625 par value per share; no shares authorized, issued,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2440" w:type="dxa"/>
            <w:vAlign w:val="bottom"/>
          </w:tcPr>
          <w:p>
            <w:pPr>
              <w:ind w:left="400"/>
              <w:spacing w:after="0"/>
              <w:rPr>
                <w:sz w:val="20"/>
                <w:szCs w:val="20"/>
                <w:color w:val="auto"/>
              </w:rPr>
            </w:pPr>
            <w:r>
              <w:rPr>
                <w:rFonts w:ascii="Arial" w:cs="Arial" w:eastAsia="Arial" w:hAnsi="Arial"/>
                <w:sz w:val="16"/>
                <w:szCs w:val="16"/>
                <w:color w:val="auto"/>
              </w:rPr>
              <w:t>and outstanding, actual;</w:t>
            </w:r>
          </w:p>
        </w:tc>
        <w:tc>
          <w:tcPr>
            <w:tcW w:w="3700" w:type="dxa"/>
            <w:vAlign w:val="bottom"/>
            <w:gridSpan w:val="4"/>
          </w:tcPr>
          <w:p>
            <w:pPr>
              <w:ind w:left="80"/>
              <w:spacing w:after="0"/>
              <w:rPr>
                <w:sz w:val="20"/>
                <w:szCs w:val="20"/>
                <w:color w:val="auto"/>
              </w:rPr>
            </w:pPr>
            <w:r>
              <w:rPr>
                <w:rFonts w:ascii="Arial" w:cs="Arial" w:eastAsia="Arial" w:hAnsi="Arial"/>
                <w:sz w:val="16"/>
                <w:szCs w:val="16"/>
                <w:color w:val="auto"/>
              </w:rPr>
              <w:t>shares authorized, no shares issued and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4200" w:type="dxa"/>
            <w:vAlign w:val="bottom"/>
            <w:gridSpan w:val="3"/>
          </w:tcPr>
          <w:p>
            <w:pPr>
              <w:ind w:left="400"/>
              <w:spacing w:after="0"/>
              <w:rPr>
                <w:sz w:val="20"/>
                <w:szCs w:val="20"/>
                <w:color w:val="auto"/>
              </w:rPr>
            </w:pPr>
            <w:r>
              <w:rPr>
                <w:rFonts w:ascii="Arial" w:cs="Arial" w:eastAsia="Arial" w:hAnsi="Arial"/>
                <w:sz w:val="16"/>
                <w:szCs w:val="16"/>
                <w:color w:val="auto"/>
              </w:rPr>
              <w:t>outstanding, pro forma and pro forma as adjusted</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80" w:type="dxa"/>
            <w:vAlign w:val="bottom"/>
            <w:gridSpan w:val="5"/>
          </w:tcPr>
          <w:p>
            <w:pPr>
              <w:ind w:left="620"/>
              <w:spacing w:after="0"/>
              <w:rPr>
                <w:sz w:val="20"/>
                <w:szCs w:val="20"/>
                <w:color w:val="auto"/>
              </w:rPr>
            </w:pPr>
            <w:r>
              <w:rPr>
                <w:rFonts w:ascii="Arial" w:cs="Arial" w:eastAsia="Arial" w:hAnsi="Arial"/>
                <w:sz w:val="16"/>
                <w:szCs w:val="16"/>
                <w:color w:val="auto"/>
              </w:rPr>
              <w:t>—</w:t>
            </w:r>
          </w:p>
        </w:tc>
      </w:tr>
      <w:tr>
        <w:trPr>
          <w:trHeight w:val="203"/>
        </w:trPr>
        <w:tc>
          <w:tcPr>
            <w:tcW w:w="42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Common stock; $0.00000625 par value per share;</w:t>
            </w: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shares authorized,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3"/>
        </w:trPr>
        <w:tc>
          <w:tcPr>
            <w:tcW w:w="6140" w:type="dxa"/>
            <w:vAlign w:val="bottom"/>
            <w:gridSpan w:val="5"/>
            <w:shd w:val="clear" w:color="auto" w:fill="CCEEFF"/>
          </w:tcPr>
          <w:p>
            <w:pPr>
              <w:ind w:left="400"/>
              <w:spacing w:after="0"/>
              <w:rPr>
                <w:sz w:val="20"/>
                <w:szCs w:val="20"/>
                <w:color w:val="auto"/>
              </w:rPr>
            </w:pPr>
            <w:r>
              <w:rPr>
                <w:rFonts w:ascii="Arial" w:cs="Arial" w:eastAsia="Arial" w:hAnsi="Arial"/>
                <w:sz w:val="16"/>
                <w:szCs w:val="16"/>
                <w:color w:val="auto"/>
              </w:rPr>
              <w:t>shares issued and outstanding, actual; no shares authorized, issued and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420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outstanding, pro forma and pro forma as adjusted</w:t>
            </w:r>
          </w:p>
        </w:tc>
        <w:tc>
          <w:tcPr>
            <w:tcW w:w="3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02"/>
        </w:trPr>
        <w:tc>
          <w:tcPr>
            <w:tcW w:w="6140" w:type="dxa"/>
            <w:vAlign w:val="bottom"/>
            <w:gridSpan w:val="5"/>
          </w:tcPr>
          <w:p>
            <w:pPr>
              <w:ind w:left="240"/>
              <w:spacing w:after="0"/>
              <w:rPr>
                <w:sz w:val="20"/>
                <w:szCs w:val="20"/>
                <w:color w:val="auto"/>
              </w:rPr>
            </w:pPr>
            <w:r>
              <w:rPr>
                <w:rFonts w:ascii="Arial" w:cs="Arial" w:eastAsia="Arial" w:hAnsi="Arial"/>
                <w:sz w:val="16"/>
                <w:szCs w:val="16"/>
                <w:color w:val="auto"/>
              </w:rPr>
              <w:t>Class A common stock; $0.00000625 par value per share; no shares authorized,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2760" w:type="dxa"/>
            <w:vAlign w:val="bottom"/>
            <w:gridSpan w:val="2"/>
          </w:tcPr>
          <w:p>
            <w:pPr>
              <w:ind w:left="400"/>
              <w:spacing w:after="0"/>
              <w:rPr>
                <w:sz w:val="20"/>
                <w:szCs w:val="20"/>
                <w:color w:val="auto"/>
              </w:rPr>
            </w:pPr>
            <w:r>
              <w:rPr>
                <w:rFonts w:ascii="Arial" w:cs="Arial" w:eastAsia="Arial" w:hAnsi="Arial"/>
                <w:sz w:val="16"/>
                <w:szCs w:val="16"/>
                <w:color w:val="auto"/>
              </w:rPr>
              <w:t>issued, and outstanding, actual;</w:t>
            </w:r>
          </w:p>
        </w:tc>
        <w:tc>
          <w:tcPr>
            <w:tcW w:w="3380" w:type="dxa"/>
            <w:vAlign w:val="bottom"/>
            <w:gridSpan w:val="3"/>
          </w:tcPr>
          <w:p>
            <w:pPr>
              <w:ind w:left="320"/>
              <w:spacing w:after="0"/>
              <w:rPr>
                <w:sz w:val="20"/>
                <w:szCs w:val="20"/>
                <w:color w:val="auto"/>
              </w:rPr>
            </w:pPr>
            <w:r>
              <w:rPr>
                <w:rFonts w:ascii="Arial" w:cs="Arial" w:eastAsia="Arial" w:hAnsi="Arial"/>
                <w:sz w:val="16"/>
                <w:szCs w:val="16"/>
                <w:color w:val="auto"/>
              </w:rPr>
              <w:t>shares authorized, no shares issued and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9"/>
        </w:trPr>
        <w:tc>
          <w:tcPr>
            <w:tcW w:w="2440" w:type="dxa"/>
            <w:vAlign w:val="bottom"/>
          </w:tcPr>
          <w:p>
            <w:pPr>
              <w:ind w:left="400"/>
              <w:spacing w:after="0"/>
              <w:rPr>
                <w:sz w:val="20"/>
                <w:szCs w:val="20"/>
                <w:color w:val="auto"/>
              </w:rPr>
            </w:pPr>
            <w:r>
              <w:rPr>
                <w:rFonts w:ascii="Arial" w:cs="Arial" w:eastAsia="Arial" w:hAnsi="Arial"/>
                <w:sz w:val="16"/>
                <w:szCs w:val="16"/>
                <w:color w:val="auto"/>
              </w:rPr>
              <w:t>outstanding, pro forma;</w:t>
            </w: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shares authorized,</w:t>
            </w:r>
          </w:p>
        </w:tc>
        <w:tc>
          <w:tcPr>
            <w:tcW w:w="1940" w:type="dxa"/>
            <w:vAlign w:val="bottom"/>
            <w:gridSpan w:val="2"/>
          </w:tcPr>
          <w:p>
            <w:pPr>
              <w:ind w:left="20"/>
              <w:spacing w:after="0"/>
              <w:rPr>
                <w:sz w:val="20"/>
                <w:szCs w:val="20"/>
                <w:color w:val="auto"/>
              </w:rPr>
            </w:pPr>
            <w:r>
              <w:rPr>
                <w:rFonts w:ascii="Arial" w:cs="Arial" w:eastAsia="Arial" w:hAnsi="Arial"/>
                <w:sz w:val="16"/>
                <w:szCs w:val="16"/>
                <w:color w:val="auto"/>
              </w:rPr>
              <w:t>shares issued and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43"/>
        </w:trPr>
        <w:tc>
          <w:tcPr>
            <w:tcW w:w="4200" w:type="dxa"/>
            <w:vAlign w:val="bottom"/>
            <w:gridSpan w:val="3"/>
          </w:tcPr>
          <w:p>
            <w:pPr>
              <w:ind w:left="400"/>
              <w:spacing w:after="0"/>
              <w:rPr>
                <w:sz w:val="20"/>
                <w:szCs w:val="20"/>
                <w:color w:val="auto"/>
              </w:rPr>
            </w:pPr>
            <w:r>
              <w:rPr>
                <w:rFonts w:ascii="Arial" w:cs="Arial" w:eastAsia="Arial" w:hAnsi="Arial"/>
                <w:sz w:val="16"/>
                <w:szCs w:val="16"/>
                <w:color w:val="auto"/>
              </w:rPr>
              <w:t>outstanding, pro forma as adjusted</w:t>
            </w: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180" w:type="dxa"/>
            <w:vAlign w:val="bottom"/>
            <w:gridSpan w:val="5"/>
          </w:tcPr>
          <w:p>
            <w:pPr>
              <w:ind w:left="620"/>
              <w:spacing w:after="0"/>
              <w:rPr>
                <w:sz w:val="20"/>
                <w:szCs w:val="20"/>
                <w:color w:val="auto"/>
              </w:rPr>
            </w:pPr>
            <w:r>
              <w:rPr>
                <w:rFonts w:ascii="Arial" w:cs="Arial" w:eastAsia="Arial" w:hAnsi="Arial"/>
                <w:sz w:val="16"/>
                <w:szCs w:val="16"/>
                <w:color w:val="auto"/>
              </w:rPr>
              <w:t>—</w:t>
            </w:r>
          </w:p>
        </w:tc>
      </w:tr>
      <w:tr>
        <w:trPr>
          <w:trHeight w:val="203"/>
        </w:trPr>
        <w:tc>
          <w:tcPr>
            <w:tcW w:w="614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Class B common stock; $0.00000625 par value per share; no shares authorized,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3"/>
        </w:trPr>
        <w:tc>
          <w:tcPr>
            <w:tcW w:w="2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issued, and outstanding, actual;</w:t>
            </w:r>
          </w:p>
        </w:tc>
        <w:tc>
          <w:tcPr>
            <w:tcW w:w="17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shares authorized,</w:t>
            </w:r>
          </w:p>
        </w:tc>
        <w:tc>
          <w:tcPr>
            <w:tcW w:w="1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shares issued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89"/>
        </w:trPr>
        <w:tc>
          <w:tcPr>
            <w:tcW w:w="2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and outstanding, pro forma;</w:t>
            </w: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shares authorized,</w:t>
            </w: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shares issued and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44"/>
        </w:trPr>
        <w:tc>
          <w:tcPr>
            <w:tcW w:w="420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outstanding, pro forma as adjusted</w:t>
            </w:r>
          </w:p>
        </w:tc>
        <w:tc>
          <w:tcPr>
            <w:tcW w:w="3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180" w:type="dxa"/>
            <w:vAlign w:val="bottom"/>
            <w:gridSpan w:val="5"/>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242"/>
        </w:trPr>
        <w:tc>
          <w:tcPr>
            <w:tcW w:w="244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4"/>
        </w:trPr>
        <w:tc>
          <w:tcPr>
            <w:tcW w:w="42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2"/>
        </w:trPr>
        <w:tc>
          <w:tcPr>
            <w:tcW w:w="2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r>
      <w:tr>
        <w:trPr>
          <w:trHeight w:val="210"/>
        </w:trPr>
        <w:tc>
          <w:tcPr>
            <w:tcW w:w="42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Total stockholders’ (deficit) equity</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r>
      <w:tr>
        <w:trPr>
          <w:trHeight w:val="208"/>
        </w:trPr>
        <w:tc>
          <w:tcPr>
            <w:tcW w:w="2440" w:type="dxa"/>
            <w:vAlign w:val="bottom"/>
          </w:tcPr>
          <w:p>
            <w:pPr>
              <w:ind w:left="680"/>
              <w:spacing w:after="0"/>
              <w:rPr>
                <w:sz w:val="20"/>
                <w:szCs w:val="20"/>
                <w:color w:val="auto"/>
              </w:rPr>
            </w:pPr>
            <w:r>
              <w:rPr>
                <w:rFonts w:ascii="Arial" w:cs="Arial" w:eastAsia="Arial" w:hAnsi="Arial"/>
                <w:sz w:val="16"/>
                <w:szCs w:val="16"/>
                <w:color w:val="auto"/>
              </w:rPr>
              <w:t>Total capitalization</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64"/>
        </w:trPr>
        <w:tc>
          <w:tcPr>
            <w:tcW w:w="2440" w:type="dxa"/>
            <w:vAlign w:val="bottom"/>
          </w:tcPr>
          <w:p>
            <w:pPr>
              <w:spacing w:after="0"/>
              <w:rPr>
                <w:sz w:val="20"/>
                <w:szCs w:val="20"/>
                <w:color w:val="auto"/>
              </w:rPr>
            </w:pPr>
            <w:r>
              <w:rPr>
                <w:rFonts w:ascii="Arial" w:cs="Arial" w:eastAsia="Arial" w:hAnsi="Arial"/>
                <w:sz w:val="16"/>
                <w:szCs w:val="16"/>
                <w:color w:val="auto"/>
              </w:rPr>
              <w:t>_______________</w:t>
            </w: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05"/>
        </w:trPr>
        <w:tc>
          <w:tcPr>
            <w:tcW w:w="6140" w:type="dxa"/>
            <w:vAlign w:val="bottom"/>
            <w:gridSpan w:val="5"/>
          </w:tcPr>
          <w:p>
            <w:pPr>
              <w:spacing w:after="0"/>
              <w:rPr>
                <w:sz w:val="20"/>
                <w:szCs w:val="20"/>
                <w:color w:val="auto"/>
              </w:rPr>
            </w:pPr>
            <w:r>
              <w:rPr>
                <w:rFonts w:ascii="Arial" w:cs="Arial" w:eastAsia="Arial" w:hAnsi="Arial"/>
                <w:sz w:val="16"/>
                <w:szCs w:val="16"/>
                <w:color w:val="auto"/>
              </w:rPr>
              <w:t>(1) Each $1.00 increase (decrease) in the assumed initial public offering price of $</w:t>
            </w:r>
          </w:p>
        </w:tc>
        <w:tc>
          <w:tcPr>
            <w:tcW w:w="5100" w:type="dxa"/>
            <w:vAlign w:val="bottom"/>
            <w:gridSpan w:val="7"/>
          </w:tcPr>
          <w:p>
            <w:pPr>
              <w:ind w:left="120"/>
              <w:spacing w:after="0"/>
              <w:rPr>
                <w:sz w:val="20"/>
                <w:szCs w:val="20"/>
                <w:color w:val="auto"/>
              </w:rPr>
            </w:pPr>
            <w:r>
              <w:rPr>
                <w:rFonts w:ascii="Arial" w:cs="Arial" w:eastAsia="Arial" w:hAnsi="Arial"/>
                <w:sz w:val="16"/>
                <w:szCs w:val="16"/>
                <w:color w:val="auto"/>
              </w:rPr>
              <w:t>per share, which is the midpoint of the offering price range set forth</w:t>
            </w:r>
          </w:p>
        </w:tc>
      </w:tr>
    </w:tbl>
    <w:p>
      <w:pPr>
        <w:ind w:left="340" w:right="240"/>
        <w:spacing w:after="0" w:line="283" w:lineRule="auto"/>
        <w:rPr>
          <w:sz w:val="20"/>
          <w:szCs w:val="20"/>
          <w:color w:val="auto"/>
        </w:rPr>
      </w:pPr>
      <w:r>
        <w:rPr>
          <w:rFonts w:ascii="Arial" w:cs="Arial" w:eastAsia="Arial" w:hAnsi="Arial"/>
          <w:sz w:val="16"/>
          <w:szCs w:val="16"/>
          <w:color w:val="auto"/>
        </w:rPr>
        <w:t>on the cover page of this prospectus, would increase (decrease) our pro forma as adjusted cash and cash equivalents, additional paid-in capital, total stockholders’ (deficit) equity, and total capitalization by $ million, assuming that the number of shares offered by us, as set forth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22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line="255" w:lineRule="auto"/>
        <w:rPr>
          <w:sz w:val="20"/>
          <w:szCs w:val="20"/>
          <w:color w:val="auto"/>
        </w:rPr>
      </w:pPr>
      <w:r>
        <w:rPr>
          <w:rFonts w:ascii="Arial" w:cs="Arial" w:eastAsia="Arial" w:hAnsi="Arial"/>
          <w:sz w:val="16"/>
          <w:szCs w:val="16"/>
          <w:color w:val="auto"/>
        </w:rPr>
        <w:t>cover page of this prospectus, remains the same and after deducting the underwriting discounts and commissions. Similarly, each increase (decrease) of 1.0 million shares in the number of shares of our Class A common stock offered by us would increase (decrease) the amount of our pro forma as adjusted cash and cash equivalents, additional paid-in capital, total stockholders’ (deficit) equity, and total capitalization by $ million, assuming that the assumed initial public offering price remains the same, and after deducting the underwriting discounts and commissions. If the underwriters’ option to purchase additional shares is exercised in full, the pro forma as adjusted amount of each of cash and cash equivalents, additional paid-in capital, total stockholders’ (deficit) equity, and total capitalization would increase by $ million, and after deducting underwriting discounts and commissions, and</w:t>
      </w:r>
    </w:p>
    <w:p>
      <w:pPr>
        <w:spacing w:after="0" w:line="4" w:lineRule="exact"/>
        <w:rPr>
          <w:sz w:val="20"/>
          <w:szCs w:val="20"/>
          <w:color w:val="auto"/>
        </w:rPr>
      </w:pPr>
    </w:p>
    <w:p>
      <w:pPr>
        <w:ind w:left="340"/>
        <w:spacing w:after="0" w:line="254" w:lineRule="auto"/>
        <w:rPr>
          <w:sz w:val="20"/>
          <w:szCs w:val="20"/>
          <w:color w:val="auto"/>
        </w:rPr>
      </w:pPr>
      <w:r>
        <w:rPr>
          <w:rFonts w:ascii="Arial" w:cs="Arial" w:eastAsia="Arial" w:hAnsi="Arial"/>
          <w:sz w:val="16"/>
          <w:szCs w:val="16"/>
          <w:color w:val="auto"/>
        </w:rPr>
        <w:t>we would have shares of our Class A common stock and shares of our Class B common stock issued and outstanding. In addition, each 1.0% increase (decrease) in the assumed tax withholding rates would increase (decrease) the amount of estimated tax withholding and remittance obligations related to the RSU Net Settlement and decrease (increase) as adjusted cash and cash equivalents, total stockholders’ (deficit) equity and capitalization by $ , assuming that the assumed initial public offering price remains the same, that the number of shares of Class A common stock offered by us, as set forth on the cover page of this prospectus, remains the same, and after deducting underwriting discounts and commissions. Each $1.00 increase (decrease) in the assumed initial public offering price per share of $ , which is the midpoint of the offering price range set forth on the cover page of this prospectus, would increase (decrease) the amount of estimated tax withholding and remittance obligations related to the RSU Net Settlement and decrease (increase) as adjusted cash and cash equivalents, total stockholders’ (deficit) equity and capitalization by $ , assuming that the tax withholding rate remains the same, that the number of shares of Class A common stock offered by us, as set forth on the cover page of this prospectus, remains the same, and after deducting underwriting discounts and commissions. Pro forma adjustments in the footnotes above and the related information in the balance sheet data are illustrative only and may differ from actual amounts based on, among other things, the actual initial</w:t>
      </w:r>
    </w:p>
    <w:tbl>
      <w:tblPr>
        <w:tblLayout w:type="fixed"/>
        <w:tblInd w:w="0" w:type="dxa"/>
        <w:tblCellMar>
          <w:top w:w="0" w:type="dxa"/>
          <w:left w:w="0" w:type="dxa"/>
          <w:bottom w:w="0" w:type="dxa"/>
          <w:right w:w="0" w:type="dxa"/>
        </w:tblCellMar>
      </w:tblPr>
      <w:tr>
        <w:trPr>
          <w:trHeight w:val="178"/>
        </w:trPr>
        <w:tc>
          <w:tcPr>
            <w:tcW w:w="260" w:type="dxa"/>
            <w:vAlign w:val="bottom"/>
          </w:tcPr>
          <w:p>
            <w:pPr>
              <w:spacing w:after="0"/>
              <w:rPr>
                <w:sz w:val="15"/>
                <w:szCs w:val="15"/>
                <w:color w:val="auto"/>
              </w:rPr>
            </w:pPr>
          </w:p>
        </w:tc>
        <w:tc>
          <w:tcPr>
            <w:tcW w:w="10880" w:type="dxa"/>
            <w:vAlign w:val="bottom"/>
            <w:gridSpan w:val="3"/>
          </w:tcPr>
          <w:p>
            <w:pPr>
              <w:ind w:left="80"/>
              <w:spacing w:after="0" w:line="178" w:lineRule="exact"/>
              <w:rPr>
                <w:sz w:val="20"/>
                <w:szCs w:val="20"/>
                <w:color w:val="auto"/>
              </w:rPr>
            </w:pPr>
            <w:r>
              <w:rPr>
                <w:rFonts w:ascii="Arial" w:cs="Arial" w:eastAsia="Arial" w:hAnsi="Arial"/>
                <w:sz w:val="16"/>
                <w:szCs w:val="16"/>
                <w:color w:val="auto"/>
              </w:rPr>
              <w:t>public offering price and other terms of this offering determined at pricing, the actual tax withholding rates, as well as the actual amount of RSUs settled</w:t>
            </w:r>
          </w:p>
        </w:tc>
      </w:tr>
      <w:tr>
        <w:trPr>
          <w:trHeight w:val="189"/>
        </w:trPr>
        <w:tc>
          <w:tcPr>
            <w:tcW w:w="260" w:type="dxa"/>
            <w:vAlign w:val="bottom"/>
          </w:tcPr>
          <w:p>
            <w:pPr>
              <w:spacing w:after="0"/>
              <w:rPr>
                <w:sz w:val="16"/>
                <w:szCs w:val="16"/>
                <w:color w:val="auto"/>
              </w:rPr>
            </w:pPr>
          </w:p>
        </w:tc>
        <w:tc>
          <w:tcPr>
            <w:tcW w:w="7760" w:type="dxa"/>
            <w:vAlign w:val="bottom"/>
          </w:tcPr>
          <w:p>
            <w:pPr>
              <w:ind w:left="80"/>
              <w:spacing w:after="0"/>
              <w:rPr>
                <w:sz w:val="20"/>
                <w:szCs w:val="20"/>
                <w:color w:val="auto"/>
              </w:rPr>
            </w:pPr>
            <w:r>
              <w:rPr>
                <w:rFonts w:ascii="Arial" w:cs="Arial" w:eastAsia="Arial" w:hAnsi="Arial"/>
                <w:sz w:val="16"/>
                <w:szCs w:val="16"/>
                <w:color w:val="auto"/>
              </w:rPr>
              <w:t>in connection with this offering.</w:t>
            </w:r>
          </w:p>
        </w:tc>
        <w:tc>
          <w:tcPr>
            <w:tcW w:w="82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02"/>
        </w:trPr>
        <w:tc>
          <w:tcPr>
            <w:tcW w:w="260" w:type="dxa"/>
            <w:vAlign w:val="bottom"/>
          </w:tcPr>
          <w:p>
            <w:pPr>
              <w:jc w:val="right"/>
              <w:spacing w:after="0"/>
              <w:rPr>
                <w:sz w:val="20"/>
                <w:szCs w:val="20"/>
                <w:color w:val="auto"/>
              </w:rPr>
            </w:pPr>
            <w:r>
              <w:rPr>
                <w:rFonts w:ascii="Arial" w:cs="Arial" w:eastAsia="Arial" w:hAnsi="Arial"/>
                <w:sz w:val="16"/>
                <w:szCs w:val="16"/>
                <w:color w:val="auto"/>
                <w:w w:val="91"/>
              </w:rPr>
              <w:t>(2)</w:t>
            </w:r>
          </w:p>
        </w:tc>
        <w:tc>
          <w:tcPr>
            <w:tcW w:w="10880" w:type="dxa"/>
            <w:vAlign w:val="bottom"/>
            <w:gridSpan w:val="3"/>
          </w:tcPr>
          <w:p>
            <w:pPr>
              <w:ind w:left="60"/>
              <w:spacing w:after="0"/>
              <w:rPr>
                <w:sz w:val="20"/>
                <w:szCs w:val="20"/>
                <w:color w:val="auto"/>
              </w:rPr>
            </w:pPr>
            <w:r>
              <w:rPr>
                <w:rFonts w:ascii="Arial" w:cs="Arial" w:eastAsia="Arial" w:hAnsi="Arial"/>
                <w:sz w:val="16"/>
                <w:szCs w:val="16"/>
                <w:color w:val="auto"/>
              </w:rPr>
              <w:t>ABL Facility consists of $100 million of principal amount under a revolving credit facility, net of unamortized debt issuance costs of $ million.</w:t>
            </w:r>
          </w:p>
        </w:tc>
      </w:tr>
      <w:tr>
        <w:trPr>
          <w:trHeight w:val="189"/>
        </w:trPr>
        <w:tc>
          <w:tcPr>
            <w:tcW w:w="260" w:type="dxa"/>
            <w:vAlign w:val="bottom"/>
          </w:tcPr>
          <w:p>
            <w:pPr>
              <w:jc w:val="right"/>
              <w:spacing w:after="0"/>
              <w:rPr>
                <w:sz w:val="20"/>
                <w:szCs w:val="20"/>
                <w:color w:val="auto"/>
              </w:rPr>
            </w:pPr>
            <w:r>
              <w:rPr>
                <w:rFonts w:ascii="Arial" w:cs="Arial" w:eastAsia="Arial" w:hAnsi="Arial"/>
                <w:sz w:val="16"/>
                <w:szCs w:val="16"/>
                <w:color w:val="auto"/>
                <w:w w:val="91"/>
              </w:rPr>
              <w:t>(3)</w:t>
            </w:r>
          </w:p>
        </w:tc>
        <w:tc>
          <w:tcPr>
            <w:tcW w:w="8580" w:type="dxa"/>
            <w:vAlign w:val="bottom"/>
            <w:gridSpan w:val="2"/>
          </w:tcPr>
          <w:p>
            <w:pPr>
              <w:ind w:left="60"/>
              <w:spacing w:after="0"/>
              <w:rPr>
                <w:sz w:val="20"/>
                <w:szCs w:val="20"/>
                <w:color w:val="auto"/>
              </w:rPr>
            </w:pPr>
            <w:r>
              <w:rPr>
                <w:rFonts w:ascii="Arial" w:cs="Arial" w:eastAsia="Arial" w:hAnsi="Arial"/>
                <w:sz w:val="16"/>
                <w:szCs w:val="16"/>
                <w:color w:val="auto"/>
              </w:rPr>
              <w:t>Vista Facility consists of $130 million of principal amount, net of unamortized debt discount and issuance costs of $</w:t>
            </w:r>
          </w:p>
        </w:tc>
        <w:tc>
          <w:tcPr>
            <w:tcW w:w="2300" w:type="dxa"/>
            <w:vAlign w:val="bottom"/>
          </w:tcPr>
          <w:p>
            <w:pPr>
              <w:ind w:left="60"/>
              <w:spacing w:after="0"/>
              <w:rPr>
                <w:sz w:val="20"/>
                <w:szCs w:val="20"/>
                <w:color w:val="auto"/>
              </w:rPr>
            </w:pPr>
            <w:r>
              <w:rPr>
                <w:rFonts w:ascii="Arial" w:cs="Arial" w:eastAsia="Arial" w:hAnsi="Arial"/>
                <w:sz w:val="16"/>
                <w:szCs w:val="16"/>
                <w:color w:val="auto"/>
              </w:rPr>
              <w:t>million.</w:t>
            </w:r>
          </w:p>
        </w:tc>
      </w:tr>
      <w:tr>
        <w:trPr>
          <w:trHeight w:val="203"/>
        </w:trPr>
        <w:tc>
          <w:tcPr>
            <w:tcW w:w="260" w:type="dxa"/>
            <w:vAlign w:val="bottom"/>
          </w:tcPr>
          <w:p>
            <w:pPr>
              <w:jc w:val="right"/>
              <w:spacing w:after="0"/>
              <w:rPr>
                <w:sz w:val="20"/>
                <w:szCs w:val="20"/>
                <w:color w:val="auto"/>
              </w:rPr>
            </w:pPr>
            <w:r>
              <w:rPr>
                <w:rFonts w:ascii="Arial" w:cs="Arial" w:eastAsia="Arial" w:hAnsi="Arial"/>
                <w:sz w:val="16"/>
                <w:szCs w:val="16"/>
                <w:color w:val="auto"/>
                <w:w w:val="91"/>
              </w:rPr>
              <w:t>(4)</w:t>
            </w:r>
          </w:p>
        </w:tc>
        <w:tc>
          <w:tcPr>
            <w:tcW w:w="7760" w:type="dxa"/>
            <w:vAlign w:val="bottom"/>
          </w:tcPr>
          <w:p>
            <w:pPr>
              <w:ind w:left="60"/>
              <w:spacing w:after="0"/>
              <w:rPr>
                <w:sz w:val="20"/>
                <w:szCs w:val="20"/>
                <w:color w:val="auto"/>
              </w:rPr>
            </w:pPr>
            <w:r>
              <w:rPr>
                <w:rFonts w:ascii="Arial" w:cs="Arial" w:eastAsia="Arial" w:hAnsi="Arial"/>
                <w:sz w:val="16"/>
                <w:szCs w:val="16"/>
                <w:color w:val="auto"/>
              </w:rPr>
              <w:t>Represents $155 million in proceeds received upon issuing SAFEs, including fair value adjustments of $</w:t>
            </w:r>
          </w:p>
        </w:tc>
        <w:tc>
          <w:tcPr>
            <w:tcW w:w="820" w:type="dxa"/>
            <w:vAlign w:val="bottom"/>
          </w:tcPr>
          <w:p>
            <w:pPr>
              <w:ind w:left="240"/>
              <w:spacing w:after="0"/>
              <w:rPr>
                <w:sz w:val="20"/>
                <w:szCs w:val="20"/>
                <w:color w:val="auto"/>
              </w:rPr>
            </w:pPr>
            <w:r>
              <w:rPr>
                <w:rFonts w:ascii="Arial" w:cs="Arial" w:eastAsia="Arial" w:hAnsi="Arial"/>
                <w:sz w:val="16"/>
                <w:szCs w:val="16"/>
                <w:color w:val="auto"/>
              </w:rPr>
              <w:t>million.</w:t>
            </w:r>
          </w:p>
        </w:tc>
        <w:tc>
          <w:tcPr>
            <w:tcW w:w="2300" w:type="dxa"/>
            <w:vAlign w:val="bottom"/>
          </w:tcPr>
          <w:p>
            <w:pPr>
              <w:spacing w:after="0"/>
              <w:rPr>
                <w:sz w:val="17"/>
                <w:szCs w:val="17"/>
                <w:color w:val="auto"/>
              </w:rPr>
            </w:pPr>
          </w:p>
        </w:tc>
      </w:tr>
      <w:tr>
        <w:trPr>
          <w:trHeight w:val="215"/>
        </w:trPr>
        <w:tc>
          <w:tcPr>
            <w:tcW w:w="260" w:type="dxa"/>
            <w:vAlign w:val="bottom"/>
          </w:tcPr>
          <w:p>
            <w:pPr>
              <w:jc w:val="right"/>
              <w:spacing w:after="0"/>
              <w:rPr>
                <w:sz w:val="20"/>
                <w:szCs w:val="20"/>
                <w:color w:val="auto"/>
              </w:rPr>
            </w:pPr>
            <w:r>
              <w:rPr>
                <w:rFonts w:ascii="Arial" w:cs="Arial" w:eastAsia="Arial" w:hAnsi="Arial"/>
                <w:sz w:val="16"/>
                <w:szCs w:val="16"/>
                <w:color w:val="auto"/>
                <w:w w:val="91"/>
              </w:rPr>
              <w:t>(5)</w:t>
            </w:r>
          </w:p>
        </w:tc>
        <w:tc>
          <w:tcPr>
            <w:tcW w:w="7760" w:type="dxa"/>
            <w:vAlign w:val="bottom"/>
          </w:tcPr>
          <w:p>
            <w:pPr>
              <w:ind w:left="60"/>
              <w:spacing w:after="0"/>
              <w:rPr>
                <w:sz w:val="20"/>
                <w:szCs w:val="20"/>
                <w:color w:val="auto"/>
              </w:rPr>
            </w:pPr>
            <w:r>
              <w:rPr>
                <w:rFonts w:ascii="Arial" w:cs="Arial" w:eastAsia="Arial" w:hAnsi="Arial"/>
                <w:sz w:val="16"/>
                <w:szCs w:val="16"/>
                <w:color w:val="auto"/>
              </w:rPr>
              <w:t>Includes $ million related to redeemable convertible preferred stock warrant liability.</w:t>
            </w:r>
          </w:p>
        </w:tc>
        <w:tc>
          <w:tcPr>
            <w:tcW w:w="820" w:type="dxa"/>
            <w:vAlign w:val="bottom"/>
          </w:tcPr>
          <w:p>
            <w:pPr>
              <w:spacing w:after="0"/>
              <w:rPr>
                <w:sz w:val="18"/>
                <w:szCs w:val="18"/>
                <w:color w:val="auto"/>
              </w:rPr>
            </w:pPr>
          </w:p>
        </w:tc>
        <w:tc>
          <w:tcPr>
            <w:tcW w:w="2300" w:type="dxa"/>
            <w:vAlign w:val="bottom"/>
          </w:tcPr>
          <w:p>
            <w:pPr>
              <w:spacing w:after="0"/>
              <w:rPr>
                <w:sz w:val="18"/>
                <w:szCs w:val="18"/>
                <w:color w:val="auto"/>
              </w:rPr>
            </w:pPr>
          </w:p>
        </w:tc>
      </w:tr>
    </w:tbl>
    <w:p>
      <w:pPr>
        <w:spacing w:after="0" w:line="1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w:t>
      </w:r>
    </w:p>
    <w:p>
      <w:pPr>
        <w:spacing w:after="0" w:line="2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on shares of our Class A common stock outstanding and shares of our Class B common stock outstanding (after giving effect to the Capital Stock Conversion, the Note Conversion, the SAFE Conversion, and the RSU Net Settlement), in each case as of , 2025, and excludes:</w:t>
      </w:r>
    </w:p>
    <w:p>
      <w:pPr>
        <w:sectPr>
          <w:pgSz w:w="11900" w:h="16838" w:orient="portrait"/>
          <w:cols w:equalWidth="0" w:num="1">
            <w:col w:w="11220"/>
          </w:cols>
          <w:pgMar w:left="320" w:top="229" w:right="359" w:bottom="1440" w:gutter="0" w:footer="0" w:header="0"/>
        </w:sectPr>
      </w:pP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shares of our Class A common stock issuable upon the exercise of stock options outstanding as of , 2025 under our 2015 Equity Incentive Plan, or our 2015 Plan, with a weighted-average exercise price of $ per share, of which shares will be exchangeable for an equal number of shares of Class B common stock at the election of our co-founders upon exercise;</w:t>
      </w:r>
    </w:p>
    <w:p>
      <w:pPr>
        <w:spacing w:after="0" w:line="117" w:lineRule="exact"/>
        <w:rPr>
          <w:sz w:val="20"/>
          <w:szCs w:val="20"/>
          <w:color w:val="auto"/>
        </w:rPr>
      </w:pPr>
    </w:p>
    <w:p>
      <w:pPr>
        <w:sectPr>
          <w:pgSz w:w="11900" w:h="16838" w:orient="portrait"/>
          <w:cols w:equalWidth="0" w:num="2">
            <w:col w:w="400" w:space="260"/>
            <w:col w:w="10560"/>
          </w:cols>
          <w:pgMar w:left="320" w:top="229" w:right="3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60" w:firstLine="445"/>
        <w:spacing w:after="0" w:line="263" w:lineRule="auto"/>
        <w:rPr>
          <w:sz w:val="20"/>
          <w:szCs w:val="20"/>
          <w:color w:val="auto"/>
        </w:rPr>
      </w:pPr>
      <w:r>
        <w:rPr>
          <w:rFonts w:ascii="Arial" w:cs="Arial" w:eastAsia="Arial" w:hAnsi="Arial"/>
          <w:sz w:val="18"/>
          <w:szCs w:val="18"/>
          <w:color w:val="auto"/>
        </w:rPr>
        <w:t>shares of our Class A common stock issuable upon the exercise of stock options granted after , 2025 under our 2015 Plan with a weighted-average exercise price of $ per share, of which shares will be exchangeable for an equal</w:t>
      </w:r>
    </w:p>
    <w:p>
      <w:pPr>
        <w:spacing w:after="0" w:line="1" w:lineRule="exact"/>
        <w:rPr>
          <w:sz w:val="20"/>
          <w:szCs w:val="20"/>
          <w:color w:val="auto"/>
        </w:rPr>
      </w:pPr>
    </w:p>
    <w:p>
      <w:pPr>
        <w:sectPr>
          <w:pgSz w:w="11900" w:h="16838" w:orient="portrait"/>
          <w:cols w:equalWidth="0" w:num="2">
            <w:col w:w="400" w:space="260"/>
            <w:col w:w="10560"/>
          </w:cols>
          <w:pgMar w:left="320" w:top="229" w:right="35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number of shares of Class B common stock at the election of our co-founders upon exercise;</w:t>
      </w:r>
    </w:p>
    <w:p>
      <w:pPr>
        <w:spacing w:after="0" w:line="148" w:lineRule="exact"/>
        <w:rPr>
          <w:sz w:val="20"/>
          <w:szCs w:val="20"/>
          <w:color w:val="auto"/>
        </w:rPr>
      </w:pPr>
    </w:p>
    <w:p>
      <w:pPr>
        <w:ind w:left="660" w:right="20" w:hanging="328"/>
        <w:spacing w:after="0" w:line="262" w:lineRule="auto"/>
        <w:tabs>
          <w:tab w:leader="none" w:pos="11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shares of Class A common stock issuable upon the vesting and settlement of RSUs outstanding as of the date of this prospectus subject to service-based and/or performance-based conditions, for which (i) the service-based condition was not satisfied as of such date and (ii) the performance-based condition, if applicable, will be satisfied upon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229" w:right="35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0" w:firstLine="445"/>
        <w:spacing w:after="0" w:line="287" w:lineRule="auto"/>
        <w:rPr>
          <w:sz w:val="20"/>
          <w:szCs w:val="20"/>
          <w:color w:val="auto"/>
        </w:rPr>
      </w:pPr>
      <w:r>
        <w:rPr>
          <w:rFonts w:ascii="Arial" w:cs="Arial" w:eastAsia="Arial" w:hAnsi="Arial"/>
          <w:sz w:val="18"/>
          <w:szCs w:val="18"/>
          <w:color w:val="auto"/>
        </w:rPr>
        <w:t>shares of our Class A common stock issuable upon the exercise of warrants to purchase shares of Class A common stock outstanding as of , 2025, with a weighted-average exercise price of $ per share;</w:t>
      </w:r>
    </w:p>
    <w:p>
      <w:pPr>
        <w:spacing w:after="0" w:line="99" w:lineRule="exact"/>
        <w:rPr>
          <w:sz w:val="20"/>
          <w:szCs w:val="20"/>
          <w:color w:val="auto"/>
        </w:rPr>
      </w:pPr>
    </w:p>
    <w:p>
      <w:pPr>
        <w:sectPr>
          <w:pgSz w:w="11900" w:h="16838" w:orient="portrait"/>
          <w:cols w:equalWidth="0" w:num="2">
            <w:col w:w="400" w:space="260"/>
            <w:col w:w="10580"/>
          </w:cols>
          <w:pgMar w:left="320" w:top="229" w:right="339" w:bottom="1440" w:gutter="0" w:footer="0" w:header="0"/>
          <w:type w:val="continuous"/>
        </w:sectPr>
      </w:pPr>
    </w:p>
    <w:p>
      <w:pPr>
        <w:ind w:left="660" w:hanging="328"/>
        <w:spacing w:after="0" w:line="259"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 to shares of our Class A common stock reserved for future issuance under our 2025 Equity Incentive Plan, or the 2025 Plan, which will become effective on the day before the date of the underwriting agreement for this offering, consisting of new shares and up to shares underlying outstanding awards granted under our 2015 Plan that, after the date the 2025 Plan becomes effective, either are not issued (due to the awards expiring or being settled in cash), are forfeited or repurchased due to failure to vest, or are withheld to satisfy the exercise, strike, or purchase price or tax withholding obligations; and</w:t>
      </w:r>
    </w:p>
    <w:p>
      <w:pPr>
        <w:spacing w:after="0" w:line="125" w:lineRule="exact"/>
        <w:rPr>
          <w:rFonts w:ascii="Arial" w:cs="Arial" w:eastAsia="Arial" w:hAnsi="Arial"/>
          <w:sz w:val="18"/>
          <w:szCs w:val="18"/>
          <w:color w:val="auto"/>
        </w:rPr>
      </w:pPr>
    </w:p>
    <w:p>
      <w:pPr>
        <w:ind w:left="660" w:right="420" w:hanging="328"/>
        <w:spacing w:after="0" w:line="287" w:lineRule="auto"/>
        <w:tabs>
          <w:tab w:leader="none" w:pos="12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2025 Employee Stock Purchase Plan, or our 2025 ESPP, which will become effective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229"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1"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our Class A common stock and the pro forma as adjusted net tangible book value per share of our Class A common stock immediately after this offering.</w:t>
      </w:r>
    </w:p>
    <w:p>
      <w:pPr>
        <w:spacing w:after="0" w:line="117" w:lineRule="exact"/>
        <w:rPr>
          <w:sz w:val="20"/>
          <w:szCs w:val="20"/>
          <w:color w:val="auto"/>
        </w:rPr>
      </w:pPr>
    </w:p>
    <w:p>
      <w:pPr>
        <w:jc w:val="center"/>
        <w:ind w:right="80"/>
        <w:spacing w:after="0" w:line="260" w:lineRule="auto"/>
        <w:rPr>
          <w:sz w:val="20"/>
          <w:szCs w:val="20"/>
          <w:color w:val="auto"/>
        </w:rPr>
      </w:pPr>
      <w:r>
        <w:rPr>
          <w:rFonts w:ascii="Arial" w:cs="Arial" w:eastAsia="Arial" w:hAnsi="Arial"/>
          <w:sz w:val="18"/>
          <w:szCs w:val="18"/>
          <w:color w:val="auto"/>
        </w:rPr>
        <w:t>Net tangible book value (deficit) per share is determined by dividing our total tangible assets less our total liabilities by the number of shares of our Class A common stock outstanding (not including any shares of our redeemable convertible preferred stock). Our historical net</w:t>
      </w:r>
    </w:p>
    <w:p>
      <w:pPr>
        <w:spacing w:after="0" w:line="2" w:lineRule="exact"/>
        <w:rPr>
          <w:sz w:val="20"/>
          <w:szCs w:val="20"/>
          <w:color w:val="auto"/>
        </w:rPr>
      </w:pPr>
    </w:p>
    <w:p>
      <w:pPr>
        <w:spacing w:after="0"/>
        <w:tabs>
          <w:tab w:leader="none" w:pos="3060" w:val="left"/>
          <w:tab w:leader="none" w:pos="4440" w:val="left"/>
          <w:tab w:leader="none" w:pos="5100" w:val="left"/>
          <w:tab w:leader="none" w:pos="7060" w:val="left"/>
        </w:tabs>
        <w:rPr>
          <w:sz w:val="20"/>
          <w:szCs w:val="20"/>
          <w:color w:val="auto"/>
        </w:rPr>
      </w:pPr>
      <w:r>
        <w:rPr>
          <w:rFonts w:ascii="Arial" w:cs="Arial" w:eastAsia="Arial" w:hAnsi="Arial"/>
          <w:sz w:val="18"/>
          <w:szCs w:val="18"/>
          <w:color w:val="auto"/>
        </w:rPr>
        <w:t>tangible book deficit as of</w:t>
      </w:r>
      <w:r>
        <w:rPr>
          <w:sz w:val="20"/>
          <w:szCs w:val="20"/>
          <w:color w:val="auto"/>
        </w:rPr>
        <w:tab/>
      </w:r>
      <w:r>
        <w:rPr>
          <w:rFonts w:ascii="Arial" w:cs="Arial" w:eastAsia="Arial" w:hAnsi="Arial"/>
          <w:sz w:val="18"/>
          <w:szCs w:val="18"/>
          <w:color w:val="auto"/>
        </w:rPr>
        <w:t>, 2025, was $</w:t>
        <w:tab/>
        <w:t>, or $</w:t>
        <w:tab/>
        <w:t>per share. As of</w:t>
      </w:r>
      <w:r>
        <w:rPr>
          <w:sz w:val="20"/>
          <w:szCs w:val="20"/>
          <w:color w:val="auto"/>
        </w:rPr>
        <w:tab/>
      </w:r>
      <w:r>
        <w:rPr>
          <w:rFonts w:ascii="Arial" w:cs="Arial" w:eastAsia="Arial" w:hAnsi="Arial"/>
          <w:sz w:val="18"/>
          <w:szCs w:val="18"/>
          <w:color w:val="auto"/>
        </w:rPr>
        <w:t>, 2025, our pro forma net tangible book value was</w:t>
      </w:r>
    </w:p>
    <w:p>
      <w:pPr>
        <w:spacing w:after="0" w:line="9" w:lineRule="exact"/>
        <w:rPr>
          <w:sz w:val="20"/>
          <w:szCs w:val="20"/>
          <w:color w:val="auto"/>
        </w:rPr>
      </w:pPr>
    </w:p>
    <w:p>
      <w:pPr>
        <w:ind w:right="220" w:firstLine="8"/>
        <w:spacing w:after="0" w:line="250" w:lineRule="auto"/>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million, or $ per share of our common stock. Our pro forma net tangible book value per share represents the amount of our total tangible assets reduced by the amount of our total liabilities and divided by the total number of shares of our common stock outstanding as</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of , 2025, after giving effect to (i) the Capital Stock Conversion, (ii) the Note Conversion as if it had occurred on , 2025, including the reclassification of the embedded derivative liability related to the Convertible Notes to additional paid-in capital, (iii) the SAFE Conversion</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as if it had occurred on , 2025, (iv) the net issuance of shares of Class B common stock in connection with the RSU Net Settlement, after withholding shares to satisfy estimated tax withholding and remittance obligations of $ million (based on the assumed initial public</w:t>
      </w:r>
    </w:p>
    <w:p>
      <w:pPr>
        <w:spacing w:after="0" w:line="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offering price of $ per share, the midpoint of the price range set forth on the cover page of this prospectus, and an assumed % tax withholding rate), (v) the automatic conversion of the redeemable convertible preferred stock warrant to a Class A common stock warrant, and the resulting remeasurement and assumed reclassification of the redeemable convertible preferred stock warrant liability to additional paid-in capital, and (vi) the filing and effectiveness of our amended and restated certificate of incorporation that will become effective immediately prior to the completion of this offering.</w:t>
      </w:r>
    </w:p>
    <w:p>
      <w:pPr>
        <w:spacing w:after="0" w:line="129" w:lineRule="exact"/>
        <w:rPr>
          <w:sz w:val="20"/>
          <w:szCs w:val="20"/>
          <w:color w:val="auto"/>
        </w:rPr>
      </w:pPr>
    </w:p>
    <w:p>
      <w:pPr>
        <w:ind w:left="340"/>
        <w:spacing w:after="0"/>
        <w:tabs>
          <w:tab w:leader="none" w:pos="3220" w:val="left"/>
        </w:tabs>
        <w:rPr>
          <w:sz w:val="20"/>
          <w:szCs w:val="20"/>
          <w:color w:val="auto"/>
        </w:rPr>
      </w:pPr>
      <w:r>
        <w:rPr>
          <w:rFonts w:ascii="Arial" w:cs="Arial" w:eastAsia="Arial" w:hAnsi="Arial"/>
          <w:sz w:val="18"/>
          <w:szCs w:val="18"/>
          <w:color w:val="auto"/>
        </w:rPr>
        <w:t>After giving effect to the sale of</w:t>
      </w:r>
      <w:r>
        <w:rPr>
          <w:sz w:val="20"/>
          <w:szCs w:val="20"/>
          <w:color w:val="auto"/>
        </w:rPr>
        <w:tab/>
      </w:r>
      <w:r>
        <w:rPr>
          <w:rFonts w:ascii="Arial" w:cs="Arial" w:eastAsia="Arial" w:hAnsi="Arial"/>
          <w:sz w:val="17"/>
          <w:szCs w:val="17"/>
          <w:color w:val="auto"/>
        </w:rPr>
        <w:t>shares of our Class A common stock in this offering at an assumed initial public offering price of</w:t>
      </w:r>
    </w:p>
    <w:p>
      <w:pPr>
        <w:ind w:left="360" w:hanging="352"/>
        <w:spacing w:after="0" w:line="187" w:lineRule="auto"/>
        <w:tabs>
          <w:tab w:leader="none" w:pos="360" w:val="left"/>
        </w:tabs>
        <w:numPr>
          <w:ilvl w:val="0"/>
          <w:numId w:val="51"/>
        </w:numPr>
        <w:rPr>
          <w:rFonts w:ascii="Arial" w:cs="Arial" w:eastAsia="Arial" w:hAnsi="Arial"/>
          <w:sz w:val="3"/>
          <w:szCs w:val="3"/>
          <w:color w:val="auto"/>
        </w:rPr>
      </w:pPr>
      <w:r>
        <w:rPr>
          <w:rFonts w:ascii="Arial" w:cs="Arial" w:eastAsia="Arial" w:hAnsi="Arial"/>
          <w:sz w:val="3"/>
          <w:szCs w:val="3"/>
          <w:color w:val="auto"/>
        </w:rPr>
        <w:t>per share, which is the midpoint of the offering price range set forth on the cover page of this prospectus, and after deducting</w:t>
      </w:r>
    </w:p>
    <w:p>
      <w:pPr>
        <w:spacing w:after="0" w:line="19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underwriting discounts and commissions and estimated offering expenses, our pro forma as adjusted net tangible book value as of , 2025, would have been $ million, or $ per share. This represents an immediate increase in pro forma net tangible book value of $ per</w:t>
      </w:r>
    </w:p>
    <w:p>
      <w:pPr>
        <w:spacing w:after="0" w:line="2"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color w:val="auto"/>
        </w:rPr>
        <w:t>share to our existing stockholders and an immediate dilution in pro forma as adjusted net tangible book value of $ per share to investors purchasing shares of our Class A common stock in this offering at the assumed initial public offering price.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this dilution on a per share basis to new investors: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3600" w:type="dxa"/>
            <w:vAlign w:val="bottom"/>
            <w:shd w:val="clear" w:color="auto" w:fill="CCEEFF"/>
          </w:tcPr>
          <w:p>
            <w:pPr>
              <w:spacing w:after="0"/>
              <w:rPr>
                <w:sz w:val="19"/>
                <w:szCs w:val="19"/>
                <w:color w:val="auto"/>
              </w:rPr>
            </w:pPr>
          </w:p>
        </w:tc>
        <w:tc>
          <w:tcPr>
            <w:tcW w:w="3220" w:type="dxa"/>
            <w:vAlign w:val="bottom"/>
            <w:gridSpan w:val="3"/>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Historical net tangible book deficit per share as of</w:t>
            </w:r>
          </w:p>
        </w:tc>
        <w:tc>
          <w:tcPr>
            <w:tcW w:w="3600" w:type="dxa"/>
            <w:vAlign w:val="bottom"/>
          </w:tcPr>
          <w:p>
            <w:pPr>
              <w:jc w:val="right"/>
              <w:ind w:right="2770"/>
              <w:spacing w:after="0"/>
              <w:rPr>
                <w:sz w:val="20"/>
                <w:szCs w:val="20"/>
                <w:color w:val="auto"/>
              </w:rPr>
            </w:pPr>
            <w:r>
              <w:rPr>
                <w:rFonts w:ascii="Arial" w:cs="Arial" w:eastAsia="Arial" w:hAnsi="Arial"/>
                <w:sz w:val="18"/>
                <w:szCs w:val="18"/>
                <w:color w:val="auto"/>
              </w:rPr>
              <w:t>, 2025</w:t>
            </w:r>
          </w:p>
        </w:tc>
        <w:tc>
          <w:tcPr>
            <w:tcW w:w="15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175"/>
        </w:trPr>
        <w:tc>
          <w:tcPr>
            <w:tcW w:w="4420" w:type="dxa"/>
            <w:vAlign w:val="bottom"/>
          </w:tcPr>
          <w:p>
            <w:pPr>
              <w:ind w:left="240"/>
              <w:spacing w:after="0" w:line="176" w:lineRule="exact"/>
              <w:rPr>
                <w:sz w:val="20"/>
                <w:szCs w:val="20"/>
                <w:color w:val="auto"/>
              </w:rPr>
            </w:pPr>
            <w:r>
              <w:rPr>
                <w:rFonts w:ascii="Arial" w:cs="Arial" w:eastAsia="Arial" w:hAnsi="Arial"/>
                <w:sz w:val="18"/>
                <w:szCs w:val="18"/>
                <w:color w:val="auto"/>
              </w:rPr>
              <w:t>Pro forma net tangible book value per share as of</w:t>
            </w:r>
          </w:p>
        </w:tc>
        <w:tc>
          <w:tcPr>
            <w:tcW w:w="3600" w:type="dxa"/>
            <w:vAlign w:val="bottom"/>
          </w:tcPr>
          <w:p>
            <w:pPr>
              <w:jc w:val="right"/>
              <w:ind w:right="490"/>
              <w:spacing w:after="0" w:line="176" w:lineRule="exact"/>
              <w:rPr>
                <w:sz w:val="20"/>
                <w:szCs w:val="20"/>
                <w:color w:val="auto"/>
              </w:rPr>
            </w:pPr>
            <w:r>
              <w:rPr>
                <w:rFonts w:ascii="Arial" w:cs="Arial" w:eastAsia="Arial" w:hAnsi="Arial"/>
                <w:sz w:val="18"/>
                <w:szCs w:val="18"/>
                <w:color w:val="auto"/>
              </w:rPr>
              <w:t>, 2025 before giving effect to this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1"/>
        </w:trPr>
        <w:tc>
          <w:tcPr>
            <w:tcW w:w="4420" w:type="dxa"/>
            <w:vAlign w:val="bottom"/>
          </w:tcPr>
          <w:p>
            <w:pPr>
              <w:ind w:left="400"/>
              <w:spacing w:after="0"/>
              <w:rPr>
                <w:sz w:val="20"/>
                <w:szCs w:val="20"/>
                <w:color w:val="auto"/>
              </w:rPr>
            </w:pPr>
            <w:r>
              <w:rPr>
                <w:rFonts w:ascii="Arial" w:cs="Arial" w:eastAsia="Arial" w:hAnsi="Arial"/>
                <w:sz w:val="18"/>
                <w:szCs w:val="18"/>
                <w:color w:val="auto"/>
              </w:rPr>
              <w:t>offering</w:t>
            </w:r>
          </w:p>
        </w:tc>
        <w:tc>
          <w:tcPr>
            <w:tcW w:w="3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78"/>
        </w:trPr>
        <w:tc>
          <w:tcPr>
            <w:tcW w:w="8020" w:type="dxa"/>
            <w:vAlign w:val="bottom"/>
            <w:gridSpan w:val="2"/>
            <w:shd w:val="clear" w:color="auto" w:fill="CCEEFF"/>
          </w:tcPr>
          <w:p>
            <w:pPr>
              <w:ind w:left="240"/>
              <w:spacing w:after="0" w:line="177" w:lineRule="exact"/>
              <w:rPr>
                <w:sz w:val="20"/>
                <w:szCs w:val="20"/>
                <w:color w:val="auto"/>
              </w:rPr>
            </w:pPr>
            <w:r>
              <w:rPr>
                <w:rFonts w:ascii="Arial" w:cs="Arial" w:eastAsia="Arial" w:hAnsi="Arial"/>
                <w:sz w:val="18"/>
                <w:szCs w:val="18"/>
                <w:color w:val="auto"/>
              </w:rPr>
              <w:t>Increase in pro forma net tangible book value per share attributable to new investors purchasing</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3"/>
        </w:trPr>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 in this offering</w:t>
            </w:r>
          </w:p>
        </w:tc>
        <w:tc>
          <w:tcPr>
            <w:tcW w:w="36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09"/>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jc w:val="both"/>
        <w:ind w:right="220" w:firstLine="324"/>
        <w:spacing w:after="0" w:line="268" w:lineRule="auto"/>
        <w:rPr>
          <w:sz w:val="20"/>
          <w:szCs w:val="20"/>
          <w:color w:val="auto"/>
        </w:rPr>
      </w:pPr>
      <w:r>
        <w:rPr>
          <w:rFonts w:ascii="Arial" w:cs="Arial" w:eastAsia="Arial" w:hAnsi="Arial"/>
          <w:sz w:val="18"/>
          <w:szCs w:val="18"/>
          <w:color w:val="auto"/>
        </w:rPr>
        <w:t>The dilution information discussed above is illustrative only and will change based on the actual initial offering price and other terms of this offering determined at pricing and the actual tax withholding rates, as well as the actual amount of RSUs settled in connection with this offering. A $1.00 increase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the assumed initial public offering price of $ per share, which is the midpoint of the offering price range set forth on the cover page of this prospectus, would increase (decrease) our pro forma as adjusted net tangible book value per share after this offering by $ per share and would increase (decrease) the dilution per share to new investors in this offering by $ per share, assuming the number of shares of Class A common stock offered by us, as set forth on the cover page of this prospectus, remains the same and after deducting the underwriting discounts and commissions. Similarly, each increase (decrease) of 1.0 million shares in the number of shares of Class A common stock offered would increase (decrease) the pro forma as adjusted net tangible book value per share after this offering by $ per share and would increase (decrease) the dilution to new investors by $ per share, assuming the assumed initial public offering price, which is the midpoint of the offering price range set forth on the cover page of this prospectus, remains the same and after deducting the underwriting discounts and commissions.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underwriters exercise their option to purchase additional shares in full, the pro forma as adjusted net tangible book value per share</w:t>
      </w:r>
    </w:p>
    <w:p>
      <w:pPr>
        <w:spacing w:after="0" w:line="27"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of our Class A common stock after giving effect to this offering would be $ per share, and the dilution in pro forma as adjusted net tangible book value per share to investors in this offering would be $ per share.</w:t>
      </w:r>
    </w:p>
    <w:p>
      <w:pPr>
        <w:spacing w:after="0" w:line="117" w:lineRule="exact"/>
        <w:rPr>
          <w:sz w:val="20"/>
          <w:szCs w:val="20"/>
          <w:color w:val="auto"/>
        </w:rPr>
      </w:pPr>
    </w:p>
    <w:p>
      <w:pPr>
        <w:ind w:left="340"/>
        <w:spacing w:after="0"/>
        <w:tabs>
          <w:tab w:leader="none" w:pos="6540" w:val="left"/>
        </w:tabs>
        <w:rPr>
          <w:sz w:val="20"/>
          <w:szCs w:val="20"/>
          <w:color w:val="auto"/>
        </w:rPr>
      </w:pPr>
      <w:r>
        <w:rPr>
          <w:rFonts w:ascii="Arial" w:cs="Arial" w:eastAsia="Arial" w:hAnsi="Arial"/>
          <w:sz w:val="18"/>
          <w:szCs w:val="18"/>
          <w:color w:val="auto"/>
        </w:rPr>
        <w:t>The following table summarizes, on a pro forma as adjusted basis as of</w:t>
      </w:r>
      <w:r>
        <w:rPr>
          <w:sz w:val="20"/>
          <w:szCs w:val="20"/>
          <w:color w:val="auto"/>
        </w:rPr>
        <w:tab/>
      </w:r>
      <w:r>
        <w:rPr>
          <w:rFonts w:ascii="Arial" w:cs="Arial" w:eastAsia="Arial" w:hAnsi="Arial"/>
          <w:sz w:val="17"/>
          <w:szCs w:val="17"/>
          <w:color w:val="auto"/>
        </w:rPr>
        <w:t>, 2025, after giving effect to the pro forma adjustments</w:t>
      </w:r>
    </w:p>
    <w:p>
      <w:pPr>
        <w:spacing w:after="0" w:line="27" w:lineRule="exact"/>
        <w:rPr>
          <w:sz w:val="20"/>
          <w:szCs w:val="20"/>
          <w:color w:val="auto"/>
        </w:rPr>
      </w:pPr>
    </w:p>
    <w:p>
      <w:pPr>
        <w:spacing w:after="0" w:line="187" w:lineRule="auto"/>
        <w:rPr>
          <w:sz w:val="20"/>
          <w:szCs w:val="20"/>
          <w:color w:val="auto"/>
        </w:rPr>
      </w:pPr>
      <w:r>
        <w:rPr>
          <w:rFonts w:ascii="Arial" w:cs="Arial" w:eastAsia="Arial" w:hAnsi="Arial"/>
          <w:sz w:val="12"/>
          <w:szCs w:val="12"/>
          <w:color w:val="auto"/>
        </w:rPr>
        <w:t>described above, the difference between existing stockholders and new investors purchasing shares of Class A common stock in this offering with respect to the number of shares purchased from us, the total consideration paid to us, and the average price per share paid by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existing stockholders or to be paid by investors purchasing shares in this offering at an assumed offering price of $ per share, which is the midpoint of the offering price range set forth on the cover page of this prospectus and our receipt of $ million in estimated net</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proceeds from the offering, and after deducting underwriting discounts and commissions and estimated offering expenses, and the use of net proceeds from this offering, together with existing cash and cash equivalents, if necessary, to (A) satisfy the estimated tax withholding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00" w:type="dxa"/>
            <w:vAlign w:val="bottom"/>
            <w:gridSpan w:val="3"/>
          </w:tcPr>
          <w:p>
            <w:pPr>
              <w:spacing w:after="0"/>
              <w:rPr>
                <w:sz w:val="20"/>
                <w:szCs w:val="20"/>
                <w:color w:val="auto"/>
              </w:rPr>
            </w:pPr>
            <w:r>
              <w:rPr>
                <w:rFonts w:ascii="Arial" w:cs="Arial" w:eastAsia="Arial" w:hAnsi="Arial"/>
                <w:sz w:val="18"/>
                <w:szCs w:val="18"/>
                <w:color w:val="auto"/>
              </w:rPr>
              <w:t>remittance obligations as described above and (B) repay $</w:t>
            </w:r>
          </w:p>
        </w:tc>
        <w:tc>
          <w:tcPr>
            <w:tcW w:w="6540" w:type="dxa"/>
            <w:vAlign w:val="bottom"/>
            <w:gridSpan w:val="9"/>
          </w:tcPr>
          <w:p>
            <w:pPr>
              <w:jc w:val="right"/>
              <w:ind w:right="922"/>
              <w:spacing w:after="0"/>
              <w:rPr>
                <w:sz w:val="20"/>
                <w:szCs w:val="20"/>
                <w:color w:val="auto"/>
              </w:rPr>
            </w:pPr>
            <w:r>
              <w:rPr>
                <w:rFonts w:ascii="Arial" w:cs="Arial" w:eastAsia="Arial" w:hAnsi="Arial"/>
                <w:sz w:val="18"/>
                <w:szCs w:val="18"/>
                <w:color w:val="auto"/>
              </w:rPr>
              <w:t>million in outstanding loans under and terminate the Vista Facility:</w:t>
            </w:r>
          </w:p>
        </w:tc>
      </w:tr>
      <w:tr>
        <w:trPr>
          <w:trHeight w:val="382"/>
        </w:trPr>
        <w:tc>
          <w:tcPr>
            <w:tcW w:w="3060" w:type="dxa"/>
            <w:vAlign w:val="bottom"/>
          </w:tcPr>
          <w:p>
            <w:pPr>
              <w:spacing w:after="0"/>
              <w:rPr>
                <w:sz w:val="24"/>
                <w:szCs w:val="24"/>
                <w:color w:val="auto"/>
              </w:rPr>
            </w:pPr>
          </w:p>
        </w:tc>
        <w:tc>
          <w:tcPr>
            <w:tcW w:w="28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Average Price Per</w:t>
            </w:r>
          </w:p>
        </w:tc>
      </w:tr>
      <w:tr>
        <w:trPr>
          <w:trHeight w:val="197"/>
        </w:trPr>
        <w:tc>
          <w:tcPr>
            <w:tcW w:w="3060" w:type="dxa"/>
            <w:vAlign w:val="bottom"/>
          </w:tcPr>
          <w:p>
            <w:pPr>
              <w:spacing w:after="0"/>
              <w:rPr>
                <w:sz w:val="17"/>
                <w:szCs w:val="17"/>
                <w:color w:val="auto"/>
              </w:rPr>
            </w:pPr>
          </w:p>
        </w:tc>
        <w:tc>
          <w:tcPr>
            <w:tcW w:w="1640" w:type="dxa"/>
            <w:vAlign w:val="bottom"/>
            <w:gridSpan w:val="2"/>
          </w:tcPr>
          <w:p>
            <w:pPr>
              <w:ind w:left="500"/>
              <w:spacing w:after="0"/>
              <w:rPr>
                <w:sz w:val="20"/>
                <w:szCs w:val="20"/>
                <w:color w:val="auto"/>
              </w:rPr>
            </w:pPr>
            <w:r>
              <w:rPr>
                <w:rFonts w:ascii="Arial" w:cs="Arial" w:eastAsia="Arial" w:hAnsi="Arial"/>
                <w:sz w:val="14"/>
                <w:szCs w:val="14"/>
                <w:b w:val="1"/>
                <w:bCs w:val="1"/>
                <w:color w:val="auto"/>
              </w:rPr>
              <w:t>Number</w:t>
            </w:r>
          </w:p>
        </w:tc>
        <w:tc>
          <w:tcPr>
            <w:tcW w:w="1220" w:type="dxa"/>
            <w:vAlign w:val="bottom"/>
          </w:tcPr>
          <w:p>
            <w:pPr>
              <w:ind w:left="520"/>
              <w:spacing w:after="0"/>
              <w:rPr>
                <w:sz w:val="20"/>
                <w:szCs w:val="20"/>
                <w:color w:val="auto"/>
              </w:rPr>
            </w:pPr>
            <w:r>
              <w:rPr>
                <w:rFonts w:ascii="Arial" w:cs="Arial" w:eastAsia="Arial" w:hAnsi="Arial"/>
                <w:sz w:val="14"/>
                <w:szCs w:val="14"/>
                <w:b w:val="1"/>
                <w:bCs w:val="1"/>
                <w:color w:val="auto"/>
              </w:rPr>
              <w:t>Percent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ind w:left="520"/>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882"/>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New public investors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CCEEFF"/>
            </w:tcBorders>
            <w:shd w:val="clear" w:color="auto" w:fill="CCEEFF"/>
          </w:tcPr>
          <w:p>
            <w:pPr>
              <w:spacing w:after="0"/>
              <w:rPr>
                <w:sz w:val="19"/>
                <w:szCs w:val="19"/>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by the selling stockholders in this offering will cause the number of shares held by existing stockholders before this offering to be</w:t>
      </w:r>
    </w:p>
    <w:p>
      <w:pPr>
        <w:spacing w:after="0" w:line="2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reduced to shares, or  % of the total number of shares of our Class A common stock outstanding immediately after the completion of this offering, and will increase the number of shares held by new investors to shares, or % of the total number of shares of our common stock outstanding immediately after the completion of this offering.</w:t>
      </w:r>
    </w:p>
    <w:p>
      <w:pPr>
        <w:spacing w:after="0" w:line="124"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A $1.00 increase (decrease) in the assumed initial public offering price of $ per share, which is the midpoint of the offering price range set forth on the cover page of this prospectus, would increase (decrease) total consideration paid by new investors and total consideration paid by all stockholders by approximately $ million, assuming that the number of shares offered by us and the selling stockholders, as set forth on the cover page of this prospectus remains the same and after deducting the underwriting discounts and commissions.</w:t>
      </w:r>
    </w:p>
    <w:p>
      <w:pPr>
        <w:spacing w:after="0" w:line="122" w:lineRule="exact"/>
        <w:rPr>
          <w:sz w:val="20"/>
          <w:szCs w:val="20"/>
          <w:color w:val="auto"/>
        </w:rPr>
      </w:pPr>
    </w:p>
    <w:p>
      <w:pPr>
        <w:jc w:val="both"/>
        <w:ind w:right="280" w:firstLine="324"/>
        <w:spacing w:after="0" w:line="268"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If the underwriters’ option to purchase additional shares is exercised in full, our existing stockholders would own % and our new investors would own % of the total number of shares of our Class A common stock outstanding upon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In addition, to the extent we issue any additional stock options or any outstanding stock options or warrants are exercised, or we issue any other securities or convertible debt in the future, investors will experience further dilution.</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w:t>
      </w:r>
    </w:p>
    <w:p>
      <w:pPr>
        <w:spacing w:after="0" w:line="27" w:lineRule="exact"/>
        <w:rPr>
          <w:sz w:val="20"/>
          <w:szCs w:val="20"/>
          <w:color w:val="auto"/>
        </w:rPr>
      </w:pPr>
    </w:p>
    <w:p>
      <w:pPr>
        <w:spacing w:after="0"/>
        <w:tabs>
          <w:tab w:leader="none" w:pos="680" w:val="left"/>
          <w:tab w:leader="none" w:pos="54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shares of our Class A common stock outstanding and</w:t>
      </w:r>
      <w:r>
        <w:rPr>
          <w:sz w:val="20"/>
          <w:szCs w:val="20"/>
          <w:color w:val="auto"/>
        </w:rPr>
        <w:tab/>
      </w:r>
      <w:r>
        <w:rPr>
          <w:rFonts w:ascii="Arial" w:cs="Arial" w:eastAsia="Arial" w:hAnsi="Arial"/>
          <w:sz w:val="18"/>
          <w:szCs w:val="18"/>
          <w:color w:val="auto"/>
        </w:rPr>
        <w:t>shares of our Class B common stock outstanding (after giving effect to</w:t>
      </w:r>
    </w:p>
    <w:p>
      <w:pPr>
        <w:spacing w:after="0" w:line="9" w:lineRule="exact"/>
        <w:rPr>
          <w:sz w:val="20"/>
          <w:szCs w:val="20"/>
          <w:color w:val="auto"/>
        </w:rPr>
      </w:pPr>
    </w:p>
    <w:p>
      <w:pPr>
        <w:spacing w:after="0"/>
        <w:tabs>
          <w:tab w:leader="none" w:pos="10900" w:val="left"/>
        </w:tabs>
        <w:rPr>
          <w:sz w:val="20"/>
          <w:szCs w:val="20"/>
          <w:color w:val="auto"/>
        </w:rPr>
      </w:pPr>
      <w:r>
        <w:rPr>
          <w:rFonts w:ascii="Arial" w:cs="Arial" w:eastAsia="Arial" w:hAnsi="Arial"/>
          <w:sz w:val="18"/>
          <w:szCs w:val="18"/>
          <w:color w:val="auto"/>
        </w:rPr>
        <w:t>the Capital Stock Conversion, the Note Conversion, the SAFE Conversion, and the RSU Net Settlement), in each case as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2025 and excludes:</w:t>
      </w:r>
    </w:p>
    <w:p>
      <w:pPr>
        <w:sectPr>
          <w:pgSz w:w="11900" w:h="16838" w:orient="portrait"/>
          <w:cols w:equalWidth="0" w:num="1">
            <w:col w:w="11200"/>
          </w:cols>
          <w:pgMar w:left="320" w:top="229" w:right="379" w:bottom="1440" w:gutter="0" w:footer="0" w:header="0"/>
        </w:sectPr>
      </w:pPr>
    </w:p>
    <w:p>
      <w:pPr>
        <w:spacing w:after="0" w:line="15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shares of our Class A common stock issuable upon the exercise of stock options outstanding as of , 2025 under our 2015 Plan, with a weighted-average exercise price of $ per share, of which shares will be exchangeable for an equal number of shares of Class B common stock at the election of our co-founders upon exercise;</w:t>
      </w:r>
    </w:p>
    <w:p>
      <w:pPr>
        <w:spacing w:after="0" w:line="117" w:lineRule="exact"/>
        <w:rPr>
          <w:sz w:val="20"/>
          <w:szCs w:val="20"/>
          <w:color w:val="auto"/>
        </w:rPr>
      </w:pPr>
    </w:p>
    <w:p>
      <w:pPr>
        <w:sectPr>
          <w:pgSz w:w="11900" w:h="16838" w:orient="portrait"/>
          <w:cols w:equalWidth="0" w:num="2">
            <w:col w:w="400" w:space="260"/>
            <w:col w:w="10540"/>
          </w:cols>
          <w:pgMar w:left="320" w:top="229" w:right="37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00" w:firstLine="445"/>
        <w:spacing w:after="0" w:line="263" w:lineRule="auto"/>
        <w:rPr>
          <w:sz w:val="20"/>
          <w:szCs w:val="20"/>
          <w:color w:val="auto"/>
        </w:rPr>
      </w:pPr>
      <w:r>
        <w:rPr>
          <w:rFonts w:ascii="Arial" w:cs="Arial" w:eastAsia="Arial" w:hAnsi="Arial"/>
          <w:sz w:val="18"/>
          <w:szCs w:val="18"/>
          <w:color w:val="auto"/>
        </w:rPr>
        <w:t>shares of our Class A common stock issuable upon the exercise of stock options granted after , 2025 under our 2015 Plan with a weighted-average exercise price of $ per share, of which shares will be exchangeable for an equal</w:t>
      </w:r>
    </w:p>
    <w:p>
      <w:pPr>
        <w:spacing w:after="0" w:line="1" w:lineRule="exact"/>
        <w:rPr>
          <w:sz w:val="20"/>
          <w:szCs w:val="20"/>
          <w:color w:val="auto"/>
        </w:rPr>
      </w:pPr>
    </w:p>
    <w:p>
      <w:pPr>
        <w:sectPr>
          <w:pgSz w:w="11900" w:h="16838" w:orient="portrait"/>
          <w:cols w:equalWidth="0" w:num="2">
            <w:col w:w="400" w:space="260"/>
            <w:col w:w="10540"/>
          </w:cols>
          <w:pgMar w:left="320" w:top="229" w:right="37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number of shares of Class B common stock at the election of our co-founders upon exercise;</w:t>
      </w:r>
    </w:p>
    <w:p>
      <w:pPr>
        <w:spacing w:after="0" w:line="148" w:lineRule="exact"/>
        <w:rPr>
          <w:sz w:val="20"/>
          <w:szCs w:val="20"/>
          <w:color w:val="auto"/>
        </w:rPr>
      </w:pPr>
    </w:p>
    <w:p>
      <w:pPr>
        <w:ind w:left="660" w:hanging="328"/>
        <w:spacing w:after="0" w:line="262" w:lineRule="auto"/>
        <w:tabs>
          <w:tab w:leader="none" w:pos="11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shares of Class A common stock issuable upon the vesting and settlement of RSUs outstanding as of the date of this prospectus subject to service-based and/or performance-based conditions, for which (i) the service-based condition was not satisfied as of such date and (ii) the performance-based condition, if applicable, will be satisfied upon the effectiveness of the registration statement of which this prospectus forms a part;</w:t>
      </w:r>
    </w:p>
    <w:p>
      <w:pPr>
        <w:sectPr>
          <w:pgSz w:w="11900" w:h="16838" w:orient="portrait"/>
          <w:cols w:equalWidth="0" w:num="1">
            <w:col w:w="11200"/>
          </w:cols>
          <w:pgMar w:left="320" w:top="229" w:right="379" w:bottom="1440" w:gutter="0" w:footer="0" w:header="0"/>
          <w:type w:val="continuous"/>
        </w:sectPr>
      </w:pP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400" w:firstLine="445"/>
        <w:spacing w:after="0" w:line="287" w:lineRule="auto"/>
        <w:rPr>
          <w:sz w:val="20"/>
          <w:szCs w:val="20"/>
          <w:color w:val="auto"/>
        </w:rPr>
      </w:pPr>
      <w:r>
        <w:rPr>
          <w:rFonts w:ascii="Arial" w:cs="Arial" w:eastAsia="Arial" w:hAnsi="Arial"/>
          <w:sz w:val="18"/>
          <w:szCs w:val="18"/>
          <w:color w:val="auto"/>
        </w:rPr>
        <w:t>shares of our Class A common stock issuable upon the exercise of warrants to purchase shares of Class A common stock outstanding as of , 2025, with a weighted-average exercise price of $ per share;</w:t>
      </w:r>
    </w:p>
    <w:p>
      <w:pPr>
        <w:spacing w:after="0" w:line="99" w:lineRule="exact"/>
        <w:rPr>
          <w:sz w:val="20"/>
          <w:szCs w:val="20"/>
          <w:color w:val="auto"/>
        </w:rPr>
      </w:pPr>
    </w:p>
    <w:p>
      <w:pPr>
        <w:sectPr>
          <w:pgSz w:w="11900" w:h="16838" w:orient="portrait"/>
          <w:cols w:equalWidth="0" w:num="2">
            <w:col w:w="400" w:space="260"/>
            <w:col w:w="10540"/>
          </w:cols>
          <w:pgMar w:left="320" w:top="229" w:right="379" w:bottom="1440" w:gutter="0" w:footer="0" w:header="0"/>
          <w:type w:val="continuous"/>
        </w:sectPr>
      </w:pPr>
    </w:p>
    <w:p>
      <w:pPr>
        <w:ind w:left="660" w:right="200" w:hanging="328"/>
        <w:spacing w:after="0" w:line="259"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 to shares of our Class A common stock reserved for future issuance under the 2025 Plan, which will become effective upon the effectiveness of the registration statement of which this prospectus forms a part, consisting of new shares and up to shares underlying outstanding awards granted under our 2015 Plan that, after the date the 2025 Plan becomes effective, either are not issued (due to the awards expiring or being settled in cash), are forfeited or repurchased due to failure to vest, or are withheld to satisfy the exercise, strike, or purchase price or tax withholding obligations; and</w:t>
      </w:r>
    </w:p>
    <w:p>
      <w:pPr>
        <w:spacing w:after="0" w:line="125" w:lineRule="exact"/>
        <w:rPr>
          <w:rFonts w:ascii="Arial" w:cs="Arial" w:eastAsia="Arial" w:hAnsi="Arial"/>
          <w:sz w:val="18"/>
          <w:szCs w:val="18"/>
          <w:color w:val="auto"/>
        </w:rPr>
      </w:pPr>
    </w:p>
    <w:p>
      <w:pPr>
        <w:ind w:left="660" w:right="600" w:hanging="328"/>
        <w:spacing w:after="0" w:line="287" w:lineRule="auto"/>
        <w:tabs>
          <w:tab w:leader="none" w:pos="12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the 2025 ESPP which will become effective in connection with this offering.</w:t>
      </w:r>
    </w:p>
    <w:p>
      <w:pPr>
        <w:spacing w:after="0" w:line="9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the extent any outstanding options are exercised, or any outstanding RSUs settle, or new stock options or RSUs are issued under our equity incentive plans, or we issue additional equity or convertible debt securities in the future, there will be further dilution to investors participating in this offering. If all outstanding options and RSUs under our 2015 Plan as of the date of this prospectus were exercised or settled, then our existing stockholders, including the holders of these securities would own approximately % and our new investors would own approximately % of the total number of shares of our Class A common stock and Class B common stock outstanding on the closing of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320" w:top="229" w:right="37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our consolidated financial statements and related notes, and other financial information, included elsewhere in this prospectus. In addition to our historical results of operations and financial position, this discussion contains forward-looking statements that involve risks and uncertainties. Our actual results could differ materially from those discussed in or implied by these forward-looking statements. Factors that could cause or contribute to such differences include, but are not limited to, those discussed in the section titled “Risk Factors.” Our historical results are not necessarily indicative of the results to be expected for any period in the future, and results for any interim period should not be construed as an inference of what our results would be for any full year or future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Navan is an end-to-end, AI-powered software platform built to simplify the global business T&amp;E experience, benefiting users, customers, and suppliers. From day one, we leveraged technology to reimagine business travel. We built a comprehensive platform that serves as the foundation for further disruption. We deliver delightful, personalized experiences for users, efficiency and control for customers, and direct market access for suppliers — all powered by our proprietary AI framework, Navan Cognition.</w:t>
      </w:r>
    </w:p>
    <w:p>
      <w:pPr>
        <w:spacing w:after="0" w:line="122"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The Navan platform creates a powerful flywheel effect where the user, customer, and supplier benefits reinforce each other. Our enterprise-grade platform is characterized by its intuitive design, ease of use, and tangible time-saving features, which foster a user-centric</w:t>
      </w:r>
    </w:p>
    <w:p>
      <w:pPr>
        <w:spacing w:after="0" w:line="250" w:lineRule="auto"/>
        <w:rPr>
          <w:sz w:val="20"/>
          <w:szCs w:val="20"/>
          <w:color w:val="auto"/>
        </w:rPr>
      </w:pPr>
      <w:r>
        <w:rPr>
          <w:rFonts w:ascii="Arial" w:cs="Arial" w:eastAsia="Arial" w:hAnsi="Arial"/>
          <w:sz w:val="18"/>
          <w:szCs w:val="18"/>
          <w:color w:val="auto"/>
        </w:rPr>
        <w:t>experience that travelers genuinely appreciate. This is reflected in our overall CSAT score of , our virtual agent CSAT score of , and NPS of , each as of , 2025. When frequent travelers have a positive, efficient experience and earn rewards, they are more likely to</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use Navan. The increased adoption gives the customer greater visibility into spending, stronger policy control, and cost savings, making them more invested in the platform. This, in turn, attracts more suppliers who want access to our large and loyal user base. With more suppliers and inventory available, we can offer better options and competitive pricing, further enhancing the experience for frequent travelers. This virtuous cycle strengthens each flywheel, creating a robust and self-sustaining ecosystem.</w:t>
      </w:r>
    </w:p>
    <w:p>
      <w:pPr>
        <w:spacing w:after="0" w:line="12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proprietary infrastructure, which we call Navan Cloud, enables us to provide global, real-time inventory for users and forms the foundation of our platform. We aggregate supply through direct supplier relationships, real-time API integrations, and a robust network of partnerships. From day one, Navan has leveraged artificial intelligence as a cornerstone of our platform. We built Navan Cognition, a new paradigm in AI-powered travel management. This proprietary framework enables us to create, train, deploy, and supervise specialized AI-powered virtual agents that can handle many complex tasks previously requiring human intervention. We make every step of the pre-booking, in-travel, and post-trip process as delightful and automated as possible. In fiscal 2025, % of bookings were made online or through mobile applications on the Navan platform. Our users on average are able to book a trip in seven minutes, far faster than the industry average of 45 minutes, according to Booking.com. And, in the majority of cases, users can resolve trip changes with a virtual agent, which Navan was, one of the first in the industry to offer.</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strategy is to land a customer with our Travel offering, delight our users and customers, broaden their engagement with Navan,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seek to manage all of their payments, expenses, VIP needs, meetings and events, and bleisure travel on our platform. As of</w:t>
            </w:r>
          </w:p>
        </w:tc>
        <w:tc>
          <w:tcPr>
            <w:tcW w:w="960" w:type="dxa"/>
            <w:vAlign w:val="bottom"/>
          </w:tcPr>
          <w:p>
            <w:pPr>
              <w:jc w:val="right"/>
              <w:spacing w:after="0"/>
              <w:rPr>
                <w:sz w:val="20"/>
                <w:szCs w:val="20"/>
                <w:color w:val="auto"/>
              </w:rPr>
            </w:pPr>
            <w:r>
              <w:rPr>
                <w:rFonts w:ascii="Arial" w:cs="Arial" w:eastAsia="Arial" w:hAnsi="Arial"/>
                <w:sz w:val="18"/>
                <w:szCs w:val="18"/>
                <w:color w:val="auto"/>
              </w:rPr>
              <w:t>, 2025,</w:t>
            </w:r>
          </w:p>
        </w:tc>
      </w:tr>
    </w:tbl>
    <w:p>
      <w:pPr>
        <w:jc w:val="both"/>
        <w:ind w:right="220" w:firstLine="308"/>
        <w:spacing w:after="0" w:line="255" w:lineRule="auto"/>
        <w:tabs>
          <w:tab w:leader="none" w:pos="5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of customers attached to three or more offerings. Because Navan unifies all aspects of travel in one system, it is used by employees across departments and seniority levels, driving deep organizational adoption. This integrated approach streamlines trip planning, digitizes in-trip expenses, and automates post-trip reconciliation, all while enhancing the overall customer experience. Our platform also provides actionable analytics and intelligence for managers to monitor and approve travel and entertainment spend in real-time.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22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platform is easy-to-use, yet powerful enough to address customers of all sizes across any industry vertical. As of January 31, 2025, we had over 10,000 active customers up 27% from over 8,000 active customers as of fiscal 2024. Our revenue grew 33% year-over-year from $402 million in fiscal 2024 to $537 million in fiscal 2025. Our net loss decreased 45% year-over-year from $332 million in fiscal 2024 to $181 million in fiscal 2025. Our gross booking volume grew 32% year-over-year from $5.0 billion in fiscal 2024 to $6.6 billion in fiscal 2025. Our payment volume grew 35% year-over-year from $2.7 billion in fiscal 2024 to $3.7 billion in fiscal 2025.</w:t>
      </w:r>
    </w:p>
    <w:p>
      <w:pPr>
        <w:spacing w:after="0" w:line="1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proprietary AI framework, Navan Cognition, significantly enhances support capabilities and has improved our gross margins, while leveraging powerful technology capabilities across our platform, making Navan an increasingly formidable competitor. For example, our AI-powered virtual agent chatbot, Ava, was capable of effectively handling % of customer interactions as of , 2025. Our GAAP gross margin improved from 60% in fiscal 2024 to 68% in fiscal 2025. Our non-GAAP gross margin improved from 62% in fiscal 2024 to 69% in fiscal 2025. See the section titled “—Non-GAAP Financial Measures” below for information regarding our use of non-GAAP gross margin and a reconciliation of gross margin to non-GAAP gross margin.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120650</wp:posOffset>
            </wp:positionV>
            <wp:extent cx="5349240" cy="3317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Our Business Works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revenue is driven by our ability to attract new customers and retain and expand existing customers by providing an end-to-end platform that facilitates the full spectrum of their travel, payments, and expense management needs, ultimately helping our customers succeed. We serve customers of all sizes, verticals, and regions, and our vast network of suppliers and payment partners helps us capture this opportunity. The breadth of our offerings aligns the interests of our users, customers, suppliers, and payment partners. As of January 31, 2025, we had more than 10,000 active customers, millions of supply partners and lodging properties, and multiple payment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229"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 on a usage or subscription basis from the following:</w:t>
      </w:r>
    </w:p>
    <w:p>
      <w:pPr>
        <w:spacing w:after="0" w:line="171" w:lineRule="exact"/>
        <w:rPr>
          <w:sz w:val="20"/>
          <w:szCs w:val="20"/>
          <w:color w:val="auto"/>
        </w:rPr>
      </w:pPr>
    </w:p>
    <w:p>
      <w:pPr>
        <w:ind w:left="660" w:right="20" w:hanging="328"/>
        <w:spacing w:after="0" w:line="259"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Customers: </w:t>
      </w:r>
      <w:r>
        <w:rPr>
          <w:rFonts w:ascii="Arial" w:cs="Arial" w:eastAsia="Arial" w:hAnsi="Arial"/>
          <w:sz w:val="18"/>
          <w:szCs w:val="18"/>
          <w:color w:val="auto"/>
        </w:rPr>
        <w:t>Our customers include companies and organizations that contract with us to provide their employees (our users)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our Travel Management offerings or Expense Management offering. We typically enter into annual or multi-year contracts whereby customers pay a per-trip or per-transaction fee for access to our Travel offering or on-demand travel management offerings (our VIP, Meetings and Events, and Bleisure offerings) and pay an annual subscription fee for access to our Expense Management offering.</w:t>
      </w:r>
    </w:p>
    <w:p>
      <w:pPr>
        <w:spacing w:after="0" w:line="125"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Suppliers: </w:t>
      </w:r>
      <w:r>
        <w:rPr>
          <w:rFonts w:ascii="Arial" w:cs="Arial" w:eastAsia="Arial" w:hAnsi="Arial"/>
          <w:sz w:val="18"/>
          <w:szCs w:val="18"/>
          <w:color w:val="auto"/>
        </w:rPr>
        <w:t>Our suppliers include airlines, hotels, rental car companies, rail carriers, and providers of GDS. We earn revenue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in the form of commissions based on the dollar volume of bookings made by users on our platform and a commission rate for each supplier.</w:t>
      </w:r>
    </w:p>
    <w:p>
      <w:pPr>
        <w:spacing w:after="0" w:line="116"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Payment partners: </w:t>
      </w:r>
      <w:r>
        <w:rPr>
          <w:rFonts w:ascii="Arial" w:cs="Arial" w:eastAsia="Arial" w:hAnsi="Arial"/>
          <w:sz w:val="18"/>
          <w:szCs w:val="18"/>
          <w:color w:val="auto"/>
        </w:rPr>
        <w:t>Our payment partners primarily include corporate card payment processors and card issuing partners. We earn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our payment partners from fees based on the dollar volume of spend on our corporate cards.</w:t>
      </w:r>
    </w:p>
    <w:p>
      <w:pPr>
        <w:spacing w:after="0" w:line="9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There is a period of time between when we acquire new customers and when we begin to recognize ramped revenues from them. This period usually involves the time required to implement our platform technology, move travel budgets to our platform, and then launch initial bookings. After a customer implements our platform, we seek to increase spending by the customer, including through increased adoption of and engagement with our offerings, with the goal to have the majority of their travel budgets managed on our platform. The time required for new customers to ramp bookings on our platform and expand engagement with our offerings depends on the size, scope, and complexity of a customer’s overall travel spend.</w:t>
      </w:r>
    </w:p>
    <w:p>
      <w:pPr>
        <w:spacing w:after="0" w:line="12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usage-based revenue is derived from GBV and payment volume, as further described below. We define GBV as the total amount paid for valid bookings on our platform, measured on a booked basis and inclusive of taxes and fees, and adjusted for cancellations and refunds. We generate GBV through hotel, flight, car, and rail bookings, along with usage of our VIP, Meetings and Events, and Bleisure offerings by our customers. We expand GBV by growing our customer base, managing more business travel spend on our platform, increasing our payment volume, and introducing new offerings to address different types of business travel. Our revenue growth depends on our ability to convert GBV into usage-based revenue. We generated usage-based revenue of $490.4 million and $371.7 million in fiscal 2025 and fiscal 2024, respectively, representing approximately 90% of our total revenue for each year. Our usage yield was approximately 7% in each of fiscal 2025 and fiscal 2024. Usage yield for a fiscal period equals usage-based revenue divided by GBV for such period and represents our ability to convert GBV into usage-based revenue.</w:t>
      </w:r>
    </w:p>
    <w:p>
      <w:pPr>
        <w:spacing w:after="0" w:line="127"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We define payment volume as the aggregate dollar amount of spend through Navan issued cards, settled for a given period and net of any chargebacks, cancellations, or refunds. We grow our payment volume by increasing customer adoption and engagement with our Corporate Payments offering through solutions such as Navan virtual card, where we support and issue our own cards. For fiscal 2025, we generated $3.7 billion of payment volume.</w:t>
      </w:r>
    </w:p>
    <w:p>
      <w:pPr>
        <w:spacing w:after="0" w:line="12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also generate subscription -based revenue from customers who use our travel and expense management offerings. The majority of our subscription-based revenue is from our expense management product, which includes customers using the Navan card, or their own cards through Navan Connect, in addition to our expense reconciliation offering. We typically enter into annual or multi-year subscription contracts for expense management, and we price contracts based on the number of users. We generated subscription-based revenue of $46.5 million and $30.5 million in fiscal 2025 and fiscal 2024, respectively, representing approximately 10% of our total revenue for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320" w:top="229" w:right="3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grow our customers, GBV, payment volume, and revenue through a diverse go-to-market strategy.</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employ a land-and-expand strategy. We generally land a customer in travel and seek to manage all of their business travel spend on our platform, including previously unmanaged spend. We expand usage of our platform by our customers by increasing their adoption of and engagement with additional offerings, including Corporate Payments, Expense Management, Meetings and Events, VIP, and Bleisure. The success of our land and expand strategy is demonstrated by our strong Net Revenue Retention Rate, or NRR, which was above 110% as of January 31, 2024 and January 31, 2025, respectively.</w:t>
      </w:r>
    </w:p>
    <w:p>
      <w:pPr>
        <w:spacing w:after="0" w:line="1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determine NRR on an annual basis to account for normal seasonality in our business. To calculate NRR as of a given fiscal year end, which fiscal year is referred to as the Current Period, we first identify a cohort of customers, referred to as the Customer Cohort, for the fiscal year prior to the Current Period, which fiscal year is referred to as the Base Period. To be included in the Customer Cohort, a customer must have been an active customer as of the beginning and the end of the Base Period. We then divide total annual revenue from the Customer Cohort in the Current Period, referred to as Current Period Revenue, by total annual revenue from the Customer Cohort in the Base Period, referred to as Base Period Revenue, to derive our annual NRR as of the end of the Current Period.</w:t>
      </w:r>
    </w:p>
    <w:p>
      <w:pPr>
        <w:spacing w:after="0" w:line="128" w:lineRule="exact"/>
        <w:rPr>
          <w:sz w:val="20"/>
          <w:szCs w:val="20"/>
          <w:color w:val="auto"/>
        </w:rPr>
      </w:pPr>
    </w:p>
    <w:p>
      <w:pPr>
        <w:ind w:right="20" w:firstLine="324"/>
        <w:spacing w:after="0" w:line="291" w:lineRule="auto"/>
        <w:rPr>
          <w:sz w:val="20"/>
          <w:szCs w:val="20"/>
          <w:color w:val="auto"/>
        </w:rPr>
      </w:pPr>
      <w:r>
        <w:rPr>
          <w:rFonts w:ascii="Arial" w:cs="Arial" w:eastAsia="Arial" w:hAnsi="Arial"/>
          <w:sz w:val="17"/>
          <w:szCs w:val="17"/>
          <w:color w:val="auto"/>
        </w:rPr>
        <w:t>Current Period Revenue (i) includes any expansion, contraction, or attrition from the Customer Cohort during the Current Year Period and (ii) excludes any revenue from new customers acquired during the Current Period. Any customer in the Customer Cohort that did not transact on our platform during the Current Period remains in the calculation and, as a result, does not contribute to Current Period Revenue.</w:t>
      </w:r>
    </w:p>
    <w:p>
      <w:pPr>
        <w:spacing w:after="0" w:line="99"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We have a dual-pronged go-to-market strategy that consists of direct sales-led growth, or SLG, and product-led growth, or PLG. We derive the vast majority of our revenue through direct sales of our offerings. We target customers who already have a travel and expense vendor or solution to manage their spend and customers who are traditionally unmanaged, meaning they were not using any travel and expense vendor or solution.</w:t>
      </w:r>
    </w:p>
    <w:p>
      <w:pPr>
        <w:spacing w:after="0" w:line="12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Account executives, our direct sales team, are focused on new customer acquisitions where we seek to manage all business travel spend on our platform. Our customer success team assists our account executives with post-sale support and are focused on driving more value to our existing customers. This includes increased engagement with our platform as well as adoption of new offerings by our existing customers. Our customer success team manages our customers’ launch and ramping period and ensures they are getting the most out of our platform.</w:t>
      </w:r>
    </w:p>
    <w:p>
      <w:pPr>
        <w:spacing w:after="0" w:line="1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user-friendly platform positions us well to increase our share of the unmanaged category. As a result, we have recently invested in our PLG strategy, whereby we market our platform and its benefits to customers who sign up through our website or application and begin managing their business travel spend with low-touch sales representative support. This segment of our go-to-market strategy is typically aimed at smaller companies who do not use a purpose-built system to manage their business travel spend. Our PLG acquisition strategies are designed to be a more efficient way to serve our smaller customers and access new addressable markets.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1"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color w:val="auto"/>
        </w:rPr>
        <w:t>We monitor and review a number of metrics, including the following key business metrics, to evaluate our business, measure our performance, identify trends affecting our business, formulate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229"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projections, and make strategic decisions. We believe that these key business metrics provide meaningful supplemental information in assessing our operating performance.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Year Ended January 31,</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1"/>
                <w:szCs w:val="11"/>
                <w:color w:val="auto"/>
              </w:rPr>
            </w:pPr>
          </w:p>
        </w:tc>
        <w:tc>
          <w:tcPr>
            <w:tcW w:w="11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800" w:type="dxa"/>
            <w:vAlign w:val="bottom"/>
          </w:tcPr>
          <w:p>
            <w:pPr>
              <w:jc w:val="right"/>
              <w:ind w:right="697"/>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60" w:type="dxa"/>
            <w:vAlign w:val="bottom"/>
            <w:gridSpan w:val="4"/>
          </w:tcPr>
          <w:p>
            <w:pPr>
              <w:jc w:val="right"/>
              <w:ind w:right="657"/>
              <w:spacing w:after="0"/>
              <w:rPr>
                <w:sz w:val="20"/>
                <w:szCs w:val="20"/>
                <w:color w:val="auto"/>
              </w:rPr>
            </w:pPr>
            <w:r>
              <w:rPr>
                <w:rFonts w:ascii="Arial" w:cs="Arial" w:eastAsia="Arial" w:hAnsi="Arial"/>
                <w:sz w:val="14"/>
                <w:szCs w:val="14"/>
                <w:b w:val="1"/>
                <w:bCs w:val="1"/>
                <w:color w:val="auto"/>
              </w:rPr>
              <w:t>(in billions, except customer data and percentages)</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booking volume (GBV)</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Payment volume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3.7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80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customers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10,000</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8,000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Booking Volume (GBV)</w:t>
      </w:r>
    </w:p>
    <w:p>
      <w:pPr>
        <w:spacing w:after="0" w:line="16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define GBV as the total amount paid for valid bookings on our platform, measured on a booked basis and inclusive of total price, taxes, and fees, and adjusted for cancellations and refunds. We generate GBV through hotel, flight, car, and rail bookings, along with usage of our Meetings and Events, VIP, and Bleisure offerings by our customers. We expand GBV by growing our customer base, managing more business travel spend on our platform, increasing our payment volume, and introducing new offerings to address different types of business travel.</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Volume</w:t>
      </w:r>
    </w:p>
    <w:p>
      <w:pPr>
        <w:spacing w:after="0" w:line="169"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We define payment volume as the aggregate dollar amount of spend through Navan issued cards, settled for a given period and net of any chargebacks, cancellations, or refunds. Our payment volume grows as we increase adoption and usage of our Corporate Payments offering by more of our customers through solutions such as Navan virtual card, where we support and issue our own cards.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Active Customers</w:t>
      </w:r>
    </w:p>
    <w:p>
      <w:pPr>
        <w:spacing w:after="0" w:line="16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define an active customer as a customer that has transacted on the Navan platform six or more times in the 12 months preceding the measurement date and that has generated any form of usage-based revenue from a user’s booking on our platform during this period. A single company or organization with multiple divisions, segments, or subsidiaries is generally counted as a single customer, even though we may enter into agreements with multiple parties within that company or organization.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6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believe there is substantial opportunity to continue to grow our customer base across both the managed and unmanaged categories, as well as across both our direct SLG and PLG channels. As such, we will continue to invest in sales and marketing to drive awareness of our platform in order to continue adding new customers. As of January 31, 2025 and 2024, we had over 10,000 and over 8,000 active customers, respectively, on our platform across a broad range of sizes, regions, and industries.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16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expect to continue investing in our Customer Success teams within our sales and marketing function to drive more revenue from our existing customers. We typically land our customers with our travel platform. As we help our customers realize the benefits of our platform, we expect them to adopt and engage with additional offerings, including Corporate Payments, Expense Management, Meetings and Events,</w:t>
      </w:r>
    </w:p>
    <w:p>
      <w:pPr>
        <w:spacing w:after="0" w:line="1"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auto"/>
        </w:rPr>
        <w:t>VIP, and Bleisure. As of , 2025, % of customers attached to three or more offerings. This added value for customers also benefits our own financial performance. To measure the effectiveness of our land and expand strategy, we track the NRR from our existing customers, which remained above 110% as of the end of each of fiscal 2025 and fiscal 2024. We believe the growth in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of our platform by our existing customers is an important measure of the health of our business and our future growth.</w:t>
      </w:r>
    </w:p>
    <w:p>
      <w:pPr>
        <w:spacing w:after="0" w:line="17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intend to continue investing in enhancing awareness of our brand and developing more offerings, features and functionality, which we believe are important factors to achieve widespread adoption of all our offerings. Our ability to increase sales to existing customers will depend on a number of factors, including our customers’ satisfaction with our platform and technologies, competition, pricing, and overall changes in our customers’ T&amp;E spending levels.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Sustaining Innovation and Leadership</w:t>
      </w:r>
    </w:p>
    <w:p>
      <w:pPr>
        <w:spacing w:after="0" w:line="169" w:lineRule="exact"/>
        <w:rPr>
          <w:sz w:val="20"/>
          <w:szCs w:val="20"/>
          <w:color w:val="auto"/>
        </w:rPr>
      </w:pPr>
    </w:p>
    <w:p>
      <w:pPr>
        <w:ind w:right="20" w:firstLine="324"/>
        <w:spacing w:after="0" w:line="291" w:lineRule="auto"/>
        <w:rPr>
          <w:sz w:val="20"/>
          <w:szCs w:val="20"/>
          <w:color w:val="auto"/>
        </w:rPr>
      </w:pPr>
      <w:r>
        <w:rPr>
          <w:rFonts w:ascii="Arial" w:cs="Arial" w:eastAsia="Arial" w:hAnsi="Arial"/>
          <w:sz w:val="17"/>
          <w:szCs w:val="17"/>
          <w:color w:val="auto"/>
        </w:rPr>
        <w:t>Our success is dependent on our ability to sustain our leadership in innovation and technology. We have invested heavily in building out Navan Cloud, our global infrastructure, which is designed to enable the delivery of a wide range of travel content to our customers. We intend to continue investing in our infrastructure to ensure that our customers have a broad array of options and choices when using our platform.</w:t>
      </w:r>
    </w:p>
    <w:p>
      <w:pPr>
        <w:spacing w:after="0" w:line="9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To further enhance customer choice and flexibility, we developed Navan Connect, which allows customers to integrate their existing systems and preferences and offers actionable real-time visibility and policy enforcement for business expense management. While Connect does not itself generate revenue for Navan, we believe the flexibility it offers our customers helps drive easier and faster adoption of our Expense Management offering.</w:t>
      </w:r>
    </w:p>
    <w:p>
      <w:pPr>
        <w:spacing w:after="0" w:line="12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also invested significantly in AI to help make every step of the pre-booking, in-travel, and post-trip process as appealing and automated as possible. We view these investments as important tools to improve the efficiency of the booking process, how we operate our business, and how we serve our customers. We were one of the first travel companies to incorporate machine learning techniques into our offerings, leveraging proprietary algorithms to provide users with personalized intelligent recommendations, dynamic policy tools, and an overall seamless, end-to-end travel experience.</w:t>
      </w:r>
    </w:p>
    <w:p>
      <w:pPr>
        <w:spacing w:after="0" w:line="12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addition, we have continued to expand our investments in AI, including by building Navan Cognition, our proprietary AI framework. Navan Cognition is designed to leverage third-party large language models with our own proprietary, internally developed software to enable us to create, train, deploy, and supervise our specialized virtual agents that can handle many complex tasks previously requiring human intervention. Our purpose-designed AI-powered virtual agents can reliably handle a range of autonomous tasks, from communicating with users through chat or voice commands to real-time decision making, such as booking and cancelling flights and expense tracking. Because this workforce responds to the significant majority of travelers’ needs, we typically require only limited human agent intervention. This technology enables us to efficiently scale our platform, allowing us to maintain a high level of service to customers for their basic needs and reserve agent time for more critical or complex customer service situations. We intend to continue investing in research and development, including for our infrastructure and AI capabilities to make our offerings even more scalable and personalized to our users. We are particularly focused on our AI investments, which have allowed us to build and continue to develop Navan Cognition. We expect to continue to invest in Navan Cognition in order to further enable us, and potentially to enable outside organizations, to create and oversee AI-powered virtual agents with enterprise-grade reliability. We also expect to continue to invest in future product interface enhancements such as Navan Go, which is powered by Navan Cognition and designed to redefine how travelers book, modify, and manage trips on the go via their mobile devices. See the section titled “Business–Our Solution–Navan Cognition: Our New Paradigm in AI-Powered Travel Management” for more information about Navan Cognition.</w:t>
      </w:r>
    </w:p>
    <w:p>
      <w:pPr>
        <w:spacing w:after="0" w:line="129"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color w:val="auto"/>
        </w:rPr>
        <w:t>Our AI workforce’s performance, quality and accuracy has been rated with a CSAT of as of , 2025. An increasing amount of our support services is becoming automated through our AI-powered virtual agent chatbot, Ava, with more than % of interactions being handled without live agent intervention as of , 2025. Our ability to control customer support costs over time, even as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support volume has increased significantly, has contributed to an increase in GAAP gross margin from 60% in fiscal 2024 to 68% in fiscal 2025, and non-GAAP gross margin increased from 62% in fiscal 2024 to 69% in fiscal 2025. See the section titled “Non-GAAP Financial Measures” below for information regarding our use of non-GAAP gross margin and a reconciliation of gross margin to non-GAAP gross margin.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 Organically and Inorganically</w:t>
      </w:r>
    </w:p>
    <w:p>
      <w:pPr>
        <w:spacing w:after="0" w:line="16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have a highly successful track record of organic and inorganic investments and may consider additional M&amp;A opportunities. We have previously executed and integrated multiple acquisitions, including R&amp;M, Comtravo, Resia, Atlanta, Tripeur, and Regent, expanding our geographic footprint and strengthening our offering capabilities across core markets. Historically, inorganic growth efforts have focused on expanding international presence, deepening supply relationships, and extending our presence in key regions. For example, in April 2021, we acquired R&amp;M (UK business travel management company) and in February 2022, we acquired Comtravo (German business travel management company) for regional expertise and local inventory. We also acquired Resia (Scandinavian travel management company) in March 2022 and Atlanta (Spanish travel management company) in November 2022 to drive supply growth and support in the Nordics and in Spain, respectively. In April 2023, we acquired Tripeur (India-based, AI-powered business travel and expense management company) to cater to Indian consumer demands. In June 2024, we acquired Regent to gain exposure to the large Italian market. These acquisitions have accelerated our growth, enhanced localization, and enabled the company to serve a broader spectrum of enterprise customers with differentiated offerings tailored to regional travel and compliance needs. We may continue to make M&amp;A investments that allow us to further strengthen our platform, accelerate growth, and improve our offerings to best serve our diverse customer base.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 and Travel Demand</w:t>
      </w:r>
    </w:p>
    <w:p>
      <w:pPr>
        <w:spacing w:after="0" w:line="16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generally experience seasonality in our revenue, primarily related to seasonal travel trends of business travelers. Revenue is driven by travel volume, and our users typically travel less during holiday periods, though this effect varies regionally. As a result, our revenue has historically been strongest in the third fiscal quarter. Payments revenue is driven by the volume of corporate card spending, primarily through travel bookings. When frequent travelers are travelling less, this component of revenue may be less than at other times of the year.</w:t>
      </w:r>
    </w:p>
    <w:p>
      <w:pPr>
        <w:spacing w:after="0" w:line="12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Although we expect introductions of new offerings and expansions of existing offerings to counterbalance some of the seasonality we have historically experienced, we anticipate that revenue from both our existing Travel Management offerings and Corporate Payments offering will continue to represent a significant proportion of our overall revenue mix, and that seasonality will continue to impact our results of operations.</w:t>
      </w:r>
    </w:p>
    <w:p>
      <w:pPr>
        <w:spacing w:after="0" w:line="122"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In addition, demand for travel fluctuates based on a number of factors, including periods of perceived or actual adverse economic conditions and times of political or economic uncertainty, which may impact our business and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primary sources of revenue are fees earned from customers for access to our travel and expense management platform (our Travel offering and Expense Management offering) or on-demand travel management services (our Meetings and Events, VIP, and Bleisure offerings), and from suppliers as well as from our payment partners (through our Corporate Payments offering) for connection to our network of travel bookings and corporate card transaction dollar volume. Fees from our customers are either earned on a per-booking transaction or subscription basis. Fees from our suppliers and payment partners are generally earned on a per transaction basis. Under arrangements with certain suppliers, we earn additional fees when cumulative actual booking or transaction dollar volume exceeds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229"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contractual thresholds. Our suppliers include airlines, hotels, car rental companies, rail carriers, and providers of GDSs. Our payment partners primarily include our corporate card payment processors and card issuing partners.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 cloud infrastructure costs incurred to deliver our cloud-based travel and expense management platform, amortization of internally developed software and acquired technology, credit card processing fees, third-party vendor fees, and the allocation of certain corporate costs. We expect to incur additional stock-based compensation expense in periods following the completion of this offering as RSUs meet their service-based vesting conditions, calculated using the accelerated attribution method for RSUs with a performance-based vesting condition and using the straight-line method for RSUs granted following the closing of this offering and without a performance-based vesting condition.</w:t>
      </w:r>
    </w:p>
    <w:p>
      <w:pPr>
        <w:spacing w:after="0" w:line="131" w:lineRule="exact"/>
        <w:rPr>
          <w:sz w:val="20"/>
          <w:szCs w:val="20"/>
          <w:color w:val="auto"/>
        </w:rPr>
      </w:pPr>
    </w:p>
    <w:p>
      <w:pPr>
        <w:ind w:right="900" w:firstLine="324"/>
        <w:spacing w:after="0" w:line="287" w:lineRule="auto"/>
        <w:rPr>
          <w:sz w:val="20"/>
          <w:szCs w:val="20"/>
          <w:color w:val="auto"/>
        </w:rPr>
      </w:pPr>
      <w:r>
        <w:rPr>
          <w:rFonts w:ascii="Arial" w:cs="Arial" w:eastAsia="Arial" w:hAnsi="Arial"/>
          <w:sz w:val="18"/>
          <w:szCs w:val="18"/>
          <w:color w:val="auto"/>
        </w:rPr>
        <w:t>We expect that our cost of revenue may fluctuate as a percentage of our revenue from period to period depending on revenue seasonality or other factors impacting revenue, and to decline as a percentage of revenue over the long term.</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indirect operating costs and depreciation on property and equipment, and the allocation of certain corporate costs. We expect to incur additional stock-based compensation expense in periods following the completion of this offering as RSUs meet their service-based vesting conditions, calculated using the accelerated attribution method for RSUs with a performance-based vesting condition and using the straight-line method for RSUs granted following the closing of this offering and without a performance-based vesting condition.</w:t>
      </w:r>
    </w:p>
    <w:p>
      <w:pPr>
        <w:spacing w:after="0" w:line="129" w:lineRule="exact"/>
        <w:rPr>
          <w:sz w:val="20"/>
          <w:szCs w:val="20"/>
          <w:color w:val="auto"/>
        </w:rPr>
      </w:pPr>
    </w:p>
    <w:p>
      <w:pPr>
        <w:jc w:val="both"/>
        <w:ind w:right="180" w:firstLine="324"/>
        <w:spacing w:after="0" w:line="268" w:lineRule="auto"/>
        <w:rPr>
          <w:sz w:val="20"/>
          <w:szCs w:val="20"/>
          <w:color w:val="auto"/>
        </w:rPr>
      </w:pPr>
      <w:r>
        <w:rPr>
          <w:rFonts w:ascii="Arial" w:cs="Arial" w:eastAsia="Arial" w:hAnsi="Arial"/>
          <w:sz w:val="18"/>
          <w:szCs w:val="18"/>
          <w:color w:val="auto"/>
        </w:rPr>
        <w:t>We expect that research and development expenses may fluctuate as a percentage of our revenue from period to period depending on the timing of these expenses and revenue seasonality or other factors impacting revenue, and to decline as a percentage of revenue over the long term.</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6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 corporate costs. In addition, we expect to incur additional stock-based compensation expense in periods following the completion of this offering as RSUs meet their service-based vesting conditions, calculated using the accelerated attribution method for RSUs with a performance-based vesting condition and using the straight-line method for RSUs granted following the closing of this offering and without a performance-based vesting condition. We expense certain sales and marketing costs, including promotional expenses, as incurred. We plan to increase our investment in sales and marketing for the foreseeable future, primarily through increased headcount in our sales function and investment in brand and product-marketing efforts.</w:t>
      </w:r>
    </w:p>
    <w:p>
      <w:pPr>
        <w:spacing w:after="0" w:line="131"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In the near term, we expect that our sales and marketing expenses will increase in absolute dollars as we continue to invest in our sales and marketing organization to drive continued adoption of our platform. We expect that sales and marketing expenses may fluctuate as a percentage of our revenue from period to period depending on the timing of these expenses and revenue seasonality or other factors impacting revenue, and to decline as a percentage of revenue over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and the allocation of certain corporate costs. General and administrative expenses also include bad debt expenses.</w:t>
      </w:r>
    </w:p>
    <w:p>
      <w:pPr>
        <w:spacing w:after="0" w:line="1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General and administrative expenses are expensed as incurred. We expect to increase the size of our general and administrative function to support the growth of our business. Following the completion of this offering, we expect to incur additional general and administrative expenses as a result of operating as a public company. Further, we expect to incur additional stock-based compensation expense in periods following the completion of this offering as RSUs meet their service-based vesting conditions, calculated using the accelerated attribution method for RSUs with a performance-based vesting condition and using the straight-line method for RSUs granted following the closing of this offering and without a performance-based vesting condition. As a result, we expect that our general and administrative expenses will increase in absolute dollars for the foreseeable future. We expect our general and administrative expenses may vary from period to period as a percentage of revenue in the near term and to decline as a percentage of revenue in the long term.</w:t>
      </w:r>
    </w:p>
    <w:p>
      <w:pPr>
        <w:spacing w:after="0" w:line="13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 the quarter in which this offering is completed, we will recognize approximately $ million of stock-based compensation expense across our cost of revenue and operating expenses associated with the satisfaction of the performance-based vesting condition for outstanding RSUs for which the service-based vesting conditions have been fully or partially satisfied upon the effective date of the registration statement of which this prospectus forms a part.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Interest expense primarily relates to interest expense on our borrowings, including amortization of debt discount and issuance costs related to our outstanding debt.</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9"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Other income (expense), net primarily consists of interest income earned on cash and cash equivalents, foreign exchange gains and losses, and other non-operating gains and losses.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(Loss) on Fair Value Adjustments</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Gain (loss) on fair value adjustments primarily consists of gains and losses as a result of recording our embedded derivative and warrant liabilities at fair value at the end of each reporting period.</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9"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Income tax expense primarily consists of income taxes in certain federal, state, and foreign jurisdictions in which we conduct business. We maintain a full valuation allowance against our U.S. federal and state deferred tax assets, and certain foreign deferred tax assets, as we have concluded that it is not more likely than not that these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320" w:top="229" w:right="3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January 31,</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402,256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162,622</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239,634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132,442</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218,722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220,511</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133,023</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485,976</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(246,342)</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(75,997)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(63,281)</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Gain (loss) on fair value adjustments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(26,594)</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(326,124)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(331,552)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is included in the following components of expenses within the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Year Ended January 31,</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27,039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28,189</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The following table sets forth our consolidated statements of operations data expressed as a percentage of revenue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ind w:right="876"/>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21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Total operating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216"/>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15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Gain (loss) on fair value adjustments</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4"/>
            <w:vMerge w:val="restart"/>
          </w:tcPr>
          <w:p>
            <w:pPr>
              <w:ind w:left="340"/>
              <w:spacing w:after="0"/>
              <w:rPr>
                <w:sz w:val="20"/>
                <w:szCs w:val="20"/>
                <w:color w:val="auto"/>
              </w:rPr>
            </w:pPr>
            <w:r>
              <w:rPr>
                <w:rFonts w:ascii="Arial" w:cs="Arial" w:eastAsia="Arial" w:hAnsi="Arial"/>
                <w:sz w:val="18"/>
                <w:szCs w:val="18"/>
                <w:b w:val="1"/>
                <w:bCs w:val="1"/>
                <w:i w:val="1"/>
                <w:iCs w:val="1"/>
                <w:color w:val="auto"/>
              </w:rPr>
              <w:t>Comparison of the Fiscal Years Ended January 31, 2025 and 2024</w:t>
            </w: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24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600" w:type="dxa"/>
            <w:vAlign w:val="bottom"/>
          </w:tcPr>
          <w:p>
            <w:pPr>
              <w:ind w:left="340"/>
              <w:spacing w:after="0"/>
              <w:rPr>
                <w:sz w:val="20"/>
                <w:szCs w:val="20"/>
                <w:color w:val="auto"/>
              </w:rPr>
            </w:pPr>
            <w:r>
              <w:rPr>
                <w:rFonts w:ascii="Arial" w:cs="Arial" w:eastAsia="Arial" w:hAnsi="Arial"/>
                <w:sz w:val="18"/>
                <w:szCs w:val="18"/>
                <w:i w:val="1"/>
                <w:iCs w:val="1"/>
                <w:color w:val="auto"/>
              </w:rPr>
              <w:t>Revenue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Usage-based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371,728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Subscription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46,481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30,528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15,953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536,837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402,256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134,581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for the year ended January 31, 2025 increased by $134.6 million, or 33%.</w:t>
      </w:r>
    </w:p>
    <w:p>
      <w:pPr>
        <w:spacing w:after="0" w:line="171" w:lineRule="exact"/>
        <w:rPr>
          <w:sz w:val="20"/>
          <w:szCs w:val="20"/>
          <w:color w:val="auto"/>
        </w:rPr>
      </w:pPr>
    </w:p>
    <w:p>
      <w:pPr>
        <w:jc w:val="both"/>
        <w:ind w:right="80" w:firstLine="324"/>
        <w:spacing w:after="0" w:line="262" w:lineRule="auto"/>
        <w:rPr>
          <w:sz w:val="20"/>
          <w:szCs w:val="20"/>
          <w:color w:val="auto"/>
        </w:rPr>
      </w:pPr>
      <w:r>
        <w:rPr>
          <w:rFonts w:ascii="Arial" w:cs="Arial" w:eastAsia="Arial" w:hAnsi="Arial"/>
          <w:sz w:val="18"/>
          <w:szCs w:val="18"/>
          <w:color w:val="auto"/>
        </w:rPr>
        <w:t>The increase in revenue for the year ended January 31, 2025, compared to the year ended January 31, 2024, was due to (i) an increase in usage-based revenue driven by a 32% increase in GBV and a 35% increase in payment volume as we increased our customer base and expanded engagement with our platform and offerings by existing customers, and (ii) an increase in subscription revenue primarily driven by increased adoption of our Expense Management offering by new and existing customers on our platform.</w:t>
      </w:r>
    </w:p>
    <w:p>
      <w:pPr>
        <w:spacing w:after="0" w:line="122"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The impact of foreign currency translation on the change in revenue from the year ended January 31, 2024 to the year ended January 31, 2025 was not material.</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 and Gross Profit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60" w:type="dxa"/>
            <w:vAlign w:val="bottom"/>
            <w:gridSpan w:val="5"/>
          </w:tcPr>
          <w:p>
            <w:pPr>
              <w:ind w:left="52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66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169,815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162,622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367,022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239,634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127,388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240"/>
          </w:cols>
          <w:pgMar w:left="320" w:top="229"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Cost of revenue for the year ended January 31, 2025 increased by $7.2 million, or 4%, primarily due to an increase in salaries and related benefits of $4.6 million, an increase in merchant fees of $2.9 million, and an increase in cloud hosting, support, processing and ticketing fees of $2.8 million, offset by a $2.9 million decrease in depreciation related to the early termination of an office lease during the year ended January 31, 2024, and a decrease in stock-based compensation of $0.1 million. The increase in gross profit and gross profit percentage is primarily due to an increase in revenue on a relatively fixed cost base supported by our delivery of AI-powered customer support.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4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122,386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132,442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bl>
    <w:p>
      <w:pPr>
        <w:spacing w:after="0" w:line="23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Research and development expense for the year ended January 31, 2025 decreased by $10.1 million, or 8%, primarily due to a decrease in salaries and related benefits of $13.4 million driven by a reduction in headcount, offset by an increase of $3.4 million in stock-based compensation.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4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bl>
    <w:p>
      <w:pPr>
        <w:spacing w:after="0" w:line="22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Sales and marketing expense for the year ended January 31, 2025 decreased by $1.8 million, or 1%, primarily due to (i) a decrease in sales commissions expense of $13.7 million, primarily driven by a change in our sales compensation plans during the year ended January 31, 2025, which resulted in an increase in the capitalization of certain contract acquisition costs, partially offset by (ii) an increase in advertising expense, which primarily consists of digital marketing spend, of $6.3 million, and (iii) an increase in salaries and related benefits, including stock-based compensation, of $6.2 million.</w:t>
      </w:r>
    </w:p>
    <w:p>
      <w:pPr>
        <w:spacing w:after="0" w:line="125"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color w:val="auto"/>
        </w:rPr>
        <w:t>Refer to Note 1, “Description of Business and Significant Accounting Policies” to our consolidated financial statements included elsewhere in this prospectus for further details regarding our accounting policy for contract acquisition costs.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January 31,</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ind w:left="44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133,552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w w:val="99"/>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60"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General and administrative expense for the year ended January 31, 2025 increased by $ 0.5 million, or less than 1%, primarily due to (i) an increase in expense of $23.0 million related to the release of a tax contingency reserve in the year ended January 31, 2024 and (ii) an increase in professional services expenses of $2.5 million, primarily driven by accounting and advisory services necessary to support our growth and public company preparation activities, in addition to recruiting and placement fees, partially offset by (iii) a decrease in salaries and related benefits, including stock-based compensation, of $10.0 million compared to the year ended January 31, 2024, (iv) a decrease in facilities and IT-related costs of $6.9 million, (v) a decrease in expense of $3.7 million due to the write-off of previously capitalized offering costs in the year ended January 31, 2024, and (vi) a decrease in bad debt expense of $2.1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primarily driven by improved credit and collection processes and shorter payment terms for existing customers.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7"/>
        </w:trPr>
        <w:tc>
          <w:tcPr>
            <w:tcW w:w="4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00" w:type="dxa"/>
            <w:vAlign w:val="bottom"/>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bl>
    <w:p>
      <w:pPr>
        <w:spacing w:after="0" w:line="238"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Interest expense for the year ended January 31, 2025 increased by $12.7 million, or 20%, primarily due to higher borrowing levels under the Warehouse Credit Facility and the Trade Loan Facility.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3280" w:type="dxa"/>
            <w:vAlign w:val="bottom"/>
            <w:gridSpan w:val="6"/>
          </w:tcPr>
          <w:p>
            <w:pPr>
              <w:ind w:left="78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106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4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060" w:type="dxa"/>
            <w:vAlign w:val="bottom"/>
            <w:tcBorders>
              <w:top w:val="single" w:sz="8" w:color="auto"/>
            </w:tcBorders>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bl>
    <w:p>
      <w:pPr>
        <w:spacing w:after="0" w:line="224"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Other income (expense), net for the year ended January 31, 2025 changed by $10.2 million, or 101%, primarily due to (i) the release of a tax contingency reserve in the amount of $6.7 million in the year ended January 31, 2024, which resulted in non-recurring income in the prior year, and (ii) an increase in foreign currency transaction losses of $3.9 million.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 (Loss) on Fair Value Adjustments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4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fair value adjustments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38,794</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r>
    </w:tbl>
    <w:p>
      <w:pPr>
        <w:spacing w:after="0" w:line="23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Gain (loss) on fair value adjustments for the year ended January 31, 2025 changed by $38.8 million, or 146%, primarily due to changes in the value of the embedded derivative liability related to our convertible notes.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6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7"/>
        </w:trPr>
        <w:tc>
          <w:tcPr>
            <w:tcW w:w="4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00" w:type="dxa"/>
            <w:vAlign w:val="bottom"/>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8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bl>
    <w:p>
      <w:pPr>
        <w:spacing w:after="0" w:line="23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Income tax expense for the year ended January 31, 2025 increased by $4.1 million, or 76%, primarily due to increases in foreign profits and nondeductible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1" w:lineRule="exact"/>
        <w:rPr>
          <w:sz w:val="20"/>
          <w:szCs w:val="20"/>
          <w:color w:val="auto"/>
        </w:rPr>
      </w:pPr>
    </w:p>
    <w:p>
      <w:pPr>
        <w:ind w:right="140" w:firstLine="324"/>
        <w:spacing w:after="0" w:line="278" w:lineRule="auto"/>
        <w:rPr>
          <w:sz w:val="20"/>
          <w:szCs w:val="20"/>
          <w:color w:val="auto"/>
        </w:rPr>
      </w:pPr>
      <w:r>
        <w:rPr>
          <w:rFonts w:ascii="Arial" w:cs="Arial" w:eastAsia="Arial" w:hAnsi="Arial"/>
          <w:sz w:val="17"/>
          <w:szCs w:val="17"/>
          <w:color w:val="auto"/>
        </w:rPr>
        <w:t>To supplement our consolidated financial statements, which are prepared and presented in accordance with GAAP, we use certain non-GAAP financial measures, which include non-GAAP gross profit, non-GAAP gross margin, non-GAAP loss from operations, and non-GAAP net loss, to understand and evaluate our core operating performance. These non-GAAP financial measures, which may be different from similarly-titled measures used by other companies, are presented to enhance investors’ overall understanding of our operating performance and should not be considered substitutes for, or superior to, the financial information prepared and presented in accordance with GAAP.</w:t>
      </w:r>
    </w:p>
    <w:p>
      <w:pPr>
        <w:spacing w:after="0" w:line="110" w:lineRule="exact"/>
        <w:rPr>
          <w:sz w:val="20"/>
          <w:szCs w:val="20"/>
          <w:color w:val="auto"/>
        </w:rPr>
      </w:pPr>
    </w:p>
    <w:p>
      <w:pPr>
        <w:jc w:val="both"/>
        <w:ind w:right="180" w:firstLine="324"/>
        <w:spacing w:after="0" w:line="268" w:lineRule="auto"/>
        <w:rPr>
          <w:sz w:val="20"/>
          <w:szCs w:val="20"/>
          <w:color w:val="auto"/>
        </w:rPr>
      </w:pPr>
      <w:r>
        <w:rPr>
          <w:rFonts w:ascii="Arial" w:cs="Arial" w:eastAsia="Arial" w:hAnsi="Arial"/>
          <w:sz w:val="18"/>
          <w:szCs w:val="18"/>
          <w:color w:val="auto"/>
        </w:rPr>
        <w:t>We include these non-GAAP financial measures in this prospectus because they are important measures upon which our management assesses our operating performance and the operating leverage in our business. We believe that these non-GAAP financial measures are useful to investors because they provide useful information about our financial performance, consistency and comparability with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financial performance and may assist in comparisons with other companies in our industry, some of which use similar non-GAAP financial information to supplement their GAAP results.</w:t>
      </w:r>
    </w:p>
    <w:p>
      <w:pPr>
        <w:spacing w:after="0" w:line="9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Non-GAAP financial measures have limitations in their usefulness to investors and should not be considered in isolation or as substitutes for financial information presented under GAAP. Non-GAAP financial measures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w:t>
      </w:r>
    </w:p>
    <w:p>
      <w:pPr>
        <w:spacing w:after="0" w:line="125" w:lineRule="exact"/>
        <w:rPr>
          <w:sz w:val="20"/>
          <w:szCs w:val="20"/>
          <w:color w:val="auto"/>
        </w:rPr>
      </w:pPr>
    </w:p>
    <w:p>
      <w:pPr>
        <w:jc w:val="both"/>
        <w:ind w:right="340" w:firstLine="324"/>
        <w:spacing w:after="0" w:line="268" w:lineRule="auto"/>
        <w:rPr>
          <w:sz w:val="20"/>
          <w:szCs w:val="20"/>
          <w:color w:val="auto"/>
        </w:rPr>
      </w:pPr>
      <w:r>
        <w:rPr>
          <w:rFonts w:ascii="Arial" w:cs="Arial" w:eastAsia="Arial" w:hAnsi="Arial"/>
          <w:sz w:val="18"/>
          <w:szCs w:val="18"/>
          <w:color w:val="auto"/>
        </w:rPr>
        <w:t>For the reasons set forth below, we believe that excluding the following items provide information that is helpful in understanding our operating results, evaluating our future prospects, comparing our financial results across accounting periods, and comparing our financial results to our peers, many of which provide similar non-GAAP financial measures.</w:t>
      </w:r>
    </w:p>
    <w:p>
      <w:pPr>
        <w:spacing w:after="0" w:line="117" w:lineRule="exact"/>
        <w:rPr>
          <w:sz w:val="20"/>
          <w:szCs w:val="20"/>
          <w:color w:val="auto"/>
        </w:rPr>
      </w:pPr>
    </w:p>
    <w:p>
      <w:pPr>
        <w:ind w:left="660" w:right="100" w:hanging="328"/>
        <w:spacing w:after="0" w:line="259"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Stock-based compensation-related charges. </w:t>
      </w:r>
      <w:r>
        <w:rPr>
          <w:rFonts w:ascii="Arial" w:cs="Arial" w:eastAsia="Arial" w:hAnsi="Arial"/>
          <w:sz w:val="18"/>
          <w:szCs w:val="18"/>
          <w:color w:val="auto"/>
        </w:rPr>
        <w:t>We exclude stock-based compensation expense and related charges to allow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more meaningful comparisons of our performance between periods and to facilitate a comparison of our performance to those of other peer companies. Stock-based compensation-related charges may vary between periods due to various factors unrelated to our core performance, including as a result of the assumptions used in the valuation methodologies, timing and amount of equity grants and other factors.</w:t>
      </w:r>
    </w:p>
    <w:p>
      <w:pPr>
        <w:spacing w:after="0" w:line="125"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recognize amortization expense related to intangible assets acquired in connection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Amortization of acquired intangible assets is a non-cash expense that is significantly affected by the timing and size of acquisitions, and the inherent subjective nature of purchase price allocations. The use of intangible assets has contributed to our revenue during the periods presented, and we expect such use will contribute to revenue in future periods.</w:t>
      </w:r>
    </w:p>
    <w:p>
      <w:pPr>
        <w:spacing w:after="0" w:line="122"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Amortization of debt discount and debt issuance costs. </w:t>
      </w:r>
      <w:r>
        <w:rPr>
          <w:rFonts w:ascii="Arial" w:cs="Arial" w:eastAsia="Arial" w:hAnsi="Arial"/>
          <w:sz w:val="18"/>
          <w:szCs w:val="18"/>
          <w:color w:val="auto"/>
        </w:rPr>
        <w:t>In connection with the issuance of our outstanding debt instruments, we incur</w:t>
      </w:r>
      <w:r>
        <w:rPr>
          <w:rFonts w:ascii="Arial" w:cs="Arial" w:eastAsia="Arial" w:hAnsi="Arial"/>
          <w:sz w:val="18"/>
          <w:szCs w:val="18"/>
          <w:i w:val="1"/>
          <w:iCs w:val="1"/>
          <w:color w:val="auto"/>
        </w:rPr>
        <w:t xml:space="preserve"> </w:t>
      </w:r>
      <w:r>
        <w:rPr>
          <w:rFonts w:ascii="Arial" w:cs="Arial" w:eastAsia="Arial" w:hAnsi="Arial"/>
          <w:sz w:val="18"/>
          <w:szCs w:val="18"/>
          <w:color w:val="auto"/>
        </w:rPr>
        <w:t>upfront issuance costs and, where required, account for embedded derivatives and warrants issued in connection with certain debt instruments as debt discounts. The related amortization of these costs and discounts is recognized as interest expense over the term of the related debt instruments. We believe the exclusion of this non-cash interest expense provides for a useful comparison of our operating results to prior periods and to our peer companies.</w:t>
      </w:r>
    </w:p>
    <w:p>
      <w:pPr>
        <w:spacing w:after="0" w:line="125"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Deferred offering costs write-off. </w:t>
      </w:r>
      <w:r>
        <w:rPr>
          <w:rFonts w:ascii="Arial" w:cs="Arial" w:eastAsia="Arial" w:hAnsi="Arial"/>
          <w:sz w:val="18"/>
          <w:szCs w:val="18"/>
          <w:color w:val="auto"/>
        </w:rPr>
        <w:t>During the year ended January 31, 2024, we wrote off previously capitalized costs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an offering of our securities that we elected not to pursue. We believe excluding these charges allows investors to make meaningful comparisons between our actual performance and those of other peer companies.</w:t>
      </w:r>
    </w:p>
    <w:p>
      <w:pPr>
        <w:spacing w:after="0" w:line="116" w:lineRule="exact"/>
        <w:rPr>
          <w:rFonts w:ascii="Arial" w:cs="Arial" w:eastAsia="Arial" w:hAnsi="Arial"/>
          <w:sz w:val="18"/>
          <w:szCs w:val="18"/>
          <w:color w:val="auto"/>
        </w:rPr>
      </w:pPr>
    </w:p>
    <w:p>
      <w:pPr>
        <w:jc w:val="both"/>
        <w:ind w:left="660" w:right="220" w:hanging="328"/>
        <w:spacing w:after="0" w:line="26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Gain (loss) on fair value adjustments. </w:t>
      </w:r>
      <w:r>
        <w:rPr>
          <w:rFonts w:ascii="Arial" w:cs="Arial" w:eastAsia="Arial" w:hAnsi="Arial"/>
          <w:sz w:val="18"/>
          <w:szCs w:val="18"/>
          <w:color w:val="auto"/>
        </w:rPr>
        <w:t>We exclude gains and losses on fair value adjustments related to the remeasurement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and warrant liabilities as of the end of each reporting period. We exclude these non-cash gains and losses because they are unrelated to our core operating performance.</w:t>
      </w:r>
    </w:p>
    <w:p>
      <w:pPr>
        <w:spacing w:after="0" w:line="116"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Restructuring and facility exit costs. </w:t>
      </w:r>
      <w:r>
        <w:rPr>
          <w:rFonts w:ascii="Arial" w:cs="Arial" w:eastAsia="Arial" w:hAnsi="Arial"/>
          <w:sz w:val="18"/>
          <w:szCs w:val="18"/>
          <w:color w:val="auto"/>
        </w:rPr>
        <w:t>To better align our strategic priorities with our investments, we implemented workforce reductions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January 31, 2024. In connection with these reductions, we incurred employee-related expenses including severance and other termination benefits. We also incurred facility exit costs and accelerated depreciation associated with the early termination of an office lease. We exclude these costs as they are not representative of our core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0" w:hanging="328"/>
        <w:spacing w:after="0" w:line="268"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Reversal of tax contingency. </w:t>
      </w:r>
      <w:r>
        <w:rPr>
          <w:rFonts w:ascii="Arial" w:cs="Arial" w:eastAsia="Arial" w:hAnsi="Arial"/>
          <w:sz w:val="18"/>
          <w:szCs w:val="18"/>
          <w:color w:val="auto"/>
        </w:rPr>
        <w:t>During the year ended January 31, 2024, we released a tax contingency reserve which resulted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other income and a reduction of general and administrative expense. We exclude this non-cash gain because it is unrelated to our core operating performance.</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Non-GAAP provision for income taxes. </w:t>
      </w:r>
      <w:r>
        <w:rPr>
          <w:rFonts w:ascii="Arial" w:cs="Arial" w:eastAsia="Arial" w:hAnsi="Arial"/>
          <w:sz w:val="18"/>
          <w:szCs w:val="18"/>
          <w:color w:val="auto"/>
        </w:rPr>
        <w:t>We have adjusted the provision for income taxes to reflect the income tax effects of the non-GAAP adjustments to pre-tax income (loss). Due to the full valuation allowance against U.S. federal and state deferred taxes, the primary non-GAAP adjustment relates to the income tax effects of stock-based compensation expense.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Gross Profit and Non-GAAP Gross Margin</w:t>
      </w:r>
    </w:p>
    <w:p>
      <w:pPr>
        <w:spacing w:after="0" w:line="169"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We define non-GAAP gross profit as GAAP gross profit, excluding stock-based compensation-related charges, amortization of intangible assets, and restructuring and facility exit costs. We define non-GAAP gross margin as non-GAAP gross profit divided by revenue.</w:t>
      </w:r>
    </w:p>
    <w:p>
      <w:pPr>
        <w:spacing w:after="0" w:line="99"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following table reflects the reconciliation of GAAP gross profit to non-GAAP gross profit and GAAP gross margin to non-GAAP gross margin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Year Ended January 31,</w:t>
            </w:r>
          </w:p>
        </w:tc>
      </w:tr>
      <w:tr>
        <w:trPr>
          <w:trHeight w:val="197"/>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profit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367,022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239,634</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GAAP gross margin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compensation-related charges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4,577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4,751</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9"/>
                <w:szCs w:val="19"/>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1,526</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facility exit costs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3,318</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Non-GAAP gross profit</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371,855</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249,229</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gross margin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Loss from Operations</w:t>
      </w:r>
    </w:p>
    <w:p>
      <w:pPr>
        <w:spacing w:after="0" w:line="169"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We define non-GAAP loss from operations as GAAP loss from operations, excluding stock-based compensation-related charges, amortization of intangible assets, write-off of deferred offering costs, restructuring and facility exit costs, and the reversal of the tax contingency.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reconciliation of GAAP loss from operations to non-GAAP loss from operations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Year Ended January 31,</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loss from operations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Stock-based compensation expense-related charges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75,851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 offering costs write-off</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facility exit costs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Reversal of tax contingency</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(22,952)</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loss from operations</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(174,753)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Loss</w:t>
      </w:r>
    </w:p>
    <w:p>
      <w:pPr>
        <w:spacing w:after="0" w:line="169" w:lineRule="exact"/>
        <w:rPr>
          <w:sz w:val="20"/>
          <w:szCs w:val="20"/>
          <w:color w:val="auto"/>
        </w:rPr>
      </w:pPr>
    </w:p>
    <w:p>
      <w:pPr>
        <w:ind w:right="600" w:firstLine="324"/>
        <w:spacing w:after="0" w:line="287" w:lineRule="auto"/>
        <w:rPr>
          <w:sz w:val="20"/>
          <w:szCs w:val="20"/>
          <w:color w:val="auto"/>
        </w:rPr>
      </w:pPr>
      <w:r>
        <w:rPr>
          <w:rFonts w:ascii="Arial" w:cs="Arial" w:eastAsia="Arial" w:hAnsi="Arial"/>
          <w:sz w:val="18"/>
          <w:szCs w:val="18"/>
          <w:color w:val="auto"/>
        </w:rPr>
        <w:t>We define non-GAAP net loss as GAAP net loss, excluding stock-based compensation-related charges, amortization of intangible assets, amortization of debt discount and debt issuance costs, write-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229"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off of deferred offering costs, gain (loss) on fair value adjustments, restructuring and facility exit costs, reversal of the tax contingency, and non-GAAP provision for income taxes.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reconciliation of GAAP net loss to non-GAAP net loss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Year Ended January 31,</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Stock-based compensation expense-related charges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75,851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debt discount and debt issuance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14,736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write-off</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Gain (loss) on fair value adjustments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26,594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facility exit costs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Reversal of tax contingency</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(29,652)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Non-GAAP net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(96,387)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(224,353)</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our inception, we have financed our operations primarily through sales of equity securities and debt, as well as cash generated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from operations. Our principal uses of cash in recent periods have been funding our operations, investing in our business, technologies,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platform, capital expenditures, and various business acquisitions. As of January 31, 2025, our principal sources of liquidity were cash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of $157.7 million, which were held primarily for working capital purposes. Cash and cash equivalents consisted of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deposited with banks, funds available for use held with our corporate card payment processing partner which are not earmarked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collateralize corporate card spend by our customers, and money market funds with original or remaining maturities of three months or less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time of purchase. We have generated significant operating losses from our operations as reflected in our accumulated deficit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$(1,617.1) million as of January 31, 2025. We expect to continue to incur operating losses, and our operating cash flows may fluctuate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between positive and negative amounts for the foreseeable future due to the investments we intend to make as described elsewhere in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As a result, we may require additional capital resources to execute strategic initiatives to grow our business.</w:t>
      </w:r>
    </w:p>
    <w:p>
      <w:pPr>
        <w:spacing w:after="0" w:line="15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believe our existing cash and cash equivalents, cash provided by operations, together with our amounts available for borrowing under the Warehouse Credit Facility and the ABL Facility, will be sufficient to meet our requirements and plans for cash, including supporting working capital and capital expenditure requirements for at least the next 12 months and beyond. Our future capital requirements and the adequacy of available funds will depend on many factors, including our growth rate, payment volume, expansion of our platform customer base, expansion of sales and marketing activities, the timing and extent of spending to support development efforts, the introduction of new offerings, and continued market adoption of our platform.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cannot be sure that any additional financing will be available to us on acceptable terms if at all. If we are unable to raise additional capital when desired, our business, results of operations, and financial condition would be materially and adversely affected. We fund corporate card transactions in advance of receiving payments from our customers. Our working capital may fluctuate from period to period as a result of the timing of when we fund our corporate card payment processors and when we receive payments from our customers. During peak travel periods, the impact of this may be more significant than in other periods and may require us to draw down on the Warehouse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principal commitments consist of obligations under our Convertible Notes, the Warehouse Credit Facility, the Vista Facility, SAFEs, the ABL Facility, operating leases for office space, and non -cancelable purchase commitments primarily related to cloud hosting arrangements and software subscriptions. The Convertible Notes and the SAFEs are expected to convert into shares of our Class A common stock in connection with this offering, as described elsewhere in this prospectus. Our obligations under our ABL Facility, the Vista Facility, and the Warehouse Credit Facility are described in the section titled “Description of Material Indebtedness.”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16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November 2022, Liquid Labs SPV, LLC, or Liquid Labs, our wholly-owned subsidiary, entered into a loan agreement with a group of lenders for a revolving warehouse credit facility, or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Warehouse Credit Facility was established to finance our expense management offering. Borrowings on the Warehouse Credit Facility bear interest at a floating rate based on SOFR plus an applicable margin, as defined by the loan agreement. The Warehouse Credit Facility has a minimum utilization of 50.0% of the committed amount, and any unused portion of the Warehouse Credit Facility will bear interest at 0.50% per annum. Borrowings under the Warehouse Credit Facility are secured by the corporate card receivables.</w:t>
      </w:r>
    </w:p>
    <w:p>
      <w:pPr>
        <w:spacing w:after="0" w:line="131"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Warehouse Credit Facility was amended multiple times during the years ended January 31, 2025 and 2024. As of January 31, 2025, the amended terms of the Warehouse Credit Facility include total available borrowings of $275.0 million, an extended maturity date of February 2026, an expanded borrowing base to include receivables generated in foreign currency, and amendments to certain financial covenants. Subject to the amended terms, the available borrowings decreased to $250.0 million in April 2025 through the maturity date.</w:t>
      </w:r>
    </w:p>
    <w:p>
      <w:pPr>
        <w:spacing w:after="0" w:line="12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Warehouse Credit Facility contains mandatory and optional redemption features upon an event of default and other potential additional interest provisions that are bifurcated and treated as embedded derivative liabilities under the accounting guidance Financial Accounting Standards Board Accounting Standards Codification Topic 815, Derivatives and Hedging, or ASC 815. At inception of the Warehouse Credit Facility, and as of January 31, 2025 and 2024, the fair value of the embedded derivative liabilities was determined to be immaterial.</w:t>
      </w:r>
    </w:p>
    <w:p>
      <w:pPr>
        <w:spacing w:after="0" w:line="125"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We incurred upfront commitment fees of $2.0 million for the Warehouse Credit Facility, which were recorded as a deferred cost asset on the balance sheet and are amortized on a straight-line basis as incremental interest expense. We incurred incremental upfront commitment fees of $1.4 million upon the renewal of the Warehouse Credit Facility during the year ended January 31, 2025.</w:t>
      </w:r>
    </w:p>
    <w:p>
      <w:pPr>
        <w:spacing w:after="0" w:line="117" w:lineRule="exact"/>
        <w:rPr>
          <w:sz w:val="20"/>
          <w:szCs w:val="20"/>
          <w:color w:val="auto"/>
        </w:rPr>
      </w:pPr>
    </w:p>
    <w:p>
      <w:pPr>
        <w:jc w:val="both"/>
        <w:ind w:right="120" w:firstLine="324"/>
        <w:spacing w:after="0" w:line="287" w:lineRule="auto"/>
        <w:rPr>
          <w:sz w:val="20"/>
          <w:szCs w:val="20"/>
          <w:color w:val="auto"/>
        </w:rPr>
      </w:pPr>
      <w:r>
        <w:rPr>
          <w:rFonts w:ascii="Arial" w:cs="Arial" w:eastAsia="Arial" w:hAnsi="Arial"/>
          <w:sz w:val="18"/>
          <w:szCs w:val="18"/>
          <w:color w:val="auto"/>
        </w:rPr>
        <w:t>During the year ended January 31, 2025, we drew down an aggregate of $37.8 million and repaid $30.0 million of the Warehouse Credit Facility.</w:t>
      </w:r>
    </w:p>
    <w:p>
      <w:pPr>
        <w:spacing w:after="0" w:line="99" w:lineRule="exact"/>
        <w:rPr>
          <w:sz w:val="20"/>
          <w:szCs w:val="20"/>
          <w:color w:val="auto"/>
        </w:rPr>
      </w:pPr>
    </w:p>
    <w:p>
      <w:pPr>
        <w:ind w:right="240" w:firstLine="324"/>
        <w:spacing w:after="0" w:line="260" w:lineRule="auto"/>
        <w:rPr>
          <w:sz w:val="20"/>
          <w:szCs w:val="20"/>
          <w:color w:val="auto"/>
        </w:rPr>
      </w:pPr>
      <w:r>
        <w:rPr>
          <w:rFonts w:ascii="Arial" w:cs="Arial" w:eastAsia="Arial" w:hAnsi="Arial"/>
          <w:sz w:val="18"/>
          <w:szCs w:val="18"/>
          <w:color w:val="auto"/>
        </w:rPr>
        <w:t>During the year ended January 31, 2025 we recognized $22.9 million of interest expense. Interest expense recognized during the year ended January 31, 2025 is comprised of $21.4 million of interest paid and payable, and $1.5 million interest for the amortization of debt</w:t>
      </w:r>
    </w:p>
    <w:p>
      <w:pPr>
        <w:spacing w:after="0" w:line="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issuance costs. During the ended , 2025, we recognized $ of interest expense, comprised of $ of interest paid and payable and $ for the amortization of debt issuance costs.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April 2025, we executed an amendment to extend the term of the Warehouse Credit Facility through February 18,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As of , 2025, we remain in compliance with the covenants of the loan agreement. See the section titled “Description of Material Indebtedness–Warehouse Credit Facility” for further detail.</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Vista Facility</w:t>
      </w:r>
    </w:p>
    <w:p>
      <w:pPr>
        <w:spacing w:after="0" w:line="169"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In February 2025, we issued term loans under the Vista Facility to lenders in exchange for proceeds of $130.0 million, which mature on February 24, 2030. In connection with the term loans under the Vista Facility, we issued warrants covering 1,459,768 shares of Class A common stock. The principal amount accrues interest at a variable interest rate based on either the Alternate Base Rate, with a 2.00% Alternate Base Rate floor, or SOFR (based on a 3-month interest period), with a 1.00% SOFR floor, in each case, plus an applicable rate. The applicable rate is, at our option, (i) in the case of SOFR Loans, (A) if we have elected to cash pay the interest, 6.50% per annum in cash or (B) if we have elected to pay the interest partially in cash and partially PIK, 6.50% per annum (of which 5.00% shall be paid in cash and</w:t>
      </w:r>
    </w:p>
    <w:p>
      <w:pPr>
        <w:spacing w:after="0" w:line="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1.50% PIK) and (ii) in the case of Alternate Base Rate Loans, (A) if we have elected to cash pay the interest, 5.50% per annum or (B) if we have elected to pay the interest partially in cash and partially PIK, 5.50% (of which 4.00% shall be paid in cash and 1.50% PIK). Interest is payable every three months in arrears, and PIK interest is added to the principal balance and compounded every three months. We may prepay the Vista Facility at any time, in whole or in part, prior to the maturity date. Prepayment is required upon certain qualified indebtedness, asset sales, or recovery events. Upon both optional and mandatory prepayments, we are required to pay a prepayment premium of (i) 3% of the principal amount prior to the first anniversary of the closing date; (ii) 1.5% of the principal amount on or after the first anniversary but prior to the second anniversary of the closing date, and (iii) 0% of the principal amount on or after the second anniversary of the closing date. We may prepay the Vista Facility in connection with a qualified IPO, including this offering, without incurring a prepayment penalty. We intend to use a portion of the net proceeds from this offering to prepay all amounts outstanding under and terminate the Vista Facility. See the section titled “Use of Proceeds” for more information.</w:t>
      </w:r>
    </w:p>
    <w:p>
      <w:pPr>
        <w:spacing w:after="0" w:line="13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Upon issuance of the term loans under the Vista Facility, the common stock warrants had a fair value of $11.0 million which was recorded as a debt discount. Debt issuance costs were recorded as a reduction to the debt liability. The debt discount and debt issuance costs are amortized to interest expense at an effective interest rate of 12.8% over the term of the loan. The common stock warrants are recorded within the consolidated balance sheets as Additional paid-in capital.</w:t>
      </w:r>
    </w:p>
    <w:p>
      <w:pPr>
        <w:spacing w:after="0" w:line="12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Vista Facility contains certain affirmative and negative covenants including, among other things, restrictions on repurchases of stock, dividends and other distributions. As of , 2025, we were in compliance with all covenants. See the section titled “Description of Material Indebtedness–Vista Facility” for further detail.</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ABL Facility</w:t>
      </w:r>
    </w:p>
    <w:p>
      <w:pPr>
        <w:spacing w:after="0" w:line="169"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In March 2025, the Company entered into an asset-based lending revolving line of credit with Citibank, N.A., or the ABL Facility, for a term through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w:t>
      </w:r>
    </w:p>
    <w:p>
      <w:pPr>
        <w:spacing w:after="0" w:line="12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As of , 2025, we had drawn a total of $ million on the ABL Facility. The ABL Facility contains certain affirmative or negative covenants including, among other things, restrictions on repurchases of stock, dividends and other distributions. As of , 2025, we were in compliance with all covenants. See the section titled “Description of Material Indebtedness—ABL Facility”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229"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196"/>
        </w:trPr>
        <w:tc>
          <w:tcPr>
            <w:tcW w:w="7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40" w:type="dxa"/>
            <w:vAlign w:val="bottom"/>
          </w:tcPr>
          <w:p>
            <w:pPr>
              <w:spacing w:after="0"/>
              <w:rPr>
                <w:sz w:val="17"/>
                <w:szCs w:val="17"/>
                <w:color w:val="auto"/>
              </w:rPr>
            </w:pPr>
          </w:p>
        </w:tc>
      </w:tr>
      <w:tr>
        <w:trPr>
          <w:trHeight w:val="23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359"/>
              <w:spacing w:after="0"/>
              <w:rPr>
                <w:sz w:val="20"/>
                <w:szCs w:val="20"/>
                <w:color w:val="auto"/>
              </w:rPr>
            </w:pPr>
            <w:r>
              <w:rPr>
                <w:rFonts w:ascii="Arial" w:cs="Arial" w:eastAsia="Arial" w:hAnsi="Arial"/>
                <w:sz w:val="18"/>
                <w:szCs w:val="18"/>
                <w:color w:val="auto"/>
              </w:rPr>
              <w:t>(50,406)</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rPr>
              <w:t>(166,363)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379"/>
              <w:spacing w:after="0"/>
              <w:rPr>
                <w:sz w:val="20"/>
                <w:szCs w:val="20"/>
                <w:color w:val="auto"/>
              </w:rPr>
            </w:pPr>
            <w:r>
              <w:rPr>
                <w:rFonts w:ascii="Arial" w:cs="Arial" w:eastAsia="Arial" w:hAnsi="Arial"/>
                <w:sz w:val="18"/>
                <w:szCs w:val="18"/>
                <w:color w:val="auto"/>
                <w:w w:val="98"/>
              </w:rPr>
              <w:t>44,870</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left="135"/>
              <w:spacing w:after="0"/>
              <w:rPr>
                <w:sz w:val="20"/>
                <w:szCs w:val="20"/>
                <w:color w:val="auto"/>
              </w:rPr>
            </w:pPr>
            <w:r>
              <w:rPr>
                <w:rFonts w:ascii="Arial" w:cs="Arial" w:eastAsia="Arial" w:hAnsi="Arial"/>
                <w:sz w:val="18"/>
                <w:szCs w:val="18"/>
                <w:color w:val="auto"/>
              </w:rPr>
              <w:t>(108,779)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379"/>
              <w:spacing w:after="0"/>
              <w:rPr>
                <w:sz w:val="20"/>
                <w:szCs w:val="20"/>
                <w:color w:val="auto"/>
              </w:rPr>
            </w:pPr>
            <w:r>
              <w:rPr>
                <w:rFonts w:ascii="Arial" w:cs="Arial" w:eastAsia="Arial" w:hAnsi="Arial"/>
                <w:sz w:val="18"/>
                <w:szCs w:val="18"/>
                <w:color w:val="auto"/>
                <w:w w:val="98"/>
              </w:rPr>
              <w:t>52,554</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155"/>
              <w:spacing w:after="0"/>
              <w:rPr>
                <w:sz w:val="20"/>
                <w:szCs w:val="20"/>
                <w:color w:val="auto"/>
              </w:rPr>
            </w:pPr>
            <w:r>
              <w:rPr>
                <w:rFonts w:ascii="Arial" w:cs="Arial" w:eastAsia="Arial" w:hAnsi="Arial"/>
                <w:sz w:val="18"/>
                <w:szCs w:val="18"/>
                <w:color w:val="auto"/>
                <w:w w:val="98"/>
              </w:rPr>
              <w:t>212,620</w:t>
            </w: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9"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Net cash used in operating activities was $50.4 million for the year ended January 31, 2025 as compared to $166.4 million for the year ended January 31, 2024. The decrease in net cash used was primarily due to a decrease in net loss, offset by a decrease in non-cash loss on fair value adjustments, and the net impact of changes in operating assets and liabilities. The changes in operating assets and liabilities include the reversal of the tax contingency in the year ended January 31, 2024 impacting other non-current liabilities, a change in accounts payable primarily driven by timing of payments, and an increase in capitalized contract acquisition costs. Refer to Note 1, “Description of Business and Significant Accounting Policies” to the consolidated financial statements included elsewhere in this prospectus for further details regarding our accounting policy for contract acquisition costs.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6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Net cash provided by investing activities was $44.9 million for the year ended January 31, 2025 as compared to net cash used in investing activities of $108.8 million for the year ended January 31, 2024. The change was primarily related to a decrease in corporate card receivables driven by increased collections and faster turnover of receivables due to moving customers to more frequent payment terms.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9"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Net cash provided by financing activities was $52.6 million for the year ended January 31, 2025 as compared to $212.6 million for the year ended January 31, 2024. The decrease was primarily driven by a change in proceeds and payments from debt borrowings.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6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conduct business in certain international markets, primarily in Europe in the United Kingdom. Because we operate in international markets, we have exposure to different economic conditions, political climates, tax systems, and regulations that could affect foreign currency exchange rates.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functional currency of our foreign subsidiaries may be the local currency or the U.S. dollar, depending on the primary economic environment in which the subsidiary operates. Consequently, changes in foreign currency exchange rates may impact the translation of those subsidiaries’ financial statements into U.S. dollars.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 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consolidated statement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22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operations and have recorded net foreign currency exchange losses of $4.7 million for fiscal 2025 in other income (expense), net. Future transactional gains and losses are inherently difficult to predict as they depend on how the multiple currencies in which we transact fluctuate in relation to the U.S. dollar and other functional currencies, and the relative composition and denomination of monetary assets and liabilities in each period.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As of January 31, 2025, we had cash and cash equivalents of $157.7 million. Cash and cash equivalents consist of cash in banks and interest-bearing money market accounts for which the fair market value would be affected by changes in the general level of U.S. interest rates. However, due to the short-term maturities and the low-risk profile of our investments, an immediate 10% change in interest rates would not have a material effect on the fair market value of our cash and cash equivalents.</w:t>
      </w:r>
    </w:p>
    <w:p>
      <w:pPr>
        <w:spacing w:after="0" w:line="12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are also exposed to interest rate risk through fluctuations in interest rates on our debt obligations, some of which carry interest at a floating rate. We seek to manage exposure to adverse interest rate changes through our normal operating and financing activities. As of January 31, 2025, a hypothetical 10% relative change in interest rates would not have a material impact on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The preparation of our consolidated financial statements requires us to make estimates and assumptions that affect the reported amounts of revenue,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w:t>
      </w:r>
    </w:p>
    <w:p>
      <w:pPr>
        <w:spacing w:after="0" w:line="1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results of operations are described below. For further information, see Note 1, “Description of Business and Significant Accounting Policies” to the consolidated financial statements included elsewhere in this prospectus.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We recognize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when a customer obtains control of promised services in an amount that reflects the consideration we expect to 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 travel bookings and corporate card transaction dollar volume. Fees from our platform customers are either earned on a per-booking transaction or subscription basis. Fees from our travel supply and payment partners are generally earned on a per transaction basis. Under our arrangements with certain travel supply partners, we earn additional fees when cumulative actual booking or transaction dollar volume exceeds specified contractual thresholds. Our travel supply partners include airlines, hotels, car rental companies, rail carriers, and providers of GDSs. Our payment partners primarily include our corporate card payment processors and card issuing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229"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Platform Customers</w:t>
      </w:r>
    </w:p>
    <w:p>
      <w:pPr>
        <w:spacing w:after="0" w:line="169"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Our primary performance obligation is to provide platform customers with continuous access to our cloud-based travel and expense management platform or to our on-demand travel management services. 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spacing w:after="0" w:line="122"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Travel Supply and Payment Partner Fees</w:t>
      </w:r>
    </w:p>
    <w:p>
      <w:pPr>
        <w:spacing w:after="0" w:line="16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Our primary performance obligation to our travel supply partners is to connect them to user bookings made on our cloud-based travel management platform or through our on-demand travel management 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spacing w:after="0" w:line="12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to certain platform customers based on the dollar volume of payment transactions processed on our platform. Rebates paid to customers are recognized as a reduction to revenue.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6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capitalize incremental costs of obtaining a contract with a customer if the costs are recoverable. These costs, which primarily consist of sales commissions, are deferred and amortized on a straight-line basis over the period of benefit, which we have estimated to be five years. We estimate the period of benefit by primarily taking into consideration the average customer life, among other factors. During fiscal 2025, we capitalized $ 23.7 million of contract acquisition costs and recognized related amortization expense of $5.6 million. Amortization expense is included in sales and marketing expense in the consolidated statements of operations.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Embedded Derivative Liability</w:t>
      </w:r>
    </w:p>
    <w:p>
      <w:pPr>
        <w:spacing w:after="0" w:line="1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embedded derivative liability is bifurcated from the convertible notes issued in June 2020. Refer to the section titled “—Debt Obligations” and in Note 8, “Debt” to the consolidated financial statements included elsewhere in this prospectus for further information regarding the convertible notes. The embedded derivative liability was measured at fair value on the date of issuance, and is remeasured to fair value each reporting period until conversion, with changes in the fair value recognized as a component of gain (loss) on fair value adjustments in the accompanying consolidated statements of operations. The fair value of the embedded derivative liability was computed using a combination of the income approach, the Black-Scholes option pricing model, a probability-weighted estimate of the time to conversion, and other Level 3 inputs. Significant management assumptions and estimates were involved in this determination. Refer to Note 3, “Fair Value Measurements” to the consolidated financial statements included elsewhere in this prospectus for further information regarding the significant inputs used in measuring the fair value of the embedded derivative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229"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Stock-based compensation expense is recognized over the requisite service period, which is generally over the vesting term of four years, on a straight-line basis for all stock-based payments that are granted to employees, non-employees and directors, including grants of employee stock options and other stock-based awards, that vest based on time-based service vesting conditions. Equity-classified awards issued to employees, non-employees such as consultants and non-employee directors are measured at the grant-date fair value of the award. Forfeitures are recognized as they occur. We estimate the grant-date fair value of stock options using the Black-Scholes option pricing model.</w:t>
      </w:r>
    </w:p>
    <w:p>
      <w:pPr>
        <w:spacing w:after="0" w:line="128"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The Black-Scholes option-pricing model requires the input of highly subjective assumptions in estimating the fair value of stock-based awards. These variables include:</w:t>
      </w:r>
    </w:p>
    <w:p>
      <w:pPr>
        <w:spacing w:after="0" w:line="99" w:lineRule="exact"/>
        <w:rPr>
          <w:sz w:val="20"/>
          <w:szCs w:val="20"/>
          <w:color w:val="auto"/>
        </w:rPr>
      </w:pPr>
    </w:p>
    <w:p>
      <w:pPr>
        <w:ind w:left="660" w:right="12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As our shares of common stock are not publicly traded, the fair value was determined by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with input from management and valuation reports prepared by third-party valuation specialists.</w:t>
      </w:r>
    </w:p>
    <w:p>
      <w:pPr>
        <w:spacing w:after="0" w:line="98"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 available on U.S. Treasury zero-coupon issues with a term</w:t>
      </w:r>
      <w:r>
        <w:rPr>
          <w:rFonts w:ascii="Arial" w:cs="Arial" w:eastAsia="Arial" w:hAnsi="Arial"/>
          <w:sz w:val="18"/>
          <w:szCs w:val="18"/>
          <w:i w:val="1"/>
          <w:iCs w:val="1"/>
          <w:color w:val="auto"/>
        </w:rPr>
        <w:t xml:space="preserve"> </w:t>
      </w:r>
      <w:r>
        <w:rPr>
          <w:rFonts w:ascii="Arial" w:cs="Arial" w:eastAsia="Arial" w:hAnsi="Arial"/>
          <w:sz w:val="18"/>
          <w:szCs w:val="18"/>
          <w:color w:val="auto"/>
        </w:rPr>
        <w:t>that approximates the expected term of the option.</w:t>
      </w:r>
    </w:p>
    <w:p>
      <w:pPr>
        <w:spacing w:after="0" w:line="98"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stock-based awards are expected to be outstanding. Since we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sufficient historical information to develop reasonable expectations about future exercise behavior, the expected term for options issued to employees was calculated as the mean of the option vesting period and contractual term. The expected term for options issued to non-employees is the contractual term.</w:t>
      </w:r>
    </w:p>
    <w:p>
      <w:pPr>
        <w:spacing w:after="0" w:line="122" w:lineRule="exact"/>
        <w:rPr>
          <w:rFonts w:ascii="Arial" w:cs="Arial" w:eastAsia="Arial" w:hAnsi="Arial"/>
          <w:sz w:val="18"/>
          <w:szCs w:val="18"/>
          <w:color w:val="auto"/>
        </w:rPr>
      </w:pPr>
    </w:p>
    <w:p>
      <w:pPr>
        <w:ind w:left="660" w:right="640" w:hanging="328"/>
        <w:spacing w:after="0" w:line="268"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we have no trading history of our common stock, the expected volatility is derived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volatilities of peer group public companies that we consider to be comparable to our business over a period equivalent to the expected term of the stock-based grants.</w:t>
      </w:r>
    </w:p>
    <w:p>
      <w:pPr>
        <w:spacing w:after="0" w:line="116"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we applied an expected dividend yield of zero.</w:t>
      </w:r>
    </w:p>
    <w:p>
      <w:pPr>
        <w:spacing w:after="0" w:line="9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RSUs are subject to both time-based service and performance-based vesting conditions, which may be satisfied by either an initial public offering, including this offering, or the sale of our company, neither of which, for accounting purposes, are considered probable until they occur. The fair value of new or modified RSU awards is equal to the grant date fair value of the Company’s common stock. These RSUs generally vest over a four-year period based on the achievement of specified qualifying events, subject to continued service through the applicable vesting dates. Compensation cost is recognized over the requisite service period when it is probable that the performance-based condition will be satisfied. In the period in which the performance-based condition becomes probable, we will record cumulative stock-based compensation expense for the service period completed to such date and will begin recording stock-based compensation expense using the accelerated attribution method based on the grant-date fair value of the RSUs for awards where the service period is not complete.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closing of this offering, we will recognize a significant non-cash cumulative stock-based compensation charge for RSUs for</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which the service-based vesting condition has been satisfied. As of , 2025, the total unrecognized stock-based compensation expense related to RSUs for which the service-based vesting condition had been satisfied or partially satisfied as of , 2025 was approximately $ million, calculated using the accelerated attribution method. Unrecognized stock-based compensation expense related to unvested RSUs that have not met the service condition as of , 2025 was $ million, which would be recognized over a weighted-average period of approximately years if the performance-based condition had occurred on or was probable as of , 2025. We expect to recognize the remaining unrecognized non-cash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229"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RSUs that were outstanding as of the closing of this offering using the accelerated attribution method, net of forfeitures, as the service-based vesting condition is satisfied. After the closing of this offering, based on RSUs outstanding as of , 2025, we expect that approximately million, million, and million RSUs will satisfy their service-based vesting conditions by each of , , and , respectively, assuming no forfeitures. We may delay the settlement of certain of these vested RSUs until after the expiration of lock-up agreements and market stand-off provisions described elsewhere in this prospectus.</w:t>
      </w:r>
    </w:p>
    <w:p>
      <w:pPr>
        <w:spacing w:after="0" w:line="125" w:lineRule="exact"/>
        <w:rPr>
          <w:sz w:val="20"/>
          <w:szCs w:val="20"/>
          <w:color w:val="auto"/>
        </w:rPr>
      </w:pPr>
    </w:p>
    <w:p>
      <w:pPr>
        <w:ind w:right="1160" w:firstLine="324"/>
        <w:spacing w:after="0" w:line="287" w:lineRule="auto"/>
        <w:rPr>
          <w:sz w:val="20"/>
          <w:szCs w:val="20"/>
          <w:color w:val="auto"/>
        </w:rPr>
      </w:pPr>
      <w:r>
        <w:rPr>
          <w:rFonts w:ascii="Arial" w:cs="Arial" w:eastAsia="Arial" w:hAnsi="Arial"/>
          <w:sz w:val="18"/>
          <w:szCs w:val="18"/>
          <w:color w:val="auto"/>
        </w:rPr>
        <w:t>Additionally, as of , 2025, unrecognized stock-based compensation expense related to unvested stock options was $ million, which is expected to be recognized over a weighted-average period of years.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6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The fair value of our common stock underlying our equity awards was determined by our board of directors, after considering contemporaneous third-party valuations and input from management. The valuations of our common stock were determined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 Issued as Compensation</w:t>
      </w:r>
      <w:r>
        <w:rPr>
          <w:rFonts w:ascii="Arial" w:cs="Arial" w:eastAsia="Arial" w:hAnsi="Arial"/>
          <w:sz w:val="18"/>
          <w:szCs w:val="18"/>
          <w:color w:val="auto"/>
        </w:rPr>
        <w:t>. In the absence of a public trading market, our board of directors, with input from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significant judgment and considered various objective and subjective factors to determine the fair value of our common stock as of the date of each stock option grant, including the following factors:</w:t>
      </w:r>
    </w:p>
    <w:p>
      <w:pPr>
        <w:spacing w:after="0" w:line="128"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specialists;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those of our common stock;</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prices paid for common or redeemable convertible preferred stock sold to third-party investors by us and prices paid in secondary transactions for shares repurchased by us or other investors in arm’s-length transactions, including any tender offers;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lack of marketability inherent in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current business conditions and projections;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our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history of the company and the introduction of new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71"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likelihood of achieving a performance event, such as an initial public offering, a merger, or acquisition of our company given prevailing market conditions;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operational and financial performance of comparable publicly traded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 and the global capital market conditions and overall economic conditions.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valuing our common stock, the fair value of the total equity of our business was determined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that is derived from an analysis of the cost of capital of comparable publicly traded companies in our industry or similar business operations as of each valuation date and is adjusted to reflect the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22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inherent in our cash flows. The market approach estimates value based on a comparison of the subject company to comparable publicly traded companies in a similar line of business. From the comparable companies, a representative market multiple is determined and then applied to the subject company’s financial forecasts to estimate the value of the subject company based on this approach.</w:t>
      </w:r>
    </w:p>
    <w:p>
      <w:pPr>
        <w:spacing w:after="0" w:line="117"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In valuing our common stock and to allocate value across share classes, we applied a hybrid probability-weighted expected return method, or PWERM, as the principal equity allocation method. The PWERM incorporated two scenarios: an initial public offering scenario and a remain private scenario, which utilized an option-pricing method. As appropriate, a discount for lack of marketability was considered and applied in arriving at the concluded value for our common stock.</w:t>
      </w:r>
    </w:p>
    <w:p>
      <w:pPr>
        <w:spacing w:after="0" w:line="12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and assigned the prices paid in the transactions an appropriate weighting in the valuation of our common stock. Factors considered include the number of different buyers and sellers, transaction volume, timing relative to the valuation date, whether the transactions occurred between willing and unrelated parties, the cadence in which the secondary transactions occur, and whether the transactions involved investors with access to our financial information, among other factors.</w:t>
      </w:r>
    </w:p>
    <w:p>
      <w:pPr>
        <w:spacing w:after="0" w:line="128"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to any or all of these estimates and assumptions, or the relationships between those assumptions, impact our valuations as of each valuation date and may have a material impact on the value of our common stock.</w:t>
      </w:r>
    </w:p>
    <w:p>
      <w:pPr>
        <w:spacing w:after="0" w:line="125"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Upon completion of this offering, our Class A common stock will be publicly traded, and we will rely on the closing price of our Class A common stock as reported on the date of grant to determine the fair value of our Class A common stock.</w:t>
      </w:r>
    </w:p>
    <w:p>
      <w:pPr>
        <w:spacing w:after="0" w:line="99" w:lineRule="exact"/>
        <w:rPr>
          <w:sz w:val="20"/>
          <w:szCs w:val="20"/>
          <w:color w:val="auto"/>
        </w:rPr>
      </w:pPr>
    </w:p>
    <w:p>
      <w:pPr>
        <w:ind w:left="340"/>
        <w:spacing w:after="0"/>
        <w:tabs>
          <w:tab w:leader="none" w:pos="5680" w:val="left"/>
        </w:tabs>
        <w:rPr>
          <w:sz w:val="20"/>
          <w:szCs w:val="20"/>
          <w:color w:val="auto"/>
        </w:rPr>
      </w:pPr>
      <w:r>
        <w:rPr>
          <w:rFonts w:ascii="Arial" w:cs="Arial" w:eastAsia="Arial" w:hAnsi="Arial"/>
          <w:sz w:val="18"/>
          <w:szCs w:val="18"/>
          <w:color w:val="auto"/>
        </w:rPr>
        <w:t>Based on the assumed initial public offering price per share of $</w:t>
      </w:r>
      <w:r>
        <w:rPr>
          <w:sz w:val="20"/>
          <w:szCs w:val="20"/>
          <w:color w:val="auto"/>
        </w:rPr>
        <w:tab/>
      </w:r>
      <w:r>
        <w:rPr>
          <w:rFonts w:ascii="Arial" w:cs="Arial" w:eastAsia="Arial" w:hAnsi="Arial"/>
          <w:sz w:val="17"/>
          <w:szCs w:val="17"/>
          <w:color w:val="auto"/>
        </w:rPr>
        <w:t>, which is the midpoint of the offering price range set forth on the</w:t>
      </w:r>
    </w:p>
    <w:p>
      <w:pPr>
        <w:spacing w:after="0" w:line="27" w:lineRule="exact"/>
        <w:rPr>
          <w:sz w:val="20"/>
          <w:szCs w:val="20"/>
          <w:color w:val="auto"/>
        </w:rPr>
      </w:pPr>
    </w:p>
    <w:p>
      <w:pPr>
        <w:spacing w:after="0"/>
        <w:tabs>
          <w:tab w:leader="none" w:pos="8320" w:val="left"/>
          <w:tab w:leader="none" w:pos="9840" w:val="left"/>
        </w:tabs>
        <w:rPr>
          <w:sz w:val="20"/>
          <w:szCs w:val="20"/>
          <w:color w:val="auto"/>
        </w:rPr>
      </w:pPr>
      <w:r>
        <w:rPr>
          <w:rFonts w:ascii="Arial" w:cs="Arial" w:eastAsia="Arial" w:hAnsi="Arial"/>
          <w:sz w:val="18"/>
          <w:szCs w:val="18"/>
          <w:color w:val="auto"/>
        </w:rPr>
        <w:t>cover page of this prospectus, the aggregate intrinsic value of our outstanding stock options as of</w:t>
      </w:r>
      <w:r>
        <w:rPr>
          <w:sz w:val="20"/>
          <w:szCs w:val="20"/>
          <w:color w:val="auto"/>
        </w:rPr>
        <w:tab/>
      </w:r>
      <w:r>
        <w:rPr>
          <w:rFonts w:ascii="Arial" w:cs="Arial" w:eastAsia="Arial" w:hAnsi="Arial"/>
          <w:sz w:val="18"/>
          <w:szCs w:val="18"/>
          <w:color w:val="auto"/>
        </w:rPr>
        <w:t>, 2025, was $</w:t>
      </w:r>
      <w:r>
        <w:rPr>
          <w:sz w:val="20"/>
          <w:szCs w:val="20"/>
          <w:color w:val="auto"/>
        </w:rPr>
        <w:tab/>
      </w:r>
      <w:r>
        <w:rPr>
          <w:rFonts w:ascii="Arial" w:cs="Arial" w:eastAsia="Arial" w:hAnsi="Arial"/>
          <w:sz w:val="17"/>
          <w:szCs w:val="17"/>
          <w:color w:val="auto"/>
        </w:rPr>
        <w:t>, with</w:t>
      </w:r>
    </w:p>
    <w:p>
      <w:pPr>
        <w:spacing w:after="0" w:line="9" w:lineRule="exact"/>
        <w:rPr>
          <w:sz w:val="20"/>
          <w:szCs w:val="20"/>
          <w:color w:val="auto"/>
        </w:rPr>
      </w:pPr>
    </w:p>
    <w:p>
      <w:pPr>
        <w:ind w:left="560" w:hanging="552"/>
        <w:spacing w:after="0"/>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related to vested stock options.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allocate the fair value of purchase consideration to the tangible and intangible assets acquired and liabilities assumed based on their estimated fair values. The excess of the fair value of purchase consideration over the fair values of these identifiable assets and liabilities is recorded as goodwill. The determination of fair value requires management to make significant estimates and assumptions, especially with respect to intangible assets. Significant estimates in valuing certain intangible assets include, but are not limited to, future expected cash flows from trade names from a market participant perspective, acquired customers, acquired technology,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management may record adjustments to the assets acquired and liabilities assumed, with the corresponding offset to goodwill.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are an "emerging growth company" under the JOBS Act, which permits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229"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color w:val="auto"/>
        </w:rPr>
        <w:t>result, our consolidated financial statements may not be comparable to companies that comply with new or revised accounting pronouncements applicable to public companies.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See Note 1, “Description of Business and Significant Accounting Policies” to the consolidated financial statements included elsewhere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60"/>
          </w:cols>
          <w:pgMar w:left="320" w:top="229" w:right="4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Travel is more than just getting from point A to point B; it's the lifeblood of connection in the modern business world. It's about forging those critical in-person relationships with clients and partners, sparking innovation through team collaboration, and empowering employees to grow and succeed. These moments matter, and they demand a travel experience worthy of their importance. We built Navan for the road warriors, for CEOs and CFOs who understand travel’s critical importance to their strategy, the finance teams who demand precision and control, the executive assistants juggling itineraries, and the program admins ensuring seamless events.</w:t>
      </w:r>
    </w:p>
    <w:p>
      <w:pPr>
        <w:spacing w:after="0" w:line="125"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Navan is an end-to-end, AI-powered software platform built to simplify the global business T&amp;E experience, benefiting users, customers, and suppliers. From day one, we leveraged technology to reimagine business travel. We built a comprehensive platform that serves as the foundation for further disruption. We deliver delightful, personalized experiences for users, efficiency and control for customers, and direct market access for suppliers—all powered by our proprietary AI framework, Navan Cognition.</w:t>
      </w:r>
    </w:p>
    <w:p>
      <w:pPr>
        <w:spacing w:after="0" w:line="12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saw firsthand the frustration of clunky, outdated systems. Travelers were forced to cobble together solutions, wait for hours on hold to book or change travel, and negotiate with travel agents. They struggled to adhere to company policies, with little visibility into those policies, and after all that, they spent even more time on tedious expense reports after a trip. We felt the pain of finance teams struggling to gain visibility into fragmented travel spending and to enforce policies, and the frustration of suppliers unable to connect directly with the high-value business travelers they sought to serve.</w:t>
      </w:r>
    </w:p>
    <w:p>
      <w:pPr>
        <w:spacing w:after="0" w:line="1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Navan challenges this status quo by putting all three constituents—users, customers, and suppliers—at the heart of an integrated global platform. With Navan, users enjoy intuitive, AI-powered booking that anticipates users’ needs and takes a fraction of the time of legacy booking systems. Users also get expense management and clear policy guidance built-in. Customers gain real-time visibility, cost control, and safety oversight, and suppliers gain direct access to the customers who matter most. Instead of having to compromise, every group benefits, and the whole network becomes greater than the sum of its parts.</w:t>
      </w:r>
    </w:p>
    <w:p>
      <w:pPr>
        <w:spacing w:after="0" w:line="125"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Navan was built on the premise that to win, all players in the ecosystem must be integrated on one platform with AI at its core. Our platform was built from the ground up to connect distinct stakeholders, and unify traditionally disparate product features, through a single system that unlocks new efficiencies and experiences. By building true connectivity into the core of its cohesive offering, Navan is unlocking a smarter, more rewarding future for travel—one where everyone wins.</w:t>
      </w:r>
    </w:p>
    <w:p>
      <w:pPr>
        <w:spacing w:after="0" w:line="12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Navan platform creates a powerful flywheel effect where the user, customer, and supplier benefits reinforce each other. Our enterprise-grade platform is characterized by its intuitive design, ease of use, and tangible time-saving features, which foster a user-centric experience that travelers genuinely appreciate. This is reflected in our overall CSAT score of , our virtual agent CSAT score of , and NPS of , each as of , 2025. When frequent travelers have a positive, efficient experience and earn rewards, they are more</w:t>
      </w:r>
    </w:p>
    <w:p>
      <w:pPr>
        <w:spacing w:after="0" w:line="2"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likely to use Navan. The increased adoption gives the customer greater visibility into spending, stronger policy control, and cost savings, making them more invested in the platform. This, in turn, attracts more suppliers who want access to our large and loyal user base. With more suppliers and inventory available, we can offer better options and competitive pricing, further enhancing the experience for frequent travelers. This virtuous cycle strengthens each flywheel, creating a robust and self-sustaining ecosystem.</w:t>
      </w:r>
    </w:p>
    <w:p>
      <w:pPr>
        <w:spacing w:after="0" w:line="128"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Our proprietary infrastructure, which we call Navan Cloud, enables us to provide global, real-time inventory for users and forms the foundation of our platform. We aggregate supply through direct supplier relationships, real-time API integrations, and a robust network of partnerships. From day one, Navan has leveraged artificial intelligence as a cornerstone of our platform. We built Navan Cognition, a new paradigm in AI-powered travel management. This proprietary framework enables us to create, train,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229"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deploy, and supervise specialized virtual agents that can handle many complex tasks previously requiring human intervention. We make every step of the pre-booking, in-travel, and post-trip process as delightful and automated as possible. In fiscal 2025, 90% of bookings were made online or through mobile applications on the Navan platform. Our users on average are able to book a trip in seven minutes, far faster than the industry average of 45 minutes, according to Booking.com. And, in the majority of cases, users can resolve trip changes with a virtual agent, which Navan was one of the first in its industry to offer.</w:t>
      </w:r>
    </w:p>
    <w:p>
      <w:pPr>
        <w:spacing w:after="0" w:line="1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strategy is to land a customer with our Travel offering, delight our users and customers, broaden their engagement with Navan, and seek to manage all of their payments, expenses, VIP needs, meetings and events, and bleisure travel on our platform. As of , 2025, % of customers attached to three or more offerings. Because Navan unifies all aspects of travel in one system, it is used by employees across departments and seniority levels, driving deep organizational adoption. This integrated approach streamlines trip planning, digitizes in-trip expenses, and automates post-trip reconciliation, all while enhancing the overall customer experience. Our platform also provides actionable analytics and intelligence for managers to monitor and approve travel and entertainment spend in real-time.</w:t>
      </w:r>
    </w:p>
    <w:p>
      <w:pPr>
        <w:spacing w:after="0" w:line="12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platform is easy-to-use, yet powerful enough to address customers of all sizes across any industry vertical. As of January 31, 2025, we had over 10,000 active customers up 27% from over 8,000 active customers as of fiscal 2024. Our revenue grew 33% year-over-year from $402 million in fiscal 2024 to $537 million in fiscal 2025. Our net loss decreased 45% year-over-year from $332 million in fiscal 2024 to $181 million in fiscal 2025. Our gross booking volume grew 32% year-over-year from $5.0 billion in fiscal 2024 to $6.6 billion in fiscal 2025. Our payment volume grew 35% year-over-year from $2.7 billion in fiscal 2024 to $3.7 billion in fiscal 2025.</w:t>
      </w:r>
    </w:p>
    <w:p>
      <w:pPr>
        <w:spacing w:after="0" w:line="125"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Our proprietary AI framework, Navan Cognition, significantly enhances support capabilities and has improved our gross margins, while leveraging powerful technology capabilities across our platform, making Navan an increasingly formidable competitor. For example, our AI-</w:t>
      </w:r>
    </w:p>
    <w:p>
      <w:pPr>
        <w:ind w:right="260"/>
        <w:spacing w:after="0" w:line="254" w:lineRule="auto"/>
        <w:rPr>
          <w:sz w:val="20"/>
          <w:szCs w:val="20"/>
          <w:color w:val="auto"/>
        </w:rPr>
      </w:pPr>
      <w:r>
        <w:rPr>
          <w:rFonts w:ascii="Arial" w:cs="Arial" w:eastAsia="Arial" w:hAnsi="Arial"/>
          <w:sz w:val="18"/>
          <w:szCs w:val="18"/>
          <w:color w:val="auto"/>
        </w:rPr>
        <w:t>powered virtual agent chatbot, Ava, was capable of effectively handling % of customer interactions as of , 2025. Our GAAP gross margin improved from 60% in fiscal 2024 to 68% in fiscal 2025. Our non-GAAP gross margin improved from 62% in fiscal 2024 to 69% in fiscal 2025. See the section titled “Management’s Discussion and Analysis of Financial Condition and Results of Operations—Non-GAAP Financial Measures” for information regarding our use of non-GAAP gross margin and a reconciliation of gross margin to non-GAAP gross margin.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Navan’s Opportunity: Reshaping an Industry that Has Not Changed in 30 Years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Travel and Expense Management is a Large and Highly Fragmented Industry</w:t>
      </w:r>
    </w:p>
    <w:p>
      <w:pPr>
        <w:spacing w:after="0" w:line="169"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Global travel is a massive and complex industry. According to the World Travel &amp; Tourism Council, the travel and tourism sector’s contribution to the global economy reached $10.9 trillion in 2024, representing 10% of the global economy.</w:t>
      </w:r>
    </w:p>
    <w:p>
      <w:pPr>
        <w:spacing w:after="0" w:line="9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Over the last two decades, consumer travel has undergone significant innovation, with technology-driven marketplaces enhancing the user experience and simplifying transactions. Online penetration of global travel sales increased from 58% in 2019 to 66% in 2023, according to Euromonitor. For personal travel, which is often simpler by nature, consumers have grown accustomed to experiencing a high level of personalization and self-driven discovery. As personal travel has increased in online bookings, so have expectations around seamless booking, access to greater inventory and optionality.</w:t>
      </w:r>
    </w:p>
    <w:p>
      <w:pPr>
        <w:spacing w:after="0" w:line="1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Business travel tools, by contrast, were built to serve companies and their policies, not users. The experience of travel is plagued by antiquated technology in a sector that is still largely offline, often driven and supported by people-intense agencies and aggregators. Users are often forced to navigate multiple platforms with inadequate inventories, and to book and manage various aspects of their trip, from flights and lodging to ground transportation. Business travelers also need to ensure their choices adhere to company policies that are further complicated by the tedious, manual processes involved in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229"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reporting after the trip. This burden falls increasingly on travelers who are mission critical to their companies, diverting the time and focus of employees ranging from top executives and their executive assistants to sales leaders. A thoughtfully designed travel experience not only respects these individuals’ valuable time, it becomes a strategic advantage for their companies.</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challenge of delivering a seamless user experience for travel is exacerbated by a highly fragmented industry that imposes high costs and significant inefficiencies on businesses. A single business trip may require over ten different tools, systems, and workflows to book travel and manage expenses for one traveler: multiple suppliers to provide inventory, legacy inventory networks, a travel management company, a different platform for booking travel and lodging, travel and expense management software point solutions, other separate reporting and analytics tools to evaluate travel spend, a tool to ensure duty of care, a vendor for meetings and events, software for itinerary management, a payments platform, a corporate card offering, and a disconnected offering for rewards.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and Expense Management is Highly Fragmented Industry of Suppliers and Point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120650</wp:posOffset>
            </wp:positionV>
            <wp:extent cx="5143500" cy="2468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think of this ecosystem in the following categories: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Suppliers</w:t>
      </w:r>
    </w:p>
    <w:p>
      <w:pPr>
        <w:spacing w:after="0" w:line="169" w:lineRule="exact"/>
        <w:rPr>
          <w:sz w:val="20"/>
          <w:szCs w:val="20"/>
          <w:color w:val="auto"/>
        </w:rPr>
      </w:pPr>
    </w:p>
    <w:p>
      <w:pPr>
        <w:ind w:left="660" w:right="26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Traditional Inventory. </w:t>
      </w:r>
      <w:r>
        <w:rPr>
          <w:rFonts w:ascii="Arial" w:cs="Arial" w:eastAsia="Arial" w:hAnsi="Arial"/>
          <w:sz w:val="18"/>
          <w:szCs w:val="18"/>
          <w:color w:val="auto"/>
        </w:rPr>
        <w:t>Includes airlines, hotels, rail carriers, car rental agencies, and black car operators that sell and provide travel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Suppliers make money by selling their inventory to travelers either directly or indirectly through TMCs.</w:t>
      </w:r>
    </w:p>
    <w:p>
      <w:pPr>
        <w:spacing w:after="0" w:line="98" w:lineRule="exact"/>
        <w:rPr>
          <w:rFonts w:ascii="Arial" w:cs="Arial" w:eastAsia="Arial" w:hAnsi="Arial"/>
          <w:sz w:val="18"/>
          <w:szCs w:val="18"/>
          <w:color w:val="auto"/>
        </w:rPr>
      </w:pPr>
    </w:p>
    <w:p>
      <w:pPr>
        <w:ind w:left="660" w:right="300" w:hanging="328"/>
        <w:spacing w:after="0" w:line="259"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Travel Management Companies. </w:t>
      </w:r>
      <w:r>
        <w:rPr>
          <w:rFonts w:ascii="Arial" w:cs="Arial" w:eastAsia="Arial" w:hAnsi="Arial"/>
          <w:sz w:val="18"/>
          <w:szCs w:val="18"/>
          <w:color w:val="auto"/>
        </w:rPr>
        <w:t>Travel agencies that book trips on behalf of travelers. Many of the most prominent TMCs were</w:t>
      </w:r>
      <w:r>
        <w:rPr>
          <w:rFonts w:ascii="Arial" w:cs="Arial" w:eastAsia="Arial" w:hAnsi="Arial"/>
          <w:sz w:val="18"/>
          <w:szCs w:val="18"/>
          <w:i w:val="1"/>
          <w:iCs w:val="1"/>
          <w:color w:val="auto"/>
        </w:rPr>
        <w:t xml:space="preserve"> </w:t>
      </w:r>
      <w:r>
        <w:rPr>
          <w:rFonts w:ascii="Arial" w:cs="Arial" w:eastAsia="Arial" w:hAnsi="Arial"/>
          <w:sz w:val="18"/>
          <w:szCs w:val="18"/>
          <w:color w:val="auto"/>
        </w:rPr>
        <w:t>founded decades ago and primarily work offline with phone call bookings, changing travel bookings, high-touch customer service, and minimal technology. TMCs make money through commissions paid by suppliers in addition to one-off fees for completing bookings, providing additional support, or offering after-hours help, in particular. TMCs are financially incentivized to book travel through suppliers that provide them with the highest commission.</w:t>
      </w:r>
    </w:p>
    <w:p>
      <w:pPr>
        <w:spacing w:after="0" w:line="125" w:lineRule="exact"/>
        <w:rPr>
          <w:rFonts w:ascii="Arial" w:cs="Arial" w:eastAsia="Arial" w:hAnsi="Arial"/>
          <w:sz w:val="18"/>
          <w:szCs w:val="18"/>
          <w:color w:val="auto"/>
        </w:rPr>
      </w:pPr>
    </w:p>
    <w:p>
      <w:pPr>
        <w:ind w:left="980" w:right="420" w:hanging="324"/>
        <w:spacing w:after="0" w:line="287" w:lineRule="auto"/>
        <w:tabs>
          <w:tab w:leader="none" w:pos="976"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Traveler Data. </w:t>
      </w:r>
      <w:r>
        <w:rPr>
          <w:rFonts w:ascii="Arial" w:cs="Arial" w:eastAsia="Arial" w:hAnsi="Arial"/>
          <w:sz w:val="18"/>
          <w:szCs w:val="18"/>
          <w:color w:val="auto"/>
        </w:rPr>
        <w:t>TMCs have access to and maintain detailed information about the traveler's schedule, including dates, times,</w:t>
      </w:r>
      <w:r>
        <w:rPr>
          <w:rFonts w:ascii="Arial" w:cs="Arial" w:eastAsia="Arial" w:hAnsi="Arial"/>
          <w:sz w:val="18"/>
          <w:szCs w:val="18"/>
          <w:i w:val="1"/>
          <w:iCs w:val="1"/>
          <w:color w:val="auto"/>
        </w:rPr>
        <w:t xml:space="preserve"> </w:t>
      </w:r>
      <w:r>
        <w:rPr>
          <w:rFonts w:ascii="Arial" w:cs="Arial" w:eastAsia="Arial" w:hAnsi="Arial"/>
          <w:sz w:val="18"/>
          <w:szCs w:val="18"/>
          <w:color w:val="auto"/>
        </w:rPr>
        <w:t>flight numbers, hotel bookings, and other transportation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229"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right="260" w:hanging="324"/>
        <w:spacing w:after="0" w:line="287" w:lineRule="auto"/>
        <w:tabs>
          <w:tab w:leader="none" w:pos="976"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Travel Agent. </w:t>
      </w:r>
      <w:r>
        <w:rPr>
          <w:rFonts w:ascii="Arial" w:cs="Arial" w:eastAsia="Arial" w:hAnsi="Arial"/>
          <w:sz w:val="18"/>
          <w:szCs w:val="18"/>
          <w:color w:val="auto"/>
        </w:rPr>
        <w:t>TMCs typically offer agent support via email, phone, or in-app chat to travelers to deal with last-minute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emergencies, and other travel-related issues.</w:t>
      </w:r>
    </w:p>
    <w:p>
      <w:pPr>
        <w:spacing w:after="0" w:line="98" w:lineRule="exact"/>
        <w:rPr>
          <w:rFonts w:ascii="Arial" w:cs="Arial" w:eastAsia="Arial" w:hAnsi="Arial"/>
          <w:sz w:val="18"/>
          <w:szCs w:val="18"/>
          <w:color w:val="auto"/>
        </w:rPr>
      </w:pPr>
    </w:p>
    <w:p>
      <w:pPr>
        <w:ind w:left="980" w:right="180" w:hanging="324"/>
        <w:spacing w:after="0" w:line="268" w:lineRule="auto"/>
        <w:tabs>
          <w:tab w:leader="none" w:pos="976"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Supplier Spend Data. </w:t>
      </w:r>
      <w:r>
        <w:rPr>
          <w:rFonts w:ascii="Arial" w:cs="Arial" w:eastAsia="Arial" w:hAnsi="Arial"/>
          <w:sz w:val="18"/>
          <w:szCs w:val="18"/>
          <w:color w:val="auto"/>
        </w:rPr>
        <w:t>Supplier negotiations are a key area where data makes a difference. By analyzing past booking patterns,</w:t>
      </w:r>
      <w:r>
        <w:rPr>
          <w:rFonts w:ascii="Arial" w:cs="Arial" w:eastAsia="Arial" w:hAnsi="Arial"/>
          <w:sz w:val="18"/>
          <w:szCs w:val="18"/>
          <w:i w:val="1"/>
          <w:iCs w:val="1"/>
          <w:color w:val="auto"/>
        </w:rPr>
        <w:t xml:space="preserve"> </w:t>
      </w:r>
      <w:r>
        <w:rPr>
          <w:rFonts w:ascii="Arial" w:cs="Arial" w:eastAsia="Arial" w:hAnsi="Arial"/>
          <w:sz w:val="18"/>
          <w:szCs w:val="18"/>
          <w:color w:val="auto"/>
        </w:rPr>
        <w:t>spend volumes, and traveler preferences, TMCs enable companies to negotiate contracts that maximize value. Companies leveraging TMC data can save money on supplier contracts.</w:t>
      </w:r>
    </w:p>
    <w:p>
      <w:pPr>
        <w:spacing w:after="0" w:line="116"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Global Distribution System. </w:t>
      </w:r>
      <w:r>
        <w:rPr>
          <w:rFonts w:ascii="Arial" w:cs="Arial" w:eastAsia="Arial" w:hAnsi="Arial"/>
          <w:sz w:val="18"/>
          <w:szCs w:val="18"/>
          <w:color w:val="auto"/>
        </w:rPr>
        <w:t>An inventory network built to display real-time availability of inventory from various suppliers. TMCs use a</w:t>
      </w:r>
      <w:r>
        <w:rPr>
          <w:rFonts w:ascii="Arial" w:cs="Arial" w:eastAsia="Arial" w:hAnsi="Arial"/>
          <w:sz w:val="18"/>
          <w:szCs w:val="18"/>
          <w:i w:val="1"/>
          <w:iCs w:val="1"/>
          <w:color w:val="auto"/>
        </w:rPr>
        <w:t xml:space="preserve"> </w:t>
      </w:r>
      <w:r>
        <w:rPr>
          <w:rFonts w:ascii="Arial" w:cs="Arial" w:eastAsia="Arial" w:hAnsi="Arial"/>
          <w:sz w:val="18"/>
          <w:szCs w:val="18"/>
          <w:color w:val="auto"/>
        </w:rPr>
        <w:t>GDS to book travel on behalf of business customers. Many GDSs were developed in the 1960s, 1970s, and 1980s and were built on original distribution technology and data models, called EDIFACT, tied to a few of the major global airlines. EDIFACT systems may lack dynamic pricing or have content gaps compared to newer distribution channels, and are restrictive on their capabilities to service travel due to a fixed data structure and toolset. GDSs were originally built as a back-end display tool without an online marketplace on which to transact. Over time, GDSs have added computer reservation systems and new distribution technology to facilitate transactions. GDSs make money by charging a fee per transaction sourced from their inventory network.</w:t>
      </w:r>
    </w:p>
    <w:p>
      <w:pPr>
        <w:spacing w:after="0" w:line="128"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Low-Cost Carriers. </w:t>
      </w:r>
      <w:r>
        <w:rPr>
          <w:rFonts w:ascii="Arial" w:cs="Arial" w:eastAsia="Arial" w:hAnsi="Arial"/>
          <w:sz w:val="18"/>
          <w:szCs w:val="18"/>
          <w:color w:val="auto"/>
        </w:rPr>
        <w:t>Airlines with no-frills models that are not accessed by traditional GDSs, requiring TMCs and travel platforms to</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direct connections. While LCCs offer cost savings, they pose challenges for integration, reporting, and access to negotiated fares.</w:t>
      </w:r>
    </w:p>
    <w:p>
      <w:pPr>
        <w:spacing w:after="0" w:line="116"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Online Travel Agencies, or OTAs. </w:t>
      </w:r>
      <w:r>
        <w:rPr>
          <w:rFonts w:ascii="Arial" w:cs="Arial" w:eastAsia="Arial" w:hAnsi="Arial"/>
          <w:sz w:val="18"/>
          <w:szCs w:val="18"/>
          <w:color w:val="auto"/>
        </w:rPr>
        <w:t>Online platforms that act as intermediaries between travelers and travel providers such as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and hotels. OTAs often include commission fees and rate parity requirements mandating consistent pricing across all distribution channels.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Point Solutions</w:t>
      </w:r>
    </w:p>
    <w:p>
      <w:pPr>
        <w:spacing w:after="0" w:line="169" w:lineRule="exact"/>
        <w:rPr>
          <w:sz w:val="20"/>
          <w:szCs w:val="20"/>
          <w:color w:val="auto"/>
        </w:rPr>
      </w:pPr>
    </w:p>
    <w:p>
      <w:pPr>
        <w:ind w:left="660" w:right="220" w:hanging="328"/>
        <w:spacing w:after="0" w:line="268"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Payments Solution. </w:t>
      </w:r>
      <w:r>
        <w:rPr>
          <w:rFonts w:ascii="Arial" w:cs="Arial" w:eastAsia="Arial" w:hAnsi="Arial"/>
          <w:sz w:val="18"/>
          <w:szCs w:val="18"/>
          <w:color w:val="auto"/>
        </w:rPr>
        <w:t>Payment processing software that automates the sending and receiving of payments, streamlining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workflows and reducing manual tasks. It helps businesses accept payments online, manage payment data, track transactions, and reconcile payments with accounting systems.</w:t>
      </w:r>
    </w:p>
    <w:p>
      <w:pPr>
        <w:spacing w:after="0" w:line="116"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T&amp;E Management. </w:t>
      </w:r>
      <w:r>
        <w:rPr>
          <w:rFonts w:ascii="Arial" w:cs="Arial" w:eastAsia="Arial" w:hAnsi="Arial"/>
          <w:sz w:val="18"/>
          <w:szCs w:val="18"/>
          <w:color w:val="auto"/>
        </w:rPr>
        <w:t>Powering the bespoke demands of business travel requires intricate back-end system integrations, workflow</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automation, as well as real-time reporting and analytics—capabilities that no traditional provider offers in a unified software solution. Key requirements to enable business travel expense management include:</w:t>
      </w:r>
    </w:p>
    <w:p>
      <w:pPr>
        <w:spacing w:after="0" w:line="116" w:lineRule="exact"/>
        <w:rPr>
          <w:rFonts w:ascii="Arial" w:cs="Arial" w:eastAsia="Arial" w:hAnsi="Arial"/>
          <w:sz w:val="18"/>
          <w:szCs w:val="18"/>
          <w:color w:val="auto"/>
        </w:rPr>
      </w:pPr>
    </w:p>
    <w:p>
      <w:pPr>
        <w:ind w:left="980" w:right="40" w:hanging="324"/>
        <w:spacing w:after="0" w:line="262" w:lineRule="auto"/>
        <w:tabs>
          <w:tab w:leader="none" w:pos="976"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Expense System</w:t>
      </w:r>
      <w:r>
        <w:rPr>
          <w:rFonts w:ascii="Arial" w:cs="Arial" w:eastAsia="Arial" w:hAnsi="Arial"/>
          <w:sz w:val="18"/>
          <w:szCs w:val="18"/>
          <w:color w:val="auto"/>
        </w:rPr>
        <w:t>. Facilitates financial back office functions to account for and manage transactions, helping companies manage</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control the costs associated with their employees as they travel for work. These systems are designed to give companies visibility into their travel and expense spend, allowing for better cost management. Expense systems also enable payments back to employees for reimbursement of expenses.</w:t>
      </w:r>
    </w:p>
    <w:p>
      <w:pPr>
        <w:spacing w:after="0" w:line="122" w:lineRule="exact"/>
        <w:rPr>
          <w:rFonts w:ascii="Arial" w:cs="Arial" w:eastAsia="Arial" w:hAnsi="Arial"/>
          <w:sz w:val="18"/>
          <w:szCs w:val="18"/>
          <w:color w:val="auto"/>
        </w:rPr>
      </w:pPr>
    </w:p>
    <w:p>
      <w:pPr>
        <w:ind w:left="980" w:right="140" w:hanging="324"/>
        <w:spacing w:after="0" w:line="287" w:lineRule="auto"/>
        <w:tabs>
          <w:tab w:leader="none" w:pos="976"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Policy Management. </w:t>
      </w:r>
      <w:r>
        <w:rPr>
          <w:rFonts w:ascii="Arial" w:cs="Arial" w:eastAsia="Arial" w:hAnsi="Arial"/>
          <w:sz w:val="18"/>
          <w:szCs w:val="18"/>
          <w:color w:val="auto"/>
        </w:rPr>
        <w:t>Allows companies to implement and monitor compliance to company policy and spending limits. These aid</w:t>
      </w:r>
      <w:r>
        <w:rPr>
          <w:rFonts w:ascii="Arial" w:cs="Arial" w:eastAsia="Arial" w:hAnsi="Arial"/>
          <w:sz w:val="18"/>
          <w:szCs w:val="18"/>
          <w:i w:val="1"/>
          <w:iCs w:val="1"/>
          <w:color w:val="auto"/>
        </w:rPr>
        <w:t xml:space="preserve"> </w:t>
      </w:r>
      <w:r>
        <w:rPr>
          <w:rFonts w:ascii="Arial" w:cs="Arial" w:eastAsia="Arial" w:hAnsi="Arial"/>
          <w:sz w:val="18"/>
          <w:szCs w:val="18"/>
          <w:color w:val="auto"/>
        </w:rPr>
        <w:t>in companies’ cost management and help ensure that employees are aware of corporate policies and working within them.</w:t>
      </w:r>
    </w:p>
    <w:p>
      <w:pPr>
        <w:spacing w:after="0" w:line="98" w:lineRule="exact"/>
        <w:rPr>
          <w:rFonts w:ascii="Arial" w:cs="Arial" w:eastAsia="Arial" w:hAnsi="Arial"/>
          <w:sz w:val="18"/>
          <w:szCs w:val="18"/>
          <w:color w:val="auto"/>
        </w:rPr>
      </w:pPr>
    </w:p>
    <w:p>
      <w:pPr>
        <w:ind w:left="980" w:right="120" w:hanging="324"/>
        <w:spacing w:after="0" w:line="268" w:lineRule="auto"/>
        <w:tabs>
          <w:tab w:leader="none" w:pos="976"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Spend Analysis. </w:t>
      </w:r>
      <w:r>
        <w:rPr>
          <w:rFonts w:ascii="Arial" w:cs="Arial" w:eastAsia="Arial" w:hAnsi="Arial"/>
          <w:sz w:val="18"/>
          <w:szCs w:val="18"/>
          <w:color w:val="auto"/>
        </w:rPr>
        <w:t>Allows companies to examine spending across their employee base to identify cost-saving opportunities,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efficiency, and help their employees make more informed purchasing decisions when traveling. This is often a separate finance application, allowing for better employee transaction and spend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22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right="260" w:hanging="324"/>
        <w:spacing w:after="0" w:line="287" w:lineRule="auto"/>
        <w:tabs>
          <w:tab w:leader="none" w:pos="976"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Duty of Care. </w:t>
      </w:r>
      <w:r>
        <w:rPr>
          <w:rFonts w:ascii="Arial" w:cs="Arial" w:eastAsia="Arial" w:hAnsi="Arial"/>
          <w:sz w:val="18"/>
          <w:szCs w:val="18"/>
          <w:color w:val="auto"/>
        </w:rPr>
        <w:t>Monitors threats to employees and enables two-way communication between a traveler and the security team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inform traveling employees of emerging threats to ensure their safety and well-being.</w:t>
      </w:r>
    </w:p>
    <w:p>
      <w:pPr>
        <w:spacing w:after="0" w:line="98" w:lineRule="exact"/>
        <w:rPr>
          <w:rFonts w:ascii="Arial" w:cs="Arial" w:eastAsia="Arial" w:hAnsi="Arial"/>
          <w:sz w:val="18"/>
          <w:szCs w:val="18"/>
          <w:color w:val="auto"/>
        </w:rPr>
      </w:pPr>
    </w:p>
    <w:p>
      <w:pPr>
        <w:ind w:left="980" w:hanging="324"/>
        <w:spacing w:after="0" w:line="262" w:lineRule="auto"/>
        <w:tabs>
          <w:tab w:leader="none" w:pos="976"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Meetings and Events. </w:t>
      </w:r>
      <w:r>
        <w:rPr>
          <w:rFonts w:ascii="Arial" w:cs="Arial" w:eastAsia="Arial" w:hAnsi="Arial"/>
          <w:sz w:val="18"/>
          <w:szCs w:val="18"/>
          <w:color w:val="auto"/>
        </w:rPr>
        <w:t>Solutions that promote event organization or meeting attendance across a company’s employee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coordinated booking of travel and accommodations across a common itinerary. These solutions are often separate from traditional business travel solutions, making it difficult to integrate with other parts of the ecosystem like spend analysis and policy management solutions.</w:t>
      </w:r>
    </w:p>
    <w:p>
      <w:pPr>
        <w:spacing w:after="0" w:line="122"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Rewards Programs. </w:t>
      </w:r>
      <w:r>
        <w:rPr>
          <w:rFonts w:ascii="Arial" w:cs="Arial" w:eastAsia="Arial" w:hAnsi="Arial"/>
          <w:sz w:val="18"/>
          <w:szCs w:val="18"/>
          <w:color w:val="auto"/>
        </w:rPr>
        <w:t>Programs where users can obtain rewards for loyalty and usage of hotels, airlines, or other services.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are often fragmented and segregated across airlines and hotel groups, making it difficult to get rewards while adhering to company policies.</w:t>
      </w:r>
    </w:p>
    <w:p>
      <w:pPr>
        <w:spacing w:after="0" w:line="116"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Itinerary Management. </w:t>
      </w:r>
      <w:r>
        <w:rPr>
          <w:rFonts w:ascii="Arial" w:cs="Arial" w:eastAsia="Arial" w:hAnsi="Arial"/>
          <w:sz w:val="18"/>
          <w:szCs w:val="18"/>
          <w:color w:val="auto"/>
        </w:rPr>
        <w:t>Tool that helps users, particularly travel agencies and tour operators, organize and manage detailed travel</w:t>
      </w:r>
      <w:r>
        <w:rPr>
          <w:rFonts w:ascii="Arial" w:cs="Arial" w:eastAsia="Arial" w:hAnsi="Arial"/>
          <w:sz w:val="18"/>
          <w:szCs w:val="18"/>
          <w:i w:val="1"/>
          <w:iCs w:val="1"/>
          <w:color w:val="auto"/>
        </w:rPr>
        <w:t xml:space="preserve"> </w:t>
      </w:r>
      <w:r>
        <w:rPr>
          <w:rFonts w:ascii="Arial" w:cs="Arial" w:eastAsia="Arial" w:hAnsi="Arial"/>
          <w:sz w:val="18"/>
          <w:szCs w:val="18"/>
          <w:color w:val="auto"/>
        </w:rPr>
        <w:t>plans. It consolidates information like flights, accommodations, activities, and transportation into one place, streamlining the planning process and enhancing the customer experience.</w:t>
      </w:r>
    </w:p>
    <w:p>
      <w:pPr>
        <w:spacing w:after="0" w:line="116"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Online Booking Tool, or OBTs. </w:t>
      </w:r>
      <w:r>
        <w:rPr>
          <w:rFonts w:ascii="Arial" w:cs="Arial" w:eastAsia="Arial" w:hAnsi="Arial"/>
          <w:sz w:val="18"/>
          <w:szCs w:val="18"/>
          <w:color w:val="auto"/>
        </w:rPr>
        <w:t>Tech solution allowing travelers to book and manage their travel itineraries in a centralized system.</w:t>
      </w:r>
      <w:r>
        <w:rPr>
          <w:rFonts w:ascii="Arial" w:cs="Arial" w:eastAsia="Arial" w:hAnsi="Arial"/>
          <w:sz w:val="18"/>
          <w:szCs w:val="18"/>
          <w:i w:val="1"/>
          <w:iCs w:val="1"/>
          <w:color w:val="auto"/>
        </w:rPr>
        <w:t xml:space="preserve"> </w:t>
      </w:r>
      <w:r>
        <w:rPr>
          <w:rFonts w:ascii="Arial" w:cs="Arial" w:eastAsia="Arial" w:hAnsi="Arial"/>
          <w:sz w:val="18"/>
          <w:szCs w:val="18"/>
          <w:color w:val="auto"/>
        </w:rPr>
        <w:t>OBTs are a centralized way for company administrators to manage and monitor a company’s travel program.</w:t>
      </w:r>
    </w:p>
    <w:p>
      <w:pPr>
        <w:spacing w:after="0" w:line="99"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As a result of this disconnected ecosystem, business travelers spend an average of 45 minutes booking a trip, according to Booking.com, often requiring significant additional time spent calling agents and reconciling expenses. In some instances, travel bookings and changes may take days between emails, calls, and asynchronous feedback between parties. Business travelers are dissatisfied and</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highly frustrated with existing solutions, reflected in the industry’s low NPS of as compared to our NPS of as of January 31, 2025.</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of Existing Solutions for Key Stakeholders in Business Travel</w:t>
      </w:r>
    </w:p>
    <w:p>
      <w:pPr>
        <w:spacing w:after="0" w:line="169" w:lineRule="exact"/>
        <w:rPr>
          <w:sz w:val="20"/>
          <w:szCs w:val="20"/>
          <w:color w:val="auto"/>
        </w:rPr>
      </w:pPr>
    </w:p>
    <w:p>
      <w:pPr>
        <w:ind w:left="660" w:right="20" w:hanging="328"/>
        <w:spacing w:after="0" w:line="256"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For Travelers: </w:t>
      </w:r>
      <w:r>
        <w:rPr>
          <w:rFonts w:ascii="Arial" w:cs="Arial" w:eastAsia="Arial" w:hAnsi="Arial"/>
          <w:sz w:val="18"/>
          <w:szCs w:val="18"/>
          <w:color w:val="auto"/>
        </w:rPr>
        <w:t>When working with legacy solutions, users are forced to navigate a global web of challenging interfaces that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booking options and offer little guidance on company travel and expense policy. It is difficult to assess which travel options are compliant with company policy, especially as users rely heavily on live booking agents to assist. Changes frequently require the traveler to call customer support, increasing time to book travel. Additionally, travelers are tasked with the frustrating process of tracking and uploading receipts, filling out cumbersome forms, and often needing to front personal dollars for their company spend. Travelers who book outside of approved systems can also miss critical travel alerts and support services provided by corporate programs. This exposes companies to legal risk as companies cannot fulfill their duty of care to their employees.</w:t>
      </w:r>
    </w:p>
    <w:p>
      <w:pPr>
        <w:spacing w:after="0" w:line="128"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For Companies: </w:t>
      </w:r>
      <w:r>
        <w:rPr>
          <w:rFonts w:ascii="Arial" w:cs="Arial" w:eastAsia="Arial" w:hAnsi="Arial"/>
          <w:sz w:val="18"/>
          <w:szCs w:val="18"/>
          <w:color w:val="auto"/>
        </w:rPr>
        <w:t>Frustration with limited booking options, siloed systems, and poor user experience can often lead to limited adoption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systems by travelers. Existing solutions may require travelers to book or modify travel through a travel agent, resulting in the company paying additional fees. Companies also lose the cost-saving benefits from negotiated corporate discounts and volume commitments, increasing overall travel costs. Travelers end up overspending company money and often significantly exceeding their T&amp;E budgets, and this introduces difficulties in the processing of matching expenses to trips, creating additional administrative burden on companies. Without centralized booking, companies also struggle to track and manage travel spend effectively, undermining budget control and forecasting. Low adoption of T&amp;E solutions also impairs a company’s ability to locate and assist travelers during emergencies, such as natural disasters or geopolitical crises, exposing companies to legal and reputational risks. Companies of all sizes can transform their productivity and the experiences of their employees through better travel and expense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229"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 w:hanging="328"/>
        <w:spacing w:after="0" w:line="25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For Suppliers: </w:t>
      </w:r>
      <w:r>
        <w:rPr>
          <w:rFonts w:ascii="Arial" w:cs="Arial" w:eastAsia="Arial" w:hAnsi="Arial"/>
          <w:sz w:val="18"/>
          <w:szCs w:val="18"/>
          <w:color w:val="auto"/>
        </w:rPr>
        <w:t>Fragmented, legacy travel infrastructure makes it more challenging for suppliers to consistently access a large base of</w:t>
      </w:r>
      <w:r>
        <w:rPr>
          <w:rFonts w:ascii="Arial" w:cs="Arial" w:eastAsia="Arial" w:hAnsi="Arial"/>
          <w:sz w:val="18"/>
          <w:szCs w:val="18"/>
          <w:i w:val="1"/>
          <w:iCs w:val="1"/>
          <w:color w:val="auto"/>
        </w:rPr>
        <w:t xml:space="preserve"> </w:t>
      </w:r>
      <w:r>
        <w:rPr>
          <w:rFonts w:ascii="Arial" w:cs="Arial" w:eastAsia="Arial" w:hAnsi="Arial"/>
          <w:sz w:val="18"/>
          <w:szCs w:val="18"/>
          <w:color w:val="auto"/>
        </w:rPr>
        <w:t>frequent travelers given user dissatisfaction and frequency of off-platform spend. Travel infrastructure providers may not have invested in their technology to enable suppliers to present their inventory in a way that differentiates their offerings, including more granular details about class fares, seating options, description of amenities, and other benefits. In addition, legacy players can lack brand experience, preventing suppliers from showcasing unique products, building loyalty with frequent travelers, or facilitating the opportunity to upsell additional products and services for suppliers.</w:t>
      </w:r>
    </w:p>
    <w:p>
      <w:pPr>
        <w:spacing w:after="0" w:line="12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These disjointed steps to book business travel and manage expenses are not designed with the user in mind, resulting in inefficiencies, frustration, data silos, lack of convenience and flexibility, and limited spend control and policy enforcement. We believe that traditional T&amp;E platforms have limited adoption in the market because they are expensive and have significant implementation requirements that limit their feasibility. These requirements typically involve extensive scoping, one-off integrations with ERP and HR systems, detailed configuration and localization, multi-stage quality assurance testing, enterprise-wide training programs, and phased roll-out plans, driving up both complexity and cost. Many businesses on these legacy systems rely on phone calls and do not have access to real-time information, costing employees a considerable amount of time. Navan was built to solve these challenges.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end-to-end, AI-powered software platform is purpose-built to deliver a personalized global travel booking experience for our users, combined with next-generation expense management and payments solutions that provide real-time visibility and control over T&amp;E spend. At the core of our platform is Navan Cognition, our proprietary AI framework that powers intelligent automation and decision making across the user journey. This intelligence layer enhances virtually every step of the travel process, from booking to reconciliation, helping us deliver a more seamless, policy-compliant, and cost-effective experience for customers of all sizes.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Navan Cloud: The Infrastructure of Our Travel Experience</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built our proprietary technology and partner infrastructure from the ground up to provide a global, real-time inventory that maximizes choice for our users. In contrast with legacy players, who have generally expanded through acquisitions of local travel agencies and have a highly fragmented view of inventory with limited access to smaller suppliers, our platform is truly global, with broad inventory including smaller suppliers, and our human and virtual agents have access to all of the bookings on our platform, globally. Acting as a proprietary, in-house aggregator platform, our highly scalable Navan Cloud aggregates and dynamically accesses our broad inventory through direct relationships, API integrations, and partnerships to provide high levels of choice:</w:t>
      </w:r>
    </w:p>
    <w:p>
      <w:pPr>
        <w:spacing w:after="0" w:line="128" w:lineRule="exact"/>
        <w:rPr>
          <w:sz w:val="20"/>
          <w:szCs w:val="20"/>
          <w:color w:val="auto"/>
        </w:rPr>
      </w:pPr>
    </w:p>
    <w:p>
      <w:pPr>
        <w:ind w:left="660" w:right="120" w:hanging="328"/>
        <w:spacing w:after="0" w:line="255"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Direct Supplier Relationships. </w:t>
      </w:r>
      <w:r>
        <w:rPr>
          <w:rFonts w:ascii="Arial" w:cs="Arial" w:eastAsia="Arial" w:hAnsi="Arial"/>
          <w:sz w:val="18"/>
          <w:szCs w:val="18"/>
          <w:color w:val="auto"/>
        </w:rPr>
        <w:t>We have curated direct partnerships with a vast network of airlines, hotels, and other suppliers, giving</w:t>
      </w:r>
      <w:r>
        <w:rPr>
          <w:rFonts w:ascii="Arial" w:cs="Arial" w:eastAsia="Arial" w:hAnsi="Arial"/>
          <w:sz w:val="18"/>
          <w:szCs w:val="18"/>
          <w:i w:val="1"/>
          <w:iCs w:val="1"/>
          <w:color w:val="auto"/>
        </w:rPr>
        <w:t xml:space="preserve"> </w:t>
      </w:r>
      <w:r>
        <w:rPr>
          <w:rFonts w:ascii="Arial" w:cs="Arial" w:eastAsia="Arial" w:hAnsi="Arial"/>
          <w:sz w:val="18"/>
          <w:szCs w:val="18"/>
          <w:color w:val="auto"/>
        </w:rPr>
        <w:t>us better and sometimes exclusive access to inventory and lower prices. These relationships also let us provide richer content such as seating, amenities, and fare classes, directly from suppliers, enabling a more customizable booking experience. A cornerstone of our supply sourcing strategy is to source content directly from suppliers, whether through NDC, where Navan sits on governing bodies and helps define NDC standards, direct integrations to Passenger Service Systems, or other APIs provided by the supplier. This enables us to have swift access to the newest releases and updates to the travel distribution ecosystem. It also positions us as a partner to these suppliers, helping shape new traveler benefits and automated fulfillment and servicing capabilities that benefit our efficiency and the travel experience for our users.</w:t>
      </w:r>
    </w:p>
    <w:p>
      <w:pPr>
        <w:spacing w:after="0" w:line="130"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API Integrations. </w:t>
      </w:r>
      <w:r>
        <w:rPr>
          <w:rFonts w:ascii="Arial" w:cs="Arial" w:eastAsia="Arial" w:hAnsi="Arial"/>
          <w:sz w:val="18"/>
          <w:szCs w:val="18"/>
          <w:color w:val="auto"/>
        </w:rPr>
        <w:t>Our advanced API technology enables real-time integration with suppliers, ensuring users get accurate, real-time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content, and availability. Where APIs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22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available, we leverage our strong direct supplier relationships to source data across a broad set of channels.</w:t>
      </w:r>
    </w:p>
    <w:p>
      <w:pPr>
        <w:spacing w:after="0" w:line="171" w:lineRule="exact"/>
        <w:rPr>
          <w:sz w:val="20"/>
          <w:szCs w:val="20"/>
          <w:color w:val="auto"/>
        </w:rPr>
      </w:pPr>
    </w:p>
    <w:p>
      <w:pPr>
        <w:ind w:left="660" w:right="60" w:hanging="328"/>
        <w:spacing w:after="0" w:line="268"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Partnerships. </w:t>
      </w:r>
      <w:r>
        <w:rPr>
          <w:rFonts w:ascii="Arial" w:cs="Arial" w:eastAsia="Arial" w:hAnsi="Arial"/>
          <w:sz w:val="18"/>
          <w:szCs w:val="18"/>
          <w:color w:val="auto"/>
        </w:rPr>
        <w:t>We have developed deep partnerships with banks, financial technology companies, and payment providers to broaden</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across our payments platform. These include integrations with payment networks like Visa and Mastercard as well as card issuers like Brex, Rho, Citi, Barclays, and Citizens Bank, extending our reach into the financial ecosystem.</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direct connections and integrations give us access to sell over 600 airlines via GDSs, NDC, and LCCs, and over two million individual lodging properties through our platform globally. We have connections to over 200 banks and partnerships with multiple issuing partners in Navan Cloud. Our proprietary infrastructure provides customers with dynamic access to pricing and travel availability, ensuring that users always have the most accurate information at their fingertips. Navan Cloud also simplifies expense management during and after a trip so that customers can understand and accurately capture T&amp;E spend in real time.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Navan Cognition: Our New Paradigm in AI-Powered Travel Management</w:t>
      </w:r>
    </w:p>
    <w:p>
      <w:pPr>
        <w:spacing w:after="0" w:line="16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From our early founding days, we have invested in AI technologies at the core of our platform. We started with advanced ML capabilities that were revolutionary in this industry in our early days, but we did not stop there. As the technology progressed, so did we. We evolved from deploying customized ML algorithms that deliver best-in-class optimization and personalization to building a sophisticated agentic AI platform that is programmable, modular, and dynamic.</w:t>
      </w:r>
    </w:p>
    <w:p>
      <w:pPr>
        <w:spacing w:after="0" w:line="12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developed a new paradigm in AI-powered travel management through Navan Cognition, our third-generation innovative proprietary AI framework that combines the precision and predictive power of ML with the reasoning capabilities of large language models, or LLMs. Navan Cognition is designed to leverage third-party LLMs in combination with our own proprietary, internally developed software to operate a modular framework of virtual agents using a graph-based workflow. On our platform, Navan Cognition enables us to create, train, deploy, and supervise our specialized virtual agents that can handle many complex tasks previously requiring human intervention, including our virtual agent chatbot, Ava. Within the Navan Cognition framework, our networks of virtual agents identify, categorize, and execute user queries (including distinct tasks) as users interface with our platform. The graph-based workflow identifies and processes the intent behind users’ requests to our virtual agents (such as travel type and preferences) to prompt the LLM models to execute the most relevant workflow in response to requests, while refining user intent to strive for accurate responses and minimal hallucinations. Virtual agent outputs undergo compliance, fact-checking, and logic validation, and supervisory workflows are in place with the goal of preventing hallucinations and unauthorized or unintended actions from reaching users.</w:t>
      </w:r>
    </w:p>
    <w:p>
      <w:pPr>
        <w:spacing w:after="0" w:line="12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This framework allows our virtual agents to masterfully manage an increasing number of tasks and requests on our platform, from booking modifications to expense tracking, communicating naturally with users while maintaining strict operational safeguards. For instance, our virtual agents can proactively contact hotels to verify payment arrangements before a traveler's arrival, ensuring a smooth check-in experience. For more information regarding the risks related to the use of AI in our business, see the section titled “Risk Factors—Risks Related to Privacy, Cybersecurity, and Intellectual Property—Our use of artificial intelligence, including Gen AI and ML, gives rise to legal, business, and operational risks, which may result in diminished performance, regulatory scrutiny, social impacts, reputational harm, and liability arising from the use of this technology” in the section titled “Risk Factors.”</w:t>
      </w:r>
    </w:p>
    <w:p>
      <w:pPr>
        <w:spacing w:after="0" w:line="1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Navan Cognition has also been core to helping us improve the service offering of our platform without adding cost to our customers and enabling us to further optimize margins. Our AI-powered virtual agent chatbot, Ava, effectively handled % of customer interactions while maintaining an impressive average CSAT score of for our overall platform and for our AI-powered virtual agent chatbot, Ava, as of , 2025. Most importantly, we have achieved this while striving to adhere to our zero-critical-hallucination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standard, which aims to ensure every interaction is accurate, reliable,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229"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trustworthy. Looking ahead, we intend to continue expanding both our ML and Navan Cognition capabilities. This dual approach, combining the precision of ML with the autonomous reasoning of Navan Cognition, positions us to deliver increasingly sophisticated, personalized, and efficient travel solutions. We aim to leverage these advancements to further streamline workflows, enhance self-service options, and create even more value for our users through intelligent automation, ultimately helping us drive the future of travel.</w:t>
      </w:r>
    </w:p>
    <w:p>
      <w:pPr>
        <w:spacing w:after="0" w:line="12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Navan Cognition is not just a feature, it represents the foundation of our platform. Designed with built-in safeguards and real-time oversight, it works to ensure that AI-driven actions are reliable, secure, and aligned with enterprise needs. As we continue to expand the capabilities of Navan Cognition, it serves as the infrastructure layer upon which a growing ecosystem of intelligent travel applications will be built, powering a safer, smarter, and more adaptive future for business travel.</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Navan Native Apps and Enterprise Integrations</w:t>
      </w:r>
    </w:p>
    <w:p>
      <w:pPr>
        <w:spacing w:after="0" w:line="16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developed simple and intuitive front-end experiences for travel, payments, and expense management. Users can interface with our platform through web and mobile applications, omnichannel support, and white label travel solutions. Customers can also access our platform through administrative apps or through enterprise integrations for expense management and bank or credit cards. Our apps are discrete gateways into our platform that share a common data infrastructure and remain universally synchronized. The user experience drives product use and reinforces the flywheel of our business.</w:t>
      </w:r>
    </w:p>
    <w:p>
      <w:pPr>
        <w:spacing w:after="0" w:line="1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also offer deep enterprise integrations with leading human resource information systems, enterprise resource planning systems, and financial systems, which enable real-time syncing of employee directories, expense categories, and policy controls. This seamless connection also allows customers to streamline onboarding, enforce compliance automatically, and accelerate month-end reconciliation. By embedding Navan into existing enterprise infrastructure, finance and HR teams can maintain a single source of truth across systems and significantly reduce the operational burden of manual data entry and cross-platform coordination.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Benefits of Our Platform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Why Users Love Navan</w:t>
      </w:r>
    </w:p>
    <w:p>
      <w:pPr>
        <w:spacing w:after="0" w:line="169" w:lineRule="exact"/>
        <w:rPr>
          <w:sz w:val="20"/>
          <w:szCs w:val="20"/>
          <w:color w:val="auto"/>
        </w:rPr>
      </w:pPr>
    </w:p>
    <w:p>
      <w:pPr>
        <w:jc w:val="both"/>
        <w:ind w:right="300" w:firstLine="324"/>
        <w:spacing w:after="0" w:line="268" w:lineRule="auto"/>
        <w:rPr>
          <w:sz w:val="20"/>
          <w:szCs w:val="20"/>
          <w:color w:val="auto"/>
        </w:rPr>
      </w:pPr>
      <w:r>
        <w:rPr>
          <w:rFonts w:ascii="Arial" w:cs="Arial" w:eastAsia="Arial" w:hAnsi="Arial"/>
          <w:sz w:val="18"/>
          <w:szCs w:val="18"/>
          <w:color w:val="auto"/>
        </w:rPr>
        <w:t>We provide a true end-to-end travel, payments, and expense management platform that is built from the ground up with a relentless focus on our users. Our intuitive design, ease of use, and time-saving features create an enjoyable experience for our users that helps to drive adoption of our platform. Our users experience the following key benefits:</w:t>
      </w:r>
    </w:p>
    <w:p>
      <w:pPr>
        <w:spacing w:after="0" w:line="117" w:lineRule="exact"/>
        <w:rPr>
          <w:sz w:val="20"/>
          <w:szCs w:val="20"/>
          <w:color w:val="auto"/>
        </w:rPr>
      </w:pPr>
    </w:p>
    <w:p>
      <w:pPr>
        <w:ind w:left="660" w:right="200" w:hanging="328"/>
        <w:spacing w:after="0" w:line="262"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Highly personalized experience. </w:t>
      </w:r>
      <w:r>
        <w:rPr>
          <w:rFonts w:ascii="Arial" w:cs="Arial" w:eastAsia="Arial" w:hAnsi="Arial"/>
          <w:sz w:val="18"/>
          <w:szCs w:val="18"/>
          <w:color w:val="auto"/>
        </w:rPr>
        <w:t>Starting with booking, our AI capabilities enable us to curate results based on the user’s past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preferences, trips, and travel patterns that are all within a customer’s policy. During the trip, our technology offers suggestions and content informed by the user’s itinerary. Whether business travel or personal travel booked around business trips, referred to as bleisure, the more a user spends on our platform, the more we can deliver a personalized experience.</w:t>
      </w:r>
    </w:p>
    <w:p>
      <w:pPr>
        <w:spacing w:after="0" w:line="122"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Centralized platform for user needs. </w:t>
      </w:r>
      <w:r>
        <w:rPr>
          <w:rFonts w:ascii="Arial" w:cs="Arial" w:eastAsia="Arial" w:hAnsi="Arial"/>
          <w:sz w:val="18"/>
          <w:szCs w:val="18"/>
          <w:color w:val="auto"/>
        </w:rPr>
        <w:t>Our platform enables users to address their travel, payments, and expense management needs</w:t>
      </w:r>
      <w:r>
        <w:rPr>
          <w:rFonts w:ascii="Arial" w:cs="Arial" w:eastAsia="Arial" w:hAnsi="Arial"/>
          <w:sz w:val="18"/>
          <w:szCs w:val="18"/>
          <w:i w:val="1"/>
          <w:iCs w:val="1"/>
          <w:color w:val="auto"/>
        </w:rPr>
        <w:t xml:space="preserve"> </w:t>
      </w:r>
      <w:r>
        <w:rPr>
          <w:rFonts w:ascii="Arial" w:cs="Arial" w:eastAsia="Arial" w:hAnsi="Arial"/>
          <w:sz w:val="18"/>
          <w:szCs w:val="18"/>
          <w:color w:val="auto"/>
        </w:rPr>
        <w:t>in a single, unified workspace. Previously, users relied on a fragmented set of point solutions that required users to toggle between multiple applications, calendars, emails, printouts, and texts. With Navan, users can find what they need all in one place, from logistics for events travel to bleisure to bespoke, white-glove VIP services, which can satisfy the complex requirements even the highest profile travelers, including private jets and police escorts. In fiscal 2025, % of bookings were made online or through mobile applications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80"/>
          </w:cols>
          <w:pgMar w:left="320" w:top="229" w:right="39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00" w:hanging="328"/>
        <w:spacing w:after="0" w:line="270"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Differentiated support experience. </w:t>
      </w:r>
      <w:r>
        <w:rPr>
          <w:rFonts w:ascii="Arial" w:cs="Arial" w:eastAsia="Arial" w:hAnsi="Arial"/>
          <w:sz w:val="17"/>
          <w:szCs w:val="17"/>
          <w:color w:val="auto"/>
        </w:rPr>
        <w:t>We offer an exceptional support experience that combines our self-serve support tools with 24/7</w:t>
      </w:r>
      <w:r>
        <w:rPr>
          <w:rFonts w:ascii="Arial" w:cs="Arial" w:eastAsia="Arial" w:hAnsi="Arial"/>
          <w:sz w:val="17"/>
          <w:szCs w:val="17"/>
          <w:i w:val="1"/>
          <w:iCs w:val="1"/>
          <w:color w:val="auto"/>
        </w:rPr>
        <w:t xml:space="preserve"> </w:t>
      </w:r>
      <w:r>
        <w:rPr>
          <w:rFonts w:ascii="Arial" w:cs="Arial" w:eastAsia="Arial" w:hAnsi="Arial"/>
          <w:sz w:val="17"/>
          <w:szCs w:val="17"/>
          <w:color w:val="auto"/>
        </w:rPr>
        <w:t>live service through chat or phone. Users can select from three different levels of support to best meet their needs, including our dedicated paid offering. Users can access our support services via chat or phone, typically connecting with a dedicated agent within minutes. Increasingly, more of our support is becoming automated through our AI-powered virtual agent chatbot, Ava, with more</w:t>
      </w:r>
    </w:p>
    <w:p>
      <w:pPr>
        <w:spacing w:after="0" w:line="2" w:lineRule="exact"/>
        <w:rPr>
          <w:sz w:val="20"/>
          <w:szCs w:val="20"/>
          <w:color w:val="auto"/>
        </w:rPr>
      </w:pPr>
    </w:p>
    <w:p>
      <w:pPr>
        <w:ind w:left="660" w:right="400"/>
        <w:spacing w:after="0" w:line="266" w:lineRule="auto"/>
        <w:rPr>
          <w:sz w:val="20"/>
          <w:szCs w:val="20"/>
          <w:color w:val="auto"/>
        </w:rPr>
      </w:pPr>
      <w:r>
        <w:rPr>
          <w:rFonts w:ascii="Arial" w:cs="Arial" w:eastAsia="Arial" w:hAnsi="Arial"/>
          <w:sz w:val="18"/>
          <w:szCs w:val="18"/>
          <w:color w:val="auto"/>
        </w:rPr>
        <w:t>than % of interactions being handled without live agent intervention as of , 2025. This allows travelers to access support efficiently and effectively and lessens the burden on customers’ administrative support teams.</w:t>
      </w:r>
    </w:p>
    <w:p>
      <w:pPr>
        <w:spacing w:after="0" w:line="117" w:lineRule="exact"/>
        <w:rPr>
          <w:sz w:val="20"/>
          <w:szCs w:val="20"/>
          <w:color w:val="auto"/>
        </w:rPr>
      </w:pPr>
    </w:p>
    <w:p>
      <w:pPr>
        <w:ind w:left="660" w:right="40" w:hanging="328"/>
        <w:spacing w:after="0" w:line="25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Increased productivity. </w:t>
      </w:r>
      <w:r>
        <w:rPr>
          <w:rFonts w:ascii="Arial" w:cs="Arial" w:eastAsia="Arial" w:hAnsi="Arial"/>
          <w:sz w:val="18"/>
          <w:szCs w:val="18"/>
          <w:color w:val="auto"/>
        </w:rPr>
        <w:t>Designed to eliminate friction from the entire travel booking experience all the way through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expensing the trip, our platform makes everything from booking travel to managing itineraries and making changes simple and fast. Users receive timely notifications as a trip approaches, and instead of having to spend valuable time waiting on hold and speaking to an agent, our AI-powered virtual agent chatbot, Ava, can make trip changes directly without involving a live agent. After a trip, our technology links travel bookings to expenses and automates the reconciliation process. With Navan, the average time to book a trip is seven minutes, compared with 45 minutes through outside channels, according to Booking.com.</w:t>
      </w:r>
    </w:p>
    <w:p>
      <w:pPr>
        <w:spacing w:after="0" w:line="128"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Ability to share in rewards. </w:t>
      </w:r>
      <w:r>
        <w:rPr>
          <w:rFonts w:ascii="Arial" w:cs="Arial" w:eastAsia="Arial" w:hAnsi="Arial"/>
          <w:sz w:val="18"/>
          <w:szCs w:val="18"/>
          <w:color w:val="auto"/>
        </w:rPr>
        <w:t>Our rewards program allows users to share in a portion of the savings realized by their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Traditionally, users are not incentivized to save money on travel and are only given a blanket maximum of what they can spend. Instead, our platform gives users a “price to beat,” which is a median price for a particular location at a given time, and is designed to incentivize users to save money by focusing on what a booking should reasonably cost. Users can redeem rewards for personal travel, travel upgrades, or gift cards. We assume the cost of these rewards as a way to incentivize users while allowing customers to save money.</w:t>
      </w:r>
    </w:p>
    <w:p>
      <w:pPr>
        <w:spacing w:after="0" w:line="128"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Real-time visibility into expenses and faster reimbursement process. </w:t>
      </w:r>
      <w:r>
        <w:rPr>
          <w:rFonts w:ascii="Arial" w:cs="Arial" w:eastAsia="Arial" w:hAnsi="Arial"/>
          <w:sz w:val="18"/>
          <w:szCs w:val="18"/>
          <w:color w:val="auto"/>
        </w:rPr>
        <w:t>Users are able to track expenses in real-time and can easily</w:t>
      </w:r>
      <w:r>
        <w:rPr>
          <w:rFonts w:ascii="Arial" w:cs="Arial" w:eastAsia="Arial" w:hAnsi="Arial"/>
          <w:sz w:val="18"/>
          <w:szCs w:val="18"/>
          <w:i w:val="1"/>
          <w:iCs w:val="1"/>
          <w:color w:val="auto"/>
        </w:rPr>
        <w:t xml:space="preserve"> </w:t>
      </w:r>
      <w:r>
        <w:rPr>
          <w:rFonts w:ascii="Arial" w:cs="Arial" w:eastAsia="Arial" w:hAnsi="Arial"/>
          <w:sz w:val="18"/>
          <w:szCs w:val="18"/>
          <w:color w:val="auto"/>
        </w:rPr>
        <w:t>check spend relative to per diems. These features help increase adoption of our platform because users do not have to worry about whether they are in compliance with policies or fear being flagged out of policy after the fact. We also streamline the reimbursement process to enable users to get paid back faster.</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manage complexities across travel, payments, and expense management for our users through an easy-to-use platform that has</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enabled us to earn an NPS of as of , 2025. The benefits of an enjoyable user experience, increased productivity, and higher adoption of our platform ultimately drive GBV on our platform.</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Why Our Customers Love Navan</w:t>
      </w:r>
    </w:p>
    <w:p>
      <w:pPr>
        <w:spacing w:after="0" w:line="16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Customers struggle to enforce travel and expense policies and to gain visibility into spend without an often adversarial relationship with users. Our focus on our users and customers creates a self-reinforcing flywheel. The seamless experience we deliver to users leads to high overall adoption. High user adoption leads to better visibility and control into spend, which helps save customers money and time. Customers experience the following key benefits:</w:t>
      </w:r>
    </w:p>
    <w:p>
      <w:pPr>
        <w:spacing w:after="0" w:line="122" w:lineRule="exact"/>
        <w:rPr>
          <w:sz w:val="20"/>
          <w:szCs w:val="20"/>
          <w:color w:val="auto"/>
        </w:rPr>
      </w:pPr>
    </w:p>
    <w:p>
      <w:pPr>
        <w:ind w:left="660" w:right="60" w:hanging="328"/>
        <w:spacing w:after="0" w:line="25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Unified platform experience. </w:t>
      </w:r>
      <w:r>
        <w:rPr>
          <w:rFonts w:ascii="Arial" w:cs="Arial" w:eastAsia="Arial" w:hAnsi="Arial"/>
          <w:sz w:val="18"/>
          <w:szCs w:val="18"/>
          <w:color w:val="auto"/>
        </w:rPr>
        <w:t>Our platform is built for speed, automation, and ease of use, offering customers a seamless onboarding</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and fast time-to-value. Our intuitive interface and dedicated customer success teams simplify adoption across companies, while automation powers everything from policy enforcement to expense reporting, reducing manual workflows and administrative burden. Customers have access to support on both desktop and mobile to enable platform utilization whenever needed. Additionally, flexible payment options through Navan Connect and our partnerships give customers the ability to choose their preferred mechanisms, lowering friction and promoting platform adoption across teams. These integrations make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229"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platform intuitive and delightful to both travelers and administrators alike to improve the T&amp;E experience.</w:t>
      </w:r>
    </w:p>
    <w:p>
      <w:pPr>
        <w:spacing w:after="0" w:line="171" w:lineRule="exact"/>
        <w:rPr>
          <w:sz w:val="20"/>
          <w:szCs w:val="20"/>
          <w:color w:val="auto"/>
        </w:rPr>
      </w:pPr>
    </w:p>
    <w:p>
      <w:pPr>
        <w:ind w:left="660" w:right="60" w:hanging="328"/>
        <w:spacing w:after="0" w:line="282" w:lineRule="auto"/>
        <w:tabs>
          <w:tab w:leader="none" w:pos="655"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Increased user adoption of our platform for all travel, payments, and expense management needs. </w:t>
      </w:r>
      <w:r>
        <w:rPr>
          <w:rFonts w:ascii="Arial" w:cs="Arial" w:eastAsia="Arial" w:hAnsi="Arial"/>
          <w:sz w:val="17"/>
          <w:szCs w:val="17"/>
          <w:color w:val="auto"/>
        </w:rPr>
        <w:t>We designed our platform to</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 the need for users to book off platform. By enabling customers to ramp faster and incentivizing users to increase spend on our platform, we create visibility and cost savings for customers. We also allow companies to maintain their duty of care for users by providing critical travel alerts or locating and assisting travelers during emergencies, such as natural disasters or geopolitical crises.</w:t>
      </w:r>
    </w:p>
    <w:p>
      <w:pPr>
        <w:spacing w:after="0" w:line="107" w:lineRule="exact"/>
        <w:rPr>
          <w:rFonts w:ascii="Arial" w:cs="Arial" w:eastAsia="Arial" w:hAnsi="Arial"/>
          <w:sz w:val="17"/>
          <w:szCs w:val="17"/>
          <w:color w:val="auto"/>
        </w:rPr>
      </w:pPr>
    </w:p>
    <w:p>
      <w:pPr>
        <w:ind w:left="660" w:right="20" w:hanging="328"/>
        <w:spacing w:after="0" w:line="259"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Real-time visibility into spend trends and ability to forecast costs. </w:t>
      </w:r>
      <w:r>
        <w:rPr>
          <w:rFonts w:ascii="Arial" w:cs="Arial" w:eastAsia="Arial" w:hAnsi="Arial"/>
          <w:sz w:val="18"/>
          <w:szCs w:val="18"/>
          <w:color w:val="auto"/>
        </w:rPr>
        <w:t>As users book more and more travel through our platform,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teams gain access to granular, real-time data that helps them make informed decisions about current and future spend. Our dashboards include company-specific benchmarks and trend analysis across trips and travelers, enabling visibility into total and per-user spend in real-time. These reporting capabilities support proactive budgeting, save company cost, improve forecasting accuracy, and streamline reporting workflows.</w:t>
      </w:r>
    </w:p>
    <w:p>
      <w:pPr>
        <w:spacing w:after="0" w:line="125"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Automated expense management. </w:t>
      </w:r>
      <w:r>
        <w:rPr>
          <w:rFonts w:ascii="Arial" w:cs="Arial" w:eastAsia="Arial" w:hAnsi="Arial"/>
          <w:sz w:val="18"/>
          <w:szCs w:val="18"/>
          <w:color w:val="auto"/>
        </w:rPr>
        <w:t>Navan automates the entire expense workflow, from booking to reconciliation, aiming to eliminate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need for employees to file a manual expense report. Virtual and physical cards are integrated directly into the platform, enabling real-time tracking, automated receipt matching, and policy enforcement at the point of spend. This helps to eliminate the need for employees to front personal money, chase down receipts, or fill out forms, while giving finance teams real-time visibility into spend, faster month-end close, and direct ERP integrations. Budgets are automatically routed to the correct owners, helping companies track their return on investment on T&amp;E relative to sales, projects, and departmental goals with a simplicity and precision that legacy systems could not deliver.</w:t>
      </w:r>
    </w:p>
    <w:p>
      <w:pPr>
        <w:spacing w:after="0" w:line="128"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Deepest range of content on the market. </w:t>
      </w:r>
      <w:r>
        <w:rPr>
          <w:rFonts w:ascii="Arial" w:cs="Arial" w:eastAsia="Arial" w:hAnsi="Arial"/>
          <w:sz w:val="18"/>
          <w:szCs w:val="18"/>
          <w:color w:val="auto"/>
        </w:rPr>
        <w:t>Navan has direct connections and integrations with over 600 airlines via GDSs, NDC, and</w:t>
      </w:r>
      <w:r>
        <w:rPr>
          <w:rFonts w:ascii="Arial" w:cs="Arial" w:eastAsia="Arial" w:hAnsi="Arial"/>
          <w:sz w:val="18"/>
          <w:szCs w:val="18"/>
          <w:i w:val="1"/>
          <w:iCs w:val="1"/>
          <w:color w:val="auto"/>
        </w:rPr>
        <w:t xml:space="preserve"> </w:t>
      </w:r>
      <w:r>
        <w:rPr>
          <w:rFonts w:ascii="Arial" w:cs="Arial" w:eastAsia="Arial" w:hAnsi="Arial"/>
          <w:sz w:val="18"/>
          <w:szCs w:val="18"/>
          <w:color w:val="auto"/>
        </w:rPr>
        <w:t>LCCs and over two million lodging properties. Navan Lodging Collection offers a broad range of content with premium commercial terms (through direct relationships with key properties and chains). We also offer certain private channel rates on air travel to users, highlighting key airline partners who work collaboratively in commercial partnership. These partnerships provide our customers with access to dynamic pricing and ultimately cost savings.</w:t>
      </w:r>
    </w:p>
    <w:p>
      <w:pPr>
        <w:spacing w:after="0" w:line="125" w:lineRule="exact"/>
        <w:rPr>
          <w:rFonts w:ascii="Arial" w:cs="Arial" w:eastAsia="Arial" w:hAnsi="Arial"/>
          <w:sz w:val="18"/>
          <w:szCs w:val="18"/>
          <w:color w:val="auto"/>
        </w:rPr>
      </w:pPr>
    </w:p>
    <w:p>
      <w:pPr>
        <w:ind w:left="660" w:hanging="328"/>
        <w:spacing w:after="0" w:line="254" w:lineRule="auto"/>
        <w:tabs>
          <w:tab w:leader="none" w:pos="628"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Cost savings and reduced administrative burden. </w:t>
      </w:r>
      <w:r>
        <w:rPr>
          <w:rFonts w:ascii="Arial" w:cs="Arial" w:eastAsia="Arial" w:hAnsi="Arial"/>
          <w:sz w:val="18"/>
          <w:szCs w:val="18"/>
          <w:color w:val="auto"/>
        </w:rPr>
        <w:t>Cost savings from automation and operational improvements significantly reduce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burden and enable customers to close their books faster. Cost optimization also comes from the rewards program and price to beat algorithm that incentivizes users to book lower rates. Our inventory also allows us to drive low rates through volume-based discounts with suppliers, our access to LCCs, and our direct connections with suppliers. Our direct partnerships with suppliers enable us to provide customers with timely delivery of new offers and real-time pricing, which are difficult to match. At the same time, our platform provides automated control and compliance with customer T&amp;E policies, allowing for dynamic adjustments based on changing conditions, segmentation of travelers into policy buckets, and optimization for cost savings while ensuring policy adherence. In fiscal 2025, customers using our platform realized median savings of approximately 15% on travel compared to their budgeted travel spend, with certain customers saving as much as 25%. We believe use of our platform helps our customers unlock greater value through time savings and reduced overhead, delivering a step change in total T&amp;E efficiency. Given how large expenditures typically are at companies, this represents significant potential cost savings.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Why Our Suppliers Benefit in Partnership with Navan</w:t>
      </w:r>
    </w:p>
    <w:p>
      <w:pPr>
        <w:spacing w:after="0" w:line="169"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color w:val="auto"/>
        </w:rPr>
        <w:t>Suppliers have often been overlooked as a key stakeholder in the travel ecosystem, as they cannot form relationships with key customers or effectively market their products and services.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320" w:top="229" w:right="3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creates opportunities for these integral stakeholders in the travel and payments ecosystem. Suppliers appreciate tech-forward solutions which simplify the current web of TMCs, OTAs, direct booking platforms, and consumer expectations and propel the industry forward. Our global platform provides the following key benefits to our key categories of supplier partners (such as inventory suppliers and GDSs):</w:t>
      </w:r>
    </w:p>
    <w:p>
      <w:pPr>
        <w:spacing w:after="0" w:line="117" w:lineRule="exact"/>
        <w:rPr>
          <w:sz w:val="20"/>
          <w:szCs w:val="20"/>
          <w:color w:val="auto"/>
        </w:rPr>
      </w:pPr>
    </w:p>
    <w:p>
      <w:pPr>
        <w:ind w:left="660" w:right="160" w:hanging="328"/>
        <w:spacing w:after="0" w:line="259"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Direct access to high-value travelers. </w:t>
      </w:r>
      <w:r>
        <w:rPr>
          <w:rFonts w:ascii="Arial" w:cs="Arial" w:eastAsia="Arial" w:hAnsi="Arial"/>
          <w:sz w:val="18"/>
          <w:szCs w:val="18"/>
          <w:color w:val="auto"/>
        </w:rPr>
        <w:t>We give suppliers access to a large and highly engaged user base of frequent travelers, who</w:t>
      </w:r>
      <w:r>
        <w:rPr>
          <w:rFonts w:ascii="Arial" w:cs="Arial" w:eastAsia="Arial" w:hAnsi="Arial"/>
          <w:sz w:val="18"/>
          <w:szCs w:val="18"/>
          <w:i w:val="1"/>
          <w:iCs w:val="1"/>
          <w:color w:val="auto"/>
        </w:rPr>
        <w:t xml:space="preserve"> </w:t>
      </w:r>
      <w:r>
        <w:rPr>
          <w:rFonts w:ascii="Arial" w:cs="Arial" w:eastAsia="Arial" w:hAnsi="Arial"/>
          <w:sz w:val="18"/>
          <w:szCs w:val="18"/>
          <w:color w:val="auto"/>
        </w:rPr>
        <w:t>can be more difficult to reach through traditional travel channels like TMCs and OBTs. Because we manage the full booking stack, suppliers gain not only greater volume but also visibility into previously opaque demand signals. This enables them to reach premium, high-margin customers in a consistent and repeatable way, helping to drive better yield and more strategic distribution compared to fragmented legacy platforms.</w:t>
      </w:r>
    </w:p>
    <w:p>
      <w:pPr>
        <w:spacing w:after="0" w:line="125"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Flexible retailing and brand control. </w:t>
      </w:r>
      <w:r>
        <w:rPr>
          <w:rFonts w:ascii="Arial" w:cs="Arial" w:eastAsia="Arial" w:hAnsi="Arial"/>
          <w:sz w:val="18"/>
          <w:szCs w:val="18"/>
          <w:color w:val="auto"/>
        </w:rPr>
        <w:t>Our ownership of both the front-end user interface and back-end technology stack gives</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a unique ability to retail their products exactly as they intend. Unlike traditional TMCs and OBTs that often fragment the traveler experience and slow down updates, we provide a single, integrated system where suppliers can showcase brand-forward content, control fare and ancillary pricing, and iterate on their merchandising strategy in real-time. This allows suppliers to differentiate their offerings, adjust to market dynamics, and align their retail goals with how their products are discovered and booked by end users, capabilities that are especially critical as the industry embraces modern retailing frameworks like NDC.</w:t>
      </w:r>
    </w:p>
    <w:p>
      <w:pPr>
        <w:spacing w:after="0" w:line="128" w:lineRule="exact"/>
        <w:rPr>
          <w:rFonts w:ascii="Arial" w:cs="Arial" w:eastAsia="Arial" w:hAnsi="Arial"/>
          <w:sz w:val="18"/>
          <w:szCs w:val="18"/>
          <w:color w:val="auto"/>
        </w:rPr>
      </w:pPr>
    </w:p>
    <w:p>
      <w:pPr>
        <w:ind w:left="660" w:right="40" w:hanging="328"/>
        <w:spacing w:after="0" w:line="25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Accelerated innovation through collaborative distribution. </w:t>
      </w:r>
      <w:r>
        <w:rPr>
          <w:rFonts w:ascii="Arial" w:cs="Arial" w:eastAsia="Arial" w:hAnsi="Arial"/>
          <w:sz w:val="18"/>
          <w:szCs w:val="18"/>
          <w:color w:val="auto"/>
        </w:rPr>
        <w:t>We work closely with suppliers to modernize how travel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supporting both near-term retail improvements and long-term transformation initiatives like NDC. Our NDC enables us to have swift access to updates to the travel distribution ecosystem and positions us as a partner to these suppliers. Our flexible architecture and deep integration capabilities allow suppliers to roll out new content formats, dynamic pricing models, loyalty logic, and upsell features faster than legacy platforms. By partnering with us, suppliers can test, launch, and evolve their offerings in a controlled and collaborative environment, unlocking speed-to-market and visibility that legacy intermediaries often cannot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80"/>
          </w:cols>
          <w:pgMar w:left="320" w:top="229" w:right="3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End-to-End AI-Driven Software Platform for Travel, Payments, and Expense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Most Advanced Travel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119380</wp:posOffset>
            </wp:positionV>
            <wp:extent cx="5349240" cy="2820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partnerships with over 600 airlines via GDS, NDC, and LCCs, two million individual lodging properties via leading OTAs, GDSs, and direct connections with 40 major train providers, over 40 rental car companies, and over 45 black car vendors. We connect with over 200 banks and multiple issuing partners. This wide array of integrations and partners powers our infrastructure. See the section titled “—Our Customers, Suppliers, and Payment Partners” for more information. Our proprietary infrastructure provides customers with dynamic access to pricing and travel availability, ensuring that users always have the most accurate information at their fingertips. Navan Cloud also simplifies expense management during and after a trip through streamlined reconciliation of travel bookings.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platform creates a powerful flywheel for all constituents</w:t>
      </w:r>
    </w:p>
    <w:p>
      <w:pPr>
        <w:spacing w:after="0" w:line="16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Navan platform creates a powerful flywheel effect where the user, customer, and supplier benefits reinforce each other. When frequent travelers have a positive, efficient experience and earn rewards, they are more likely to use Navan. This user satisfaction drives further adoption within their company. The increased adoption gives the customer (employer) greater visibility into spending, stronger policy control, and cost savings, making them more invested in the platform. This, in turn, attracts more suppliers who want access to our large and loyal user base. With more suppliers and inventory available, we can offer better options and competitive pricing, further enhancing the experience for frequent travelers. This virtuous cycle strengthens each flywheel, creating a robust and self-sustaining ecosystem.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Navan addresses a large, growing, and global TAM by providing an all-in-one software platform for customers of all sizes. Even in the face of macroeconomic uncertainty, our data suggests that companies continue to prioritize business travel. The Navan Business Travel Index, or Navan BTI, is our own proprietary indicator of the strength of the business travel economy, based on volume- and spend-based data derived from our platform. The Navan BTI indicates that business travel activity during the period from April 1, 2025 through June 30, 2025 grew at an annualized rate of 15% relative to the same period in 2024, while overall travel declined by 1% based on data from the U.S. Transportation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229"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Administration. Additionally, according to Euromonitor, 85% of surveyed businesses expect their company's travel costs to increase over the next five years. The data helps demonstrate what Navan has always believed at our core: while virtual meetings have their place, there is no replacement for face-to-face connections.</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TAM spans travel management, both managed and traditionally unmanaged, as well as expense management and payments. Legacy players in travel management estimated their market opportunity would be $1.5 trillion in total travel bookings and related spend across business and consumer travel categories in 2024. According to a Euromonitor report commissioned by us, Euromonitor estimates global business travel spend as $2.1 trillion for 2024. Euromonitor’s estimates include business travel and expense costs, gathered through business-to-business surveys, desk research, expert interviews, and the Euromonitor Passport Database. Our travel management solution spans a broader TAM than that of traditional business travel providers. Our TAM consists of managed and unmanaged, as well as meeting and events, VIP, and bleisure. We estimate the TAM for the services we offer today to be approximately $185 billion globally. To estimate our total TAM, we identified four categories of market opportunities: (1) managed and unmanaged business travel management, referred to as the managed and unmanaged categories, (2) bleisure, (3) expense management, and (4) payments.</w:t>
      </w:r>
    </w:p>
    <w:p>
      <w:pPr>
        <w:spacing w:after="0" w:line="127" w:lineRule="exact"/>
        <w:rPr>
          <w:sz w:val="20"/>
          <w:szCs w:val="20"/>
          <w:color w:val="auto"/>
        </w:rPr>
      </w:pPr>
    </w:p>
    <w:p>
      <w:pPr>
        <w:ind w:left="660" w:hanging="328"/>
        <w:spacing w:after="0" w:line="275" w:lineRule="auto"/>
        <w:tabs>
          <w:tab w:leader="none" w:pos="655"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Business Travel Management. </w:t>
      </w:r>
      <w:r>
        <w:rPr>
          <w:rFonts w:ascii="Arial" w:cs="Arial" w:eastAsia="Arial" w:hAnsi="Arial"/>
          <w:sz w:val="17"/>
          <w:szCs w:val="17"/>
          <w:color w:val="auto"/>
        </w:rPr>
        <w:t>We estimate our revenue opportunity in the business travel management category today to be</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$86 billion globally across both the managed and unmanaged categories, based on our own monetization of business travel. To arrive at our revenue opportunity, we used the commissioned Euromonitor survey finding a Global Business Travel serviceable addressable market, or SAM, of $1.2 trillion travel spend as of 2024, multiplied by our usage yield of approximately 7% for fiscal 2025. Usage yield represents our ability to convert GBV into usage-based revenue. Refer to “Management’s Discussion and Analysis of Financial Condition and Results of Operations–How Our Business Works” for more information regarding usage yield.</w:t>
      </w:r>
    </w:p>
    <w:p>
      <w:pPr>
        <w:spacing w:after="0" w:line="114" w:lineRule="exact"/>
        <w:rPr>
          <w:rFonts w:ascii="Arial" w:cs="Arial" w:eastAsia="Arial" w:hAnsi="Arial"/>
          <w:sz w:val="17"/>
          <w:szCs w:val="17"/>
          <w:color w:val="auto"/>
        </w:rPr>
      </w:pPr>
    </w:p>
    <w:p>
      <w:pPr>
        <w:ind w:left="980" w:right="60" w:hanging="324"/>
        <w:spacing w:after="0" w:line="262" w:lineRule="auto"/>
        <w:tabs>
          <w:tab w:leader="none" w:pos="976" w:val="left"/>
        </w:tabs>
        <w:numPr>
          <w:ilvl w:val="1"/>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Managed Opportunity. </w:t>
      </w:r>
      <w:r>
        <w:rPr>
          <w:rFonts w:ascii="Arial" w:cs="Arial" w:eastAsia="Arial" w:hAnsi="Arial"/>
          <w:sz w:val="18"/>
          <w:szCs w:val="18"/>
          <w:color w:val="auto"/>
        </w:rPr>
        <w:t>According to survey results, 35% of the business travel management revenue opportunity was managed</w:t>
      </w:r>
      <w:r>
        <w:rPr>
          <w:rFonts w:ascii="Arial" w:cs="Arial" w:eastAsia="Arial" w:hAnsi="Arial"/>
          <w:sz w:val="18"/>
          <w:szCs w:val="18"/>
          <w:i w:val="1"/>
          <w:iCs w:val="1"/>
          <w:color w:val="auto"/>
        </w:rPr>
        <w:t xml:space="preserve"> </w:t>
      </w:r>
      <w:r>
        <w:rPr>
          <w:rFonts w:ascii="Arial" w:cs="Arial" w:eastAsia="Arial" w:hAnsi="Arial"/>
          <w:sz w:val="18"/>
          <w:szCs w:val="18"/>
          <w:color w:val="auto"/>
        </w:rPr>
        <w:t>as of 2024, including both travel spend through the designated travel management system and off-platform spend that is booked outside of the designated system. Euromonitor estimates that for these companies, approximately 10% of travel is booked outside of managed systems, representing an opportunity to capture additional savings and better manage costs.</w:t>
      </w:r>
    </w:p>
    <w:p>
      <w:pPr>
        <w:spacing w:after="0" w:line="122" w:lineRule="exact"/>
        <w:rPr>
          <w:rFonts w:ascii="Arial" w:cs="Arial" w:eastAsia="Arial" w:hAnsi="Arial"/>
          <w:sz w:val="18"/>
          <w:szCs w:val="18"/>
          <w:color w:val="auto"/>
        </w:rPr>
      </w:pPr>
    </w:p>
    <w:p>
      <w:pPr>
        <w:ind w:left="980" w:right="220" w:hanging="324"/>
        <w:spacing w:after="0" w:line="254" w:lineRule="auto"/>
        <w:tabs>
          <w:tab w:leader="none" w:pos="976" w:val="left"/>
        </w:tabs>
        <w:numPr>
          <w:ilvl w:val="1"/>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Unmanaged Opportunity. </w:t>
      </w:r>
      <w:r>
        <w:rPr>
          <w:rFonts w:ascii="Arial" w:cs="Arial" w:eastAsia="Arial" w:hAnsi="Arial"/>
          <w:sz w:val="18"/>
          <w:szCs w:val="18"/>
          <w:color w:val="auto"/>
        </w:rPr>
        <w:t>According to survey results, 65% of the business travel management revenue opportunity was</w:t>
      </w:r>
      <w:r>
        <w:rPr>
          <w:rFonts w:ascii="Arial" w:cs="Arial" w:eastAsia="Arial" w:hAnsi="Arial"/>
          <w:sz w:val="18"/>
          <w:szCs w:val="18"/>
          <w:i w:val="1"/>
          <w:iCs w:val="1"/>
          <w:color w:val="auto"/>
        </w:rPr>
        <w:t xml:space="preserve"> </w:t>
      </w:r>
      <w:r>
        <w:rPr>
          <w:rFonts w:ascii="Arial" w:cs="Arial" w:eastAsia="Arial" w:hAnsi="Arial"/>
          <w:sz w:val="18"/>
          <w:szCs w:val="18"/>
          <w:color w:val="auto"/>
        </w:rPr>
        <w:t>unmanaged as of 2024. The unmanaged category includes travel spend with no formal system in place to capture and monitor spend. In particular, small and medium-sized businesses, or SMBs, many of which are unmanaged, represent an attractive opportunity for us. According to Euromonitor, this segment is estimated to grow at a 7.1% annualized rate between 2024 and 2029, the fastest of any segment of the business travel market. SMBs also report one of the highest average frequencies of travel per employee. The significant portion of our TAM that is unmanaged and the anticipated increase in SMB travel budgets represent a significant greenfield opportunity for us. Historically, we have been successful in pulling traditionally unmanaged businesses into our platform, and we believe that we are positioned to continue unlocking the unmanaged portion of spend through our sales motion. These customers are driven to our platform by the streamlined experience we provide their travelers and the ease of implementation in their company. We will continue offering more self-service capabilities for unmanaged businesses to deploy our platform quickly and realize greater insights, control, and cost savings.</w:t>
      </w:r>
    </w:p>
    <w:p>
      <w:pPr>
        <w:spacing w:after="0" w:line="128" w:lineRule="exact"/>
        <w:rPr>
          <w:rFonts w:ascii="Arial" w:cs="Arial" w:eastAsia="Arial" w:hAnsi="Arial"/>
          <w:sz w:val="18"/>
          <w:szCs w:val="18"/>
          <w:color w:val="auto"/>
        </w:rPr>
      </w:pPr>
    </w:p>
    <w:p>
      <w:pPr>
        <w:ind w:left="660" w:right="920" w:hanging="328"/>
        <w:spacing w:after="0" w:line="268"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Bleisure. </w:t>
      </w:r>
      <w:r>
        <w:rPr>
          <w:rFonts w:ascii="Arial" w:cs="Arial" w:eastAsia="Arial" w:hAnsi="Arial"/>
          <w:sz w:val="18"/>
          <w:szCs w:val="18"/>
          <w:color w:val="auto"/>
        </w:rPr>
        <w:t>We estimate our revenue opportunity in the bleisure category today to be approximately $24 billion. According to</w:t>
      </w:r>
      <w:r>
        <w:rPr>
          <w:rFonts w:ascii="Arial" w:cs="Arial" w:eastAsia="Arial" w:hAnsi="Arial"/>
          <w:sz w:val="18"/>
          <w:szCs w:val="18"/>
          <w:i w:val="1"/>
          <w:iCs w:val="1"/>
          <w:color w:val="auto"/>
        </w:rPr>
        <w:t xml:space="preserve"> </w:t>
      </w:r>
      <w:r>
        <w:rPr>
          <w:rFonts w:ascii="Arial" w:cs="Arial" w:eastAsia="Arial" w:hAnsi="Arial"/>
          <w:sz w:val="18"/>
          <w:szCs w:val="18"/>
          <w:color w:val="auto"/>
        </w:rPr>
        <w:t>Euromonitor, the bleisure SAM was estimated to be $324 billion as of 2024, which, when multiplied by our usage yield of approximately 7% for fiscal 2025, results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229"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80"/>
        <w:spacing w:after="0" w:line="268" w:lineRule="auto"/>
        <w:rPr>
          <w:sz w:val="20"/>
          <w:szCs w:val="20"/>
          <w:color w:val="auto"/>
        </w:rPr>
      </w:pPr>
      <w:r>
        <w:rPr>
          <w:rFonts w:ascii="Arial" w:cs="Arial" w:eastAsia="Arial" w:hAnsi="Arial"/>
          <w:sz w:val="18"/>
          <w:szCs w:val="18"/>
          <w:color w:val="auto"/>
        </w:rPr>
        <w:t>revenue opportunity of $24 billion. Euromonitor projects this category will exhibit rapid growth globally and particularly in the United States, where bleisure travel spend is forecasted to grow approximately 86% between 2024 and 2029. We currently penetrate a small portion of this category.</w:t>
      </w:r>
    </w:p>
    <w:p>
      <w:pPr>
        <w:spacing w:after="0" w:line="117" w:lineRule="exact"/>
        <w:rPr>
          <w:sz w:val="20"/>
          <w:szCs w:val="20"/>
          <w:color w:val="auto"/>
        </w:rPr>
      </w:pPr>
    </w:p>
    <w:p>
      <w:pPr>
        <w:ind w:left="660" w:hanging="328"/>
        <w:spacing w:after="0" w:line="262"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We estimate the revenue opportunity in the expense management category today to be approximately $39</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globally. Our Expense Management offering is a software-driven expense and payments management system, and we calculate the $39 billion global addressable market by multiplying the total number of small-and-medium-sized businesses, according to FactSet data, by our internal estimate of average revenue per customer.</w:t>
      </w:r>
    </w:p>
    <w:p>
      <w:pPr>
        <w:spacing w:after="0" w:line="122"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Payments. </w:t>
      </w:r>
      <w:r>
        <w:rPr>
          <w:rFonts w:ascii="Arial" w:cs="Arial" w:eastAsia="Arial" w:hAnsi="Arial"/>
          <w:sz w:val="18"/>
          <w:szCs w:val="18"/>
          <w:color w:val="auto"/>
        </w:rPr>
        <w:t>We estimate the revenue opportunity in the payments category based on total spending to be approximately $37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2025 globally. According to Euromonitor, commercial charge and credit card spend is estimated to be $3.1 trillion by the end of 2025. To calculate our addressable market in the payments category, we multiplied the total spend by our internal estimate of net interchange. We believe we have significant room to grow our relationship with partners and expand in the corporate card market opportunity.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elements of our growth strategy include the following:</w:t>
      </w:r>
    </w:p>
    <w:p>
      <w:pPr>
        <w:spacing w:after="0" w:line="1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Add new customers to the Navan platform: </w:t>
      </w:r>
      <w:r>
        <w:rPr>
          <w:rFonts w:ascii="Arial" w:cs="Arial" w:eastAsia="Arial" w:hAnsi="Arial"/>
          <w:sz w:val="18"/>
          <w:szCs w:val="18"/>
          <w:color w:val="auto"/>
        </w:rPr>
        <w:t>We believe the market for our solutions is large. Our platform is intuitive to use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scalable for customers of all sizes across industries and geographies. We believe that customers with travel and expense systems today (managed customers) are underserved by existing vendors and frustrated by the fragmented experience that they face via these solutions. In addition to this managed category of the market, we believe there is sizable greenfield opportunity in helping manage travel and expense spend across customers who do not have a travel and expense platform today. According to Euromonitor survey results, spend across this unmanaged category represents approximately 65% of global business travel spend overall. These companies use spreadsheets or other non-purpose-built solutions and are reluctant to adopt traditional travel management solutions given the high costs and relative complexity associated with legacy systems. We believe our end-to-end, intuitive, and easy to implement solution is well positioned to meet the needs of both the managed and unmanaged categories, and we pursue new customers across these categories via two primary strategies today:</w:t>
      </w:r>
    </w:p>
    <w:p>
      <w:pPr>
        <w:spacing w:after="0" w:line="127" w:lineRule="exact"/>
        <w:rPr>
          <w:sz w:val="20"/>
          <w:szCs w:val="20"/>
          <w:color w:val="auto"/>
        </w:rPr>
      </w:pPr>
    </w:p>
    <w:p>
      <w:pPr>
        <w:ind w:left="660" w:hanging="328"/>
        <w:spacing w:after="0" w:line="269" w:lineRule="auto"/>
        <w:tabs>
          <w:tab w:leader="none" w:pos="655"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Sales-Led Growth: </w:t>
      </w:r>
      <w:r>
        <w:rPr>
          <w:rFonts w:ascii="Arial" w:cs="Arial" w:eastAsia="Arial" w:hAnsi="Arial"/>
          <w:sz w:val="17"/>
          <w:szCs w:val="17"/>
          <w:color w:val="auto"/>
        </w:rPr>
        <w:t>We have historically focused our customer acquisition strategy on mid-size and larger corporate customers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direct sales-led motion via our dedicated sales team. These customers often have a travel and expense vendor or solution today, but are oftentimes frustrated by the fragmented nature of the solutions and complexity of their existing travel and expense management workflow. Alternatively, some of these customers may not have existing travel and expense solutions. In engaging with these customers, we focus our efforts on highlighting the potential for quantifiable cost savings and operating efficiencies, as well as increased travel and expense policy adherence via the adoption of our platform, while also highlighting the potential for improved productivity and engagement. We have seen significant success in deploying this approach thanks to the deeply integrated, end-to-end nature of our offering and its ease of implementation. Our platform allows customers to consolidate multiple fragmented systems into a single solution that streamlines travel and expense management across their business. Additionally, our platform integrates seamlessly with existing enterprise infrastructure, including SSO, HRIS, and ERP systems, enabling faster customer onboarding and minimizing business disruption and cost during rollout for our customers. As we have continued to engage with and embed ourselves with our customers, we have seen increasing engagement at the CFO and CXO (chief experience officer) levels across customers as a part of their ongoing business transformation efforts, with these executives often viewing our solution as a key lever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229"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80"/>
        <w:spacing w:after="0" w:line="287" w:lineRule="auto"/>
        <w:rPr>
          <w:sz w:val="20"/>
          <w:szCs w:val="20"/>
          <w:color w:val="auto"/>
        </w:rPr>
      </w:pPr>
      <w:r>
        <w:rPr>
          <w:rFonts w:ascii="Arial" w:cs="Arial" w:eastAsia="Arial" w:hAnsi="Arial"/>
          <w:sz w:val="18"/>
          <w:szCs w:val="18"/>
          <w:color w:val="auto"/>
        </w:rPr>
        <w:t>driving continued efficiency and cost savings, as well as supporting their growth through seamlessly helping them manage the travel and expense demands of their users.</w:t>
      </w:r>
    </w:p>
    <w:p>
      <w:pPr>
        <w:spacing w:after="0" w:line="99" w:lineRule="exact"/>
        <w:rPr>
          <w:sz w:val="20"/>
          <w:szCs w:val="20"/>
          <w:color w:val="auto"/>
        </w:rPr>
      </w:pPr>
    </w:p>
    <w:p>
      <w:pPr>
        <w:ind w:left="660" w:hanging="328"/>
        <w:spacing w:after="0" w:line="269" w:lineRule="auto"/>
        <w:tabs>
          <w:tab w:leader="none" w:pos="655"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Product-Led Growth: </w:t>
      </w:r>
      <w:r>
        <w:rPr>
          <w:rFonts w:ascii="Arial" w:cs="Arial" w:eastAsia="Arial" w:hAnsi="Arial"/>
          <w:sz w:val="17"/>
          <w:szCs w:val="17"/>
          <w:color w:val="auto"/>
        </w:rPr>
        <w:t>More recently, we have begun to deploy a product-led and sales-assisted motion to acquire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who have traditionally been unmanaged, meaning they have no travel and expense vendor or solution. According to survey results, 65% of the overall business travel management revenue opportunity is unmanaged, which provides us with a significant greenfield opportunity. Many of these businesses are smaller companies that are generally not serviced by traditional T&amp;E providers. These customers often have limited bandwidth across their existing teams to integrate legacy solutions which they often find to be expensive, difficult to integrate, and cumbersome to use, leading many to question the value proposition of these legacy solutions, and to choose to manually deal with the challenges of travel spend via tools such as excel spreadsheets. These customers often find Navan through word-of-mouth, or through our growth marketing efforts and are attracted to the streamlined experience we provide to travelers and the tangible cost savings potential provided by our platform. Notably, we attract these customers due to our platform’s distinct technology and scale advantage, relative to many other providers (especially certain legacy providers). To onboard these customers, we provide streamlined self-service implementation tools, which provide flexibility for these customers to engage with and roll-out our offerings at their own pace. We also offer ongoing customer support as these customers both increase adoption of our platform and scale their own operations to support further engagement across all of our offerings. While still an emerging growth motion for us, we plan on continuing to invest in our capabilities to engage with and onboard these unmanaged customers given the scale of the overall market opportunity, particularly as our platform scales and recognition for our brand continues to grow.</w:t>
      </w:r>
    </w:p>
    <w:p>
      <w:pPr>
        <w:spacing w:after="0" w:line="116"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b w:val="1"/>
          <w:bCs w:val="1"/>
          <w:i w:val="1"/>
          <w:iCs w:val="1"/>
          <w:color w:val="auto"/>
        </w:rPr>
        <w:t xml:space="preserve">Drive higher penetration and adoption across our existing customers. </w:t>
      </w:r>
      <w:r>
        <w:rPr>
          <w:rFonts w:ascii="Arial" w:cs="Arial" w:eastAsia="Arial" w:hAnsi="Arial"/>
          <w:sz w:val="18"/>
          <w:szCs w:val="18"/>
          <w:color w:val="auto"/>
        </w:rPr>
        <w:t>We are focused on continuing to expand our wallet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existing customer relationships by:</w:t>
      </w:r>
    </w:p>
    <w:p>
      <w:pPr>
        <w:spacing w:after="0" w:line="99" w:lineRule="exact"/>
        <w:rPr>
          <w:sz w:val="20"/>
          <w:szCs w:val="20"/>
          <w:color w:val="auto"/>
        </w:rPr>
      </w:pPr>
    </w:p>
    <w:p>
      <w:pPr>
        <w:ind w:left="660" w:right="220" w:hanging="328"/>
        <w:spacing w:after="0" w:line="254"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Driving cross-sell: </w:t>
      </w:r>
      <w:r>
        <w:rPr>
          <w:rFonts w:ascii="Arial" w:cs="Arial" w:eastAsia="Arial" w:hAnsi="Arial"/>
          <w:sz w:val="18"/>
          <w:szCs w:val="18"/>
          <w:color w:val="auto"/>
        </w:rPr>
        <w:t>We typically land our customers with our Travel offering. As their engagement with our platform grows, our</w:t>
      </w:r>
      <w:r>
        <w:rPr>
          <w:rFonts w:ascii="Arial" w:cs="Arial" w:eastAsia="Arial" w:hAnsi="Arial"/>
          <w:sz w:val="18"/>
          <w:szCs w:val="18"/>
          <w:i w:val="1"/>
          <w:iCs w:val="1"/>
          <w:color w:val="auto"/>
        </w:rPr>
        <w:t xml:space="preserve"> </w:t>
      </w:r>
      <w:r>
        <w:rPr>
          <w:rFonts w:ascii="Arial" w:cs="Arial" w:eastAsia="Arial" w:hAnsi="Arial"/>
          <w:sz w:val="18"/>
          <w:szCs w:val="18"/>
          <w:color w:val="auto"/>
        </w:rPr>
        <w:t>dedicated customer success teams focus on helping educate customers on the full breadth of our offerings to help them maximize efficiency and value across their travel and expense management workflows. This often includes helping customers integrate additional offerings across our platform such as Corporate Payments, Expense Management, and VIP, based on the customer’s evolving needs, especially as the customer continues to grow and scale their own business and employee base. Our Bleisure capability expands this potential by enabling employees to seamlessly add personal travel to business trips, further deepening adoption and increasing engagement. This cross-sell motion remains a significant whitespace opportunity for us to grow within our customer base. For example, as of , 2025, % of customers attached to three or more offerings. The incremental cross-selling opportunities above and beyond our base Travel offering provide a substantial opportunity for growth, as the holistic use of our platform provides compelling incremental value to our customers over each individual offering.</w:t>
      </w:r>
    </w:p>
    <w:p>
      <w:pPr>
        <w:spacing w:after="0" w:line="131"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Increasing platform adoption: </w:t>
      </w:r>
      <w:r>
        <w:rPr>
          <w:rFonts w:ascii="Arial" w:cs="Arial" w:eastAsia="Arial" w:hAnsi="Arial"/>
          <w:sz w:val="18"/>
          <w:szCs w:val="18"/>
          <w:color w:val="auto"/>
        </w:rPr>
        <w:t>In addition to benefiting from continued underlying growth in business travel spend, we also see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opportunity for growth alongside our customers as they scale their underlying business and increase their investment in travel and expense to support their growth. For example, as our customers grow their employee base and resulting travel and expense budgets, we typically see increased utilization across our platform, which in turn allows us to facilitate more travel bookings, meetings, and events across each of our customers, increasing spend captured across our platform. In addition to capturing growth via new travelers onboarded by our customers, we also see opportunities to increase platform adoption across the existing user base for our customers. For example, there are cohorts of users that are at times resistant to using a new travel and expense platform at the onset; this is no different across our customer base. Our customer success teams partner with our customers to identify these travelers, isolate drivers that are leading to a lack of adoption and utilization,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229" w:right="3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20"/>
        <w:spacing w:after="0" w:line="287" w:lineRule="auto"/>
        <w:rPr>
          <w:sz w:val="20"/>
          <w:szCs w:val="20"/>
          <w:color w:val="auto"/>
        </w:rPr>
      </w:pPr>
      <w:r>
        <w:rPr>
          <w:rFonts w:ascii="Arial" w:cs="Arial" w:eastAsia="Arial" w:hAnsi="Arial"/>
          <w:sz w:val="18"/>
          <w:szCs w:val="18"/>
          <w:color w:val="auto"/>
        </w:rPr>
        <w:t>ultimately support engagement of these travelers via education to drive adoption and increased utilization, further increasing travel and expense spend managed across our platform.</w:t>
      </w:r>
    </w:p>
    <w:p>
      <w:pPr>
        <w:spacing w:after="0" w:line="9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b w:val="1"/>
          <w:bCs w:val="1"/>
          <w:i w:val="1"/>
          <w:iCs w:val="1"/>
          <w:color w:val="auto"/>
        </w:rPr>
        <w:t xml:space="preserve">Continue to invest in our platform and offerings. </w:t>
      </w:r>
      <w:r>
        <w:rPr>
          <w:rFonts w:ascii="Arial" w:cs="Arial" w:eastAsia="Arial" w:hAnsi="Arial"/>
          <w:sz w:val="18"/>
          <w:szCs w:val="18"/>
          <w:color w:val="auto"/>
        </w:rPr>
        <w:t>We have a strong history of technology innovation, and we believe there is ample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for growth as we continue to invest in the development of our platform capabilities to serve current and future travelers and customers. Cumulatively in fiscal 2025 and fiscal 2024, we invested approximately $255 million in R&amp;D, with a focus on expanding our offerings, introducing new features and hiring top technical talent to continue to evolve our platform. Across our platform, we see a particularly strong opportunity to continue to scale our capabilities through the continued deployment of advanced technologies to streamline the overall booking experience for travelers and drive costs down for our customers, as well as evolve our customer-facing UI to further simplify and personalize their booking and support experience. Our vision has always been to use the best technology available to create amazing experiences for our users. Our initial technology investments focused on the deployment of ML algorithms to power highly-personalized recommendations for travelers on our platform. This allows us to offer a highly curated inventory of travel options within seconds vs. the hours previously spent by travelers researching the perfect hotel and flight options, creating significant efficiencies and cost savings for travelers. This foundational ML framework has proven to be successful. For instance, our dynamic policy engine adapts corporate spend guidelines based on market trends and travel patterns, resulting in 80% of travelers in fiscal 2025 accepting our platform’s first recommended option. In addition to our ML investments, we have invested heavily in deploying generative AI capabilities to complement our ML-based capabilities, leading to our development of Navan Cognition. Navan Cognition is our innovative AI framework that combines the precision and predictive power of ML with the reasoning capabilities of LLMs, representing a new paradigm in AI-powered travel management. On our platform, Navan Cognition enables us to create, train, deploy, and supervise specialized virtual agents that can handle complex tasks previously requiring human intervention. Our virtual agents now masterfully manage everything from booking modifications to expense tracking, communicating naturally with users while maintaining strict operational safeguards. For instance, our virtual agents can proactively contact hotels to verify payment arrangements before a traveler's arrival, ensuring a smooth check-in experience. Looking ahead, we expect to continue to invest in Navan Cognition in order to further enable us, and potentially to enable outside organizations, to create and oversee AI-powered virtual agents with enterprise-grade reliability. We also expect to continue to invest in future product interface enhancements such as Navan Go, which is powered by Navan Cognition and designed to redefine how travelers book, modify, and manage trips on the go via their mobile devices. Navan Go capabilities range from personalized search responses to taking specific actions, such as automatically requesting a late check-in at a hotel in response to a delayed flight.</w:t>
      </w:r>
    </w:p>
    <w:p>
      <w:pPr>
        <w:spacing w:after="0" w:line="130" w:lineRule="exact"/>
        <w:rPr>
          <w:sz w:val="20"/>
          <w:szCs w:val="20"/>
          <w:color w:val="auto"/>
        </w:rPr>
      </w:pPr>
    </w:p>
    <w:p>
      <w:pPr>
        <w:ind w:right="320" w:firstLine="324"/>
        <w:spacing w:after="0" w:line="276" w:lineRule="auto"/>
        <w:rPr>
          <w:sz w:val="20"/>
          <w:szCs w:val="20"/>
          <w:color w:val="auto"/>
        </w:rPr>
      </w:pPr>
      <w:r>
        <w:rPr>
          <w:rFonts w:ascii="Arial" w:cs="Arial" w:eastAsia="Arial" w:hAnsi="Arial"/>
          <w:sz w:val="17"/>
          <w:szCs w:val="17"/>
          <w:color w:val="auto"/>
        </w:rPr>
        <w:t>Navan Cognition has also been core to helping improve the service offering of our platform without adding cost to our customers and enabling us to further optimize margins. For example, our AI-powered virtual agent chatbot, Ava, was capable of effectively handling % of</w:t>
      </w:r>
    </w:p>
    <w:p>
      <w:pPr>
        <w:ind w:right="60"/>
        <w:spacing w:after="0" w:line="254" w:lineRule="auto"/>
        <w:rPr>
          <w:sz w:val="20"/>
          <w:szCs w:val="20"/>
          <w:color w:val="auto"/>
        </w:rPr>
      </w:pPr>
      <w:r>
        <w:rPr>
          <w:rFonts w:ascii="Arial" w:cs="Arial" w:eastAsia="Arial" w:hAnsi="Arial"/>
          <w:sz w:val="18"/>
          <w:szCs w:val="18"/>
          <w:color w:val="auto"/>
        </w:rPr>
        <w:t>customer interactions while maintaining an impressive CSAT score for our overall platform and for our virtual agent as of , 2025. Looking ahead, we expect to continue to invest in and expand both our ML and Navan Cognition capabilities. We view our AI-enabled capabilities as core to our platform and expect the continued advancement of these capabilities to enable us to continuously improve user experiences, further streamline workflows and unlock new use cases, which should in turn continue to expand the value we are able to deliver to customers as we move forward.</w:t>
      </w:r>
    </w:p>
    <w:p>
      <w:pPr>
        <w:spacing w:after="0" w:line="12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addition to making investments to grow our platform organically, we have selectively pursued inorganic growth opportunities from time to time. Our history of acquisitions for both platform expansion and the development of greater geographic expertise has demonstrated our ability to grow effectively. For example, we acquired R&amp;M, a high-end travel and meeting and events business with global clientele and market reach, in April 2021, allowing us to expand our global reach, as well as expanding our capabilities around high-end, high-touch business travel, as well as meetings and events. The internalization of these capabilities ultimately set the foundation for expanding our VIP and Meeting and Events offerings across our customer base. In addition to making acquisitions to enhance our offerings, we’ve also selectively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229" w:right="3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acquired international-facing travel and expense management solutions to broaden the markets we serve, including, but not limited to, Comtravo (February 2022), a modern travel solution in Germany, Austria, and Switzerland, Resia (February 2022), a leading travel agency covering Northern Europe, Tripeur (April 2023), a leading travel and expense management company serving India, and Regent (June 2024), a business travel and events business in Italy.</w:t>
      </w:r>
    </w:p>
    <w:p>
      <w:pPr>
        <w:spacing w:after="0" w:line="122"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Should the opportunity for future inorganic growth present itself for developing future capabilities, supplier relationships, geographic expertise, or other means of serving our travelers and customers, we may consider pursuing them.</w:t>
      </w:r>
    </w:p>
    <w:p>
      <w:pPr>
        <w:spacing w:after="0" w:line="9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b w:val="1"/>
          <w:bCs w:val="1"/>
          <w:i w:val="1"/>
          <w:iCs w:val="1"/>
          <w:color w:val="auto"/>
        </w:rPr>
        <w:t xml:space="preserve">Grow our international presence. </w:t>
      </w:r>
      <w:r>
        <w:rPr>
          <w:rFonts w:ascii="Arial" w:cs="Arial" w:eastAsia="Arial" w:hAnsi="Arial"/>
          <w:sz w:val="18"/>
          <w:szCs w:val="18"/>
          <w:color w:val="auto"/>
        </w:rPr>
        <w:t>We continue to broaden the scope and extent of our offerings outside of the United States.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inherently international nature of travel has meant that we invested in building out a global infrastructure for our platform from the very beginning. These early investments in integrating travel suppliers from across the globe, as well as the development of localized partner relationships, has allowed us to offer a truly global inventory of travel offerings, as well as supplement our platform with regional knowledge, personalized support, and multi-currency payment services. These integrated capabilities across the travel and expense spectrum have allowed us to offer a global solution with unified visibility and control for our customers across various countries and geographies, allowing us to materially increase our presence across non-U.S.-based customers. For fiscal 2025, revenue generated from customers and suppliers outside of the United States represented 41% of our revenue, underscoring the success we have had to date in growing across international markets and the sizable opportunity that remains across those markets for us to increase our presence. We have been active in pursuing both organic and inorganic actions to expand the geographic reach of our platform and improve cross-selling capabilities of our offerings to international customers, with plans to continue to invest in these areas to drive continued growth across these international markets.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Offerings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offer a comprehensive, all-in-one, AI-powered travel, payments, and expense management solution designed to streamline the entire travel lifecycle, from booking and policy enforcement to payment processing, expense reconciliation, and reporting. Our platform unifies our Travel, Corporate Payments, Expense Management, Meetings and Events, VIP, and Bleisure offerings into a single, intuitive application accessible via both desktop and a mobile device. By replacing fragmented, legacy point solutions with a modern, technology-driven system, we enable companies to drive greater efficiency, improve compliance, and deliver a superior experience for users and customers alike.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320" w:top="229"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Our integrated, end-to-end platform is designed to support the full spectrum of travel, payments, and expense management needs through a unified product suite that simplifies every step of the travel, payments, and expense management journey. Our principal offerings today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85725</wp:posOffset>
            </wp:positionV>
            <wp:extent cx="5126355" cy="2717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26355"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328"/>
        <w:spacing w:after="0" w:line="259"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Travel: </w:t>
      </w:r>
      <w:r>
        <w:rPr>
          <w:rFonts w:ascii="Arial" w:cs="Arial" w:eastAsia="Arial" w:hAnsi="Arial"/>
          <w:sz w:val="18"/>
          <w:szCs w:val="18"/>
          <w:color w:val="auto"/>
        </w:rPr>
        <w:t>Our flagship online booking application that enables travelers to book flights, hotels, trains, and rental cars through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interface that aligns with company policy and preferences, driving adoption across both managed and unmanaged travel. The system provides real-time monitoring of trips, including flight status updates, gate changes, and potential delays, ensuring travelers stay informed. Furthermore, the tool allows for easy editing of existing reservations, such as modifying dates, times, or accommodations, offering flexibility and control over travel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91440</wp:posOffset>
            </wp:positionV>
            <wp:extent cx="5040630" cy="2657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40630" cy="2657475"/>
                    </a:xfrm>
                    <a:prstGeom prst="rect">
                      <a:avLst/>
                    </a:prstGeom>
                    <a:noFill/>
                  </pic:spPr>
                </pic:pic>
              </a:graphicData>
            </a:graphic>
          </wp:anchor>
        </w:drawing>
      </w:r>
    </w:p>
    <w:p>
      <w:pPr>
        <w:sectPr>
          <w:pgSz w:w="11900" w:h="16838" w:orient="portrait"/>
          <w:cols w:equalWidth="0" w:num="1">
            <w:col w:w="11060"/>
          </w:cols>
          <w:pgMar w:left="320" w:top="22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060"/>
          </w:cols>
          <w:pgMar w:left="320" w:top="229" w:right="51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5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Corporate Payments: </w:t>
      </w:r>
      <w:r>
        <w:rPr>
          <w:rFonts w:ascii="Arial" w:cs="Arial" w:eastAsia="Arial" w:hAnsi="Arial"/>
          <w:sz w:val="18"/>
          <w:szCs w:val="18"/>
          <w:color w:val="auto"/>
        </w:rPr>
        <w:t>Our virtual and physical Navan corporate card offering simplifies payments for business needs.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instantly approved, flagged, or declined at the point of purchase. Automated submission and reconciliation of authorized spending aims to eliminate the need for manual expense reports. Spending policies are integrated into the cards and enforced during transactions, aiming to automate the entire expense management cycle from the initial purchase to reconciliation. These virtual and physical cards can be used for various business expenses, including travel, routine expenditures, spot purchases, and software subscriptions, freeing customers from paperwork and saving finance teams significant time during month-end reconciliation.</w:t>
      </w:r>
    </w:p>
    <w:p>
      <w:pPr>
        <w:spacing w:after="0" w:line="128"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Our expense application that automates and centralizes the control, management, and tracking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It monitors travel and entertainment expenses and automates reporting and analytics. The software eliminates the inefficiencies and frustrations associated with traditional expense reports, offering interactive dashboards for real-time transaction visibility and improved decision-making. Our Expense Management offering can either be coupled with our Corporate Payments offering or can be used on a standalone basis with Navan Connect, our open API framework, through which companies can integrate their own third-party corporate card programs into the Expense Management application. Third-party cards connected via Navan Connect can still benefit from nearly all of the capabilities offered within our Corporate Payments offering (such as instant application of customer expense policy and automated expense submission and reconciliation), without requiring our customers to transition their legacy corporate card relationship to the Navan Corporate Payments platform. This flexibility allows our Expense Management application to serve as the central point for viewing, managing, analyzing, and controlling all expense related data across the customer and their travelers, irrespective of the corporate card being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93345</wp:posOffset>
            </wp:positionV>
            <wp:extent cx="4808855" cy="29832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0885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right="80" w:hanging="328"/>
        <w:spacing w:after="0" w:line="262"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Meetings and Events: </w:t>
      </w:r>
      <w:r>
        <w:rPr>
          <w:rFonts w:ascii="Arial" w:cs="Arial" w:eastAsia="Arial" w:hAnsi="Arial"/>
          <w:sz w:val="18"/>
          <w:szCs w:val="18"/>
          <w:color w:val="auto"/>
        </w:rPr>
        <w:t>Facilitates group event planning for employee gatherings through our platform, without our customers having</w:t>
      </w:r>
      <w:r>
        <w:rPr>
          <w:rFonts w:ascii="Arial" w:cs="Arial" w:eastAsia="Arial" w:hAnsi="Arial"/>
          <w:sz w:val="18"/>
          <w:szCs w:val="18"/>
          <w:i w:val="1"/>
          <w:iCs w:val="1"/>
          <w:color w:val="auto"/>
        </w:rPr>
        <w:t xml:space="preserve"> </w:t>
      </w:r>
      <w:r>
        <w:rPr>
          <w:rFonts w:ascii="Arial" w:cs="Arial" w:eastAsia="Arial" w:hAnsi="Arial"/>
          <w:sz w:val="18"/>
          <w:szCs w:val="18"/>
          <w:color w:val="auto"/>
        </w:rPr>
        <w:t>to deal with the complexity of having a costly in-house Meetings and Events team. This offering provides both a self-service option, as well as the ability to leverage our team of dedicated and experienced agents to lead researching, planning, and booking travel for meetings and events. This dedicated team aids the customer in cost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229" w:right="3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through network partners and expert consulting, and manages logistics for event experiences. Once the logistics and details of the event have been finalized, the user is able to share a singular invite with colleagues, through which they can book their own travel, lodging, and related travel needs, based on the pre-arranged details of the event (including recommended hotels and a full schedule of events). Our Meeting and Events application ultimately allows our customers to track the status of both bookings and spend across planned group events and meetings via a centralized platform, allowing our customers to better ensure policy adherence, control costs, and manage general logistics between the planning and event execution phases.</w:t>
      </w:r>
    </w:p>
    <w:p>
      <w:pPr>
        <w:spacing w:after="0" w:line="128" w:lineRule="exact"/>
        <w:rPr>
          <w:sz w:val="20"/>
          <w:szCs w:val="20"/>
          <w:color w:val="auto"/>
        </w:rPr>
      </w:pPr>
    </w:p>
    <w:p>
      <w:pPr>
        <w:ind w:left="660" w:hanging="328"/>
        <w:spacing w:after="0" w:line="259"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VIP: </w:t>
      </w:r>
      <w:r>
        <w:rPr>
          <w:rFonts w:ascii="Arial" w:cs="Arial" w:eastAsia="Arial" w:hAnsi="Arial"/>
          <w:sz w:val="18"/>
          <w:szCs w:val="18"/>
          <w:color w:val="auto"/>
        </w:rPr>
        <w:t>Offers premium, white-glove support for executive travelers and high-priority itineraries through Navan Pro, our premium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merging the simplicity of our Travel offering application with the expertise of our dedicated agents. This offering delivers exceptional high-end travel support for businesses of all sizes globally, catering to specific needs such as private jets and police escorts for executives or sustained VIP service for entire businesses. Integrated with Navan technology, travelers benefit from our platform while receiving the expected level of VIP service.</w:t>
      </w:r>
    </w:p>
    <w:p>
      <w:pPr>
        <w:spacing w:after="0" w:line="125"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Bleisure: </w:t>
      </w:r>
      <w:r>
        <w:rPr>
          <w:rFonts w:ascii="Arial" w:cs="Arial" w:eastAsia="Arial" w:hAnsi="Arial"/>
          <w:sz w:val="18"/>
          <w:szCs w:val="18"/>
          <w:color w:val="auto"/>
        </w:rPr>
        <w:t>Our personal travel offering, Bleisure, enables leisure and bleisure bookings through the Navan platform as an added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for users from our customers. Users are incentivized to book personal travel through our platform with access to the same inventory, discounts, and on-platform travel support offered to their employer. Additional features such as the ability to use reward points earned on our platform from helping their employer save money via their booked travel to offset costs for their personal travel booking, as well as the ability to seamlessly extend an existing business trip to accommodate personal travel further encourages the broader use of our platform. These benefits allow us to increase platform engagement, allowing us to add to our understanding of each user’s travel preferences and further refine recommendations to personalize the travel and booking experience offered under our Business Travel application.</w:t>
      </w:r>
    </w:p>
    <w:p>
      <w:pPr>
        <w:spacing w:after="0" w:line="13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capabilities across our suite of offerings are supplemented and supported by our comprehensive set of AI-powered capabilities, enabled through both ML and Navan Cognition. These tools enable our platform to offer personalized travel recommendations, automate manual workflows across travel and expense processes, and generate real-time insights that help companies make better, faster decisions. These capabilities allow us to continuously improve user experiences, further streamline workflows, unlock new use cases, and expand the value we deliver to customers over time.</w:t>
      </w:r>
    </w:p>
    <w:p>
      <w:pPr>
        <w:spacing w:after="0" w:line="1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More specifically, our user-friendly tools leverage powerful ML algorithms to intelligently surface highly personalized travel recommendations based on factors such as individual user profiles, loyalty preferences, and past booking behavior, all while optimizing pricing. Our AI-powered tools, enabled by our Navan Cognition framework, allow both us and our customers to automate manual workflows and processes. These tools also supplement existing capabilities through virtual agents that can take proactive steps, such as contacting hotels to verify payment arrangements before a traveler's arrival, ensuring a smooth check-in and offering real-time analysis of expense and spending data. This in turn drives significant efficiency and improves the overall user experience.</w:t>
      </w:r>
    </w:p>
    <w:p>
      <w:pPr>
        <w:spacing w:after="0" w:line="128"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Together, these capabilities provide a seamless, end-to-end experience that drives user satisfaction for our customers and enables our customers to operate more efficiently at scale, while reducing the time and cost associated with managing travel and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Suppliers, and Payment Partners</w:t>
      </w:r>
    </w:p>
    <w:p>
      <w:pPr>
        <w:spacing w:after="0" w:line="171"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We serve a broad and diverse customer base, with over 10,000 active customers as of January 31, 2025. Our customers (as defined in the section titled “Glossary of Terms”) range from enterprise businesses to middle -market to small and medium-sized businesses, none of which contributed to more than 2% of our revenue for fiscal 2025. This breadth is echoed in the variety of industries we serve,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229"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customers spanning a diverse array of sectors, from software and technology to real estate, health, media, retail, finance, and more.</w:t>
      </w:r>
    </w:p>
    <w:p>
      <w:pPr>
        <w:spacing w:after="0" w:line="171" w:lineRule="exact"/>
        <w:rPr>
          <w:sz w:val="20"/>
          <w:szCs w:val="20"/>
          <w:color w:val="auto"/>
        </w:rPr>
      </w:pPr>
    </w:p>
    <w:p>
      <w:pPr>
        <w:ind w:right="720" w:firstLine="324"/>
        <w:spacing w:after="0" w:line="287" w:lineRule="auto"/>
        <w:rPr>
          <w:sz w:val="20"/>
          <w:szCs w:val="20"/>
          <w:color w:val="auto"/>
        </w:rPr>
      </w:pPr>
      <w:r>
        <w:rPr>
          <w:rFonts w:ascii="Arial" w:cs="Arial" w:eastAsia="Arial" w:hAnsi="Arial"/>
          <w:sz w:val="18"/>
          <w:szCs w:val="18"/>
          <w:color w:val="auto"/>
        </w:rPr>
        <w:t>The broad-based nature of and diversity across our customer base highlights the universal need for efficient travel and expense management solutions across different sectors and company sizes, as well as the ubiquity of our offerings.</w:t>
      </w:r>
    </w:p>
    <w:p>
      <w:pPr>
        <w:spacing w:after="0" w:line="99"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We maintain a broad network of suppliers and payment partners that support our offerings. Our suppliers include airlines, hotels, rental car companies, rail carriers, black car services, and GDSs.</w:t>
      </w:r>
    </w:p>
    <w:p>
      <w:pPr>
        <w:spacing w:after="0" w:line="9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earn revenue from these suppliers in the form of fees on a per transaction basis. Under our arrangements with certain suppliers, we earn additional fees when cumulative actual booking or transaction dollar volume exceeds specified contractual thresholds. We primarily source flight and lodging inventory on our platform through GDSs, OTAs, partnerships, and NDCs, supplemented by direct connections with individual airlines and hotels. We source the majority of our rail inventory through a third-party aggregator that functions similarly to a GDS. We source car rental inventory through GDSs and OTA integrations, with direct connections with rental car agencies. We access black car services through a separate GDS that specializes in black car transportation.</w:t>
      </w:r>
    </w:p>
    <w:p>
      <w:pPr>
        <w:spacing w:after="0" w:line="12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Our payment partners primarily include corporate card payment processors and our card issuing partners. We earn revenue from our payment partners from fees based on the transaction dollar volume of spend on our corporate cards. We do not earn revenue from customers’ use of the cards enrolled in Navan Connect nor do we bear any risk related to payments made with those cards.</w:t>
      </w:r>
    </w:p>
    <w:p>
      <w:pPr>
        <w:spacing w:after="0" w:line="117"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For additional information, refer to Note 1, Description of Business and Significant Accounting Policies, to our consolidated financial statements included elsewhere in this prospectus for additional details regarding our relationships with our various suppliers and payment partners and the extent to which we earn revenue under our arrangements with these suppliers and payment partners.</w:t>
      </w:r>
    </w:p>
    <w:p>
      <w:pPr>
        <w:spacing w:after="0" w:line="117"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Our revenue is geographically diverse. For fiscal 2025, revenue generated from customers and suppliers outside of the United States represented 41% of our revenue. This global presence reflects the international nature of business travel and our platform's ability to support customers with operations and employees worldwide.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Principles and Employees</w:t>
      </w:r>
    </w:p>
    <w:p>
      <w:pPr>
        <w:spacing w:after="0" w:line="17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team that we have built at Navan has been critical to the success we have had to date. As we continue to invest in and grow both our business and our team, our employees continue to be guided by core principles shared across our organization on how we operate and behave:</w:t>
      </w:r>
    </w:p>
    <w:p>
      <w:pPr>
        <w:spacing w:after="0" w:line="117" w:lineRule="exact"/>
        <w:rPr>
          <w:sz w:val="20"/>
          <w:szCs w:val="20"/>
          <w:color w:val="auto"/>
        </w:rPr>
      </w:pPr>
    </w:p>
    <w:p>
      <w:pPr>
        <w:ind w:left="660" w:right="120" w:hanging="328"/>
        <w:spacing w:after="0" w:line="28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Obsession. </w:t>
      </w:r>
      <w:r>
        <w:rPr>
          <w:rFonts w:ascii="Arial" w:cs="Arial" w:eastAsia="Arial" w:hAnsi="Arial"/>
          <w:sz w:val="18"/>
          <w:szCs w:val="18"/>
          <w:color w:val="auto"/>
        </w:rPr>
        <w:t>We prioritize exceeding customer expectations to earn trust. This deep commitment to customer needs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rapid feedback fuels our agility, allowing us to quickly adapt our offerings and strategies to deliver best-in-class solutions.</w:t>
      </w:r>
    </w:p>
    <w:p>
      <w:pPr>
        <w:spacing w:after="0" w:line="98" w:lineRule="exact"/>
        <w:rPr>
          <w:rFonts w:ascii="Arial" w:cs="Arial" w:eastAsia="Arial" w:hAnsi="Arial"/>
          <w:sz w:val="18"/>
          <w:szCs w:val="18"/>
          <w:color w:val="auto"/>
        </w:rPr>
      </w:pPr>
    </w:p>
    <w:p>
      <w:pPr>
        <w:ind w:left="980" w:hanging="324"/>
        <w:spacing w:after="0" w:line="287" w:lineRule="auto"/>
        <w:tabs>
          <w:tab w:leader="none" w:pos="976" w:val="left"/>
        </w:tabs>
        <w:numPr>
          <w:ilvl w:val="1"/>
          <w:numId w:val="84"/>
        </w:numPr>
        <w:rPr>
          <w:rFonts w:ascii="Arial" w:cs="Arial" w:eastAsia="Arial" w:hAnsi="Arial"/>
          <w:sz w:val="18"/>
          <w:szCs w:val="18"/>
          <w:color w:val="auto"/>
        </w:rPr>
      </w:pPr>
      <w:r>
        <w:rPr>
          <w:rFonts w:ascii="Arial" w:cs="Arial" w:eastAsia="Arial" w:hAnsi="Arial"/>
          <w:sz w:val="18"/>
          <w:szCs w:val="18"/>
          <w:color w:val="auto"/>
        </w:rPr>
        <w:t>We do not just meet customer expectations, we aim to exceed them. By deeply understanding our customers, earning their trust, and swiftly acting on their feedback, we can keep Navan agile and our offerings unmatched.</w:t>
      </w:r>
    </w:p>
    <w:p>
      <w:pPr>
        <w:spacing w:after="0" w:line="98" w:lineRule="exact"/>
        <w:rPr>
          <w:rFonts w:ascii="Arial" w:cs="Arial" w:eastAsia="Arial" w:hAnsi="Arial"/>
          <w:sz w:val="18"/>
          <w:szCs w:val="18"/>
          <w:color w:val="auto"/>
        </w:rPr>
      </w:pPr>
    </w:p>
    <w:p>
      <w:pPr>
        <w:ind w:left="660" w:right="140" w:hanging="328"/>
        <w:spacing w:after="0" w:line="262"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Autonomous Units. </w:t>
      </w:r>
      <w:r>
        <w:rPr>
          <w:rFonts w:ascii="Arial" w:cs="Arial" w:eastAsia="Arial" w:hAnsi="Arial"/>
          <w:sz w:val="18"/>
          <w:szCs w:val="18"/>
          <w:color w:val="auto"/>
        </w:rPr>
        <w:t>We aim to empower independent teams and balance outcomes with a vibrant culture. Our leadership fosters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agility by enabling faster decision-making and execution at functional &amp; local levels. This decentralized structure allows for quicker responses to changing circumstances and market demands. The vibrant culture within these units drives high performance through increased ownership, motivation, and innovation.</w:t>
      </w:r>
    </w:p>
    <w:p>
      <w:pPr>
        <w:spacing w:after="0" w:line="122" w:lineRule="exact"/>
        <w:rPr>
          <w:rFonts w:ascii="Arial" w:cs="Arial" w:eastAsia="Arial" w:hAnsi="Arial"/>
          <w:sz w:val="18"/>
          <w:szCs w:val="18"/>
          <w:color w:val="auto"/>
        </w:rPr>
      </w:pPr>
    </w:p>
    <w:p>
      <w:pPr>
        <w:ind w:left="980" w:right="780" w:hanging="324"/>
        <w:spacing w:after="0" w:line="287" w:lineRule="auto"/>
        <w:tabs>
          <w:tab w:leader="none" w:pos="976" w:val="left"/>
        </w:tabs>
        <w:numPr>
          <w:ilvl w:val="1"/>
          <w:numId w:val="84"/>
        </w:numPr>
        <w:rPr>
          <w:rFonts w:ascii="Arial" w:cs="Arial" w:eastAsia="Arial" w:hAnsi="Arial"/>
          <w:sz w:val="18"/>
          <w:szCs w:val="18"/>
          <w:color w:val="auto"/>
        </w:rPr>
      </w:pPr>
      <w:r>
        <w:rPr>
          <w:rFonts w:ascii="Arial" w:cs="Arial" w:eastAsia="Arial" w:hAnsi="Arial"/>
          <w:sz w:val="18"/>
          <w:szCs w:val="18"/>
          <w:color w:val="auto"/>
        </w:rPr>
        <w:t>We push our teams not to wait, but lead. Teams move independently and are results driven. Faster decisions and rapid execution mean increased ownership, robust innovation, and a competitive edge in ever-changing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320" w:top="229" w:right="3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 w:hanging="328"/>
        <w:spacing w:after="0" w:line="268"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Bias to Action. </w:t>
      </w:r>
      <w:r>
        <w:rPr>
          <w:rFonts w:ascii="Arial" w:cs="Arial" w:eastAsia="Arial" w:hAnsi="Arial"/>
          <w:sz w:val="18"/>
          <w:szCs w:val="18"/>
          <w:color w:val="auto"/>
        </w:rPr>
        <w:t>Data, metrics, and anecdotal insights guide decision-making. Speed remains paramount in our business approach.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tolerate analysis paralysis and accelerate our ability to capitalize on opportunities or address challenges swiftly. We foster a culture of experimentation and iteration, leading to higher performance through rapid learning and optimization.</w:t>
      </w:r>
    </w:p>
    <w:p>
      <w:pPr>
        <w:spacing w:after="0" w:line="116" w:lineRule="exact"/>
        <w:rPr>
          <w:rFonts w:ascii="Arial" w:cs="Arial" w:eastAsia="Arial" w:hAnsi="Arial"/>
          <w:sz w:val="18"/>
          <w:szCs w:val="18"/>
          <w:color w:val="auto"/>
        </w:rPr>
      </w:pPr>
    </w:p>
    <w:p>
      <w:pPr>
        <w:ind w:left="980" w:hanging="324"/>
        <w:spacing w:after="0" w:line="268" w:lineRule="auto"/>
        <w:tabs>
          <w:tab w:leader="none" w:pos="97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At Navan, speed matters. We move quickly, using a combination of data, insightful metrics, and real-world experiences. Analysis paralysis is not in our vocabulary; instead, we aim to excel through experimentation, iteration, and decisive action, quickly learning and continually optimizing for success.</w:t>
      </w:r>
    </w:p>
    <w:p>
      <w:pPr>
        <w:spacing w:after="0" w:line="116" w:lineRule="exact"/>
        <w:rPr>
          <w:rFonts w:ascii="Arial" w:cs="Arial" w:eastAsia="Arial" w:hAnsi="Arial"/>
          <w:sz w:val="18"/>
          <w:szCs w:val="18"/>
          <w:color w:val="auto"/>
        </w:rPr>
      </w:pPr>
    </w:p>
    <w:p>
      <w:pPr>
        <w:ind w:left="660" w:right="140" w:hanging="328"/>
        <w:spacing w:after="0" w:line="262"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Extreme Ownership. </w:t>
      </w:r>
      <w:r>
        <w:rPr>
          <w:rFonts w:ascii="Arial" w:cs="Arial" w:eastAsia="Arial" w:hAnsi="Arial"/>
          <w:sz w:val="18"/>
          <w:szCs w:val="18"/>
          <w:color w:val="auto"/>
        </w:rPr>
        <w:t>Our leaders foster a culture of responsibility and clear communication. There is no task beneath them; every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aspect of the business is their concern. Clear communication, championed by leaders, enhances agility by facilitating rapid information flow and coordinated action across teams. This commitment to the entire business fosters a culture of shared success, contributing significantly to our sustained success by building trust and alignment throughout the organization.</w:t>
      </w:r>
    </w:p>
    <w:p>
      <w:pPr>
        <w:spacing w:after="0" w:line="122" w:lineRule="exact"/>
        <w:rPr>
          <w:rFonts w:ascii="Arial" w:cs="Arial" w:eastAsia="Arial" w:hAnsi="Arial"/>
          <w:sz w:val="18"/>
          <w:szCs w:val="18"/>
          <w:color w:val="auto"/>
        </w:rPr>
      </w:pPr>
    </w:p>
    <w:p>
      <w:pPr>
        <w:ind w:left="980" w:right="380" w:hanging="324"/>
        <w:spacing w:after="0" w:line="268" w:lineRule="auto"/>
        <w:tabs>
          <w:tab w:leader="none" w:pos="976" w:val="left"/>
        </w:tabs>
        <w:numPr>
          <w:ilvl w:val="1"/>
          <w:numId w:val="85"/>
        </w:numPr>
        <w:rPr>
          <w:rFonts w:ascii="Arial" w:cs="Arial" w:eastAsia="Arial" w:hAnsi="Arial"/>
          <w:sz w:val="18"/>
          <w:szCs w:val="18"/>
          <w:color w:val="auto"/>
        </w:rPr>
      </w:pPr>
      <w:r>
        <w:rPr>
          <w:rFonts w:ascii="Arial" w:cs="Arial" w:eastAsia="Arial" w:hAnsi="Arial"/>
          <w:sz w:val="18"/>
          <w:szCs w:val="18"/>
          <w:color w:val="auto"/>
        </w:rPr>
        <w:t>We believe accountability starts at the top and extends through every layer of our organization. Leaders take personal responsibility, as no job is too small or insignificant. Clear communication and teamwork create a culture that’s built on trust, which ensures shared success.</w:t>
      </w:r>
    </w:p>
    <w:p>
      <w:pPr>
        <w:spacing w:after="0" w:line="116"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Learning. </w:t>
      </w:r>
      <w:r>
        <w:rPr>
          <w:rFonts w:ascii="Arial" w:cs="Arial" w:eastAsia="Arial" w:hAnsi="Arial"/>
          <w:sz w:val="18"/>
          <w:szCs w:val="18"/>
          <w:color w:val="auto"/>
        </w:rPr>
        <w:t>We embed a mindset of continuous improvement through consistent learning, reflection, and feedback.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to growth drives high performance by fostering innovation, improving efficiency, and enhancing problem-solving capabilities.</w:t>
      </w:r>
    </w:p>
    <w:p>
      <w:pPr>
        <w:spacing w:after="0" w:line="116" w:lineRule="exact"/>
        <w:rPr>
          <w:rFonts w:ascii="Arial" w:cs="Arial" w:eastAsia="Arial" w:hAnsi="Arial"/>
          <w:sz w:val="18"/>
          <w:szCs w:val="18"/>
          <w:color w:val="auto"/>
        </w:rPr>
      </w:pPr>
    </w:p>
    <w:p>
      <w:pPr>
        <w:ind w:left="980" w:right="40" w:hanging="324"/>
        <w:spacing w:after="0" w:line="287" w:lineRule="auto"/>
        <w:tabs>
          <w:tab w:leader="none" w:pos="976" w:val="left"/>
        </w:tabs>
        <w:numPr>
          <w:ilvl w:val="1"/>
          <w:numId w:val="85"/>
        </w:numPr>
        <w:rPr>
          <w:rFonts w:ascii="Arial" w:cs="Arial" w:eastAsia="Arial" w:hAnsi="Arial"/>
          <w:sz w:val="18"/>
          <w:szCs w:val="18"/>
          <w:color w:val="auto"/>
        </w:rPr>
      </w:pPr>
      <w:r>
        <w:rPr>
          <w:rFonts w:ascii="Arial" w:cs="Arial" w:eastAsia="Arial" w:hAnsi="Arial"/>
          <w:sz w:val="18"/>
          <w:szCs w:val="18"/>
          <w:color w:val="auto"/>
        </w:rPr>
        <w:t>Improvement is a constant. We are obsessed with personal and professional growth, through consistent learning, reflection, and feedback. Our curiosity fosters innovation, streamlines efficiency, and transforms challenges into opportunities.</w:t>
      </w:r>
    </w:p>
    <w:p>
      <w:pPr>
        <w:spacing w:after="0" w:line="98"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Best Team. </w:t>
      </w:r>
      <w:r>
        <w:rPr>
          <w:rFonts w:ascii="Arial" w:cs="Arial" w:eastAsia="Arial" w:hAnsi="Arial"/>
          <w:sz w:val="18"/>
          <w:szCs w:val="18"/>
          <w:color w:val="auto"/>
        </w:rPr>
        <w:t>We lead through coaching, valuing drive, intelligence, qualifications, and character. We seek to attract and develop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highest caliber talent for the company. We empower leaders to develop individuals and maximize team performance through consistent coaching and value strong character and essential intangible qualities for lasting success and collaboration.</w:t>
      </w:r>
    </w:p>
    <w:p>
      <w:pPr>
        <w:spacing w:after="0" w:line="116" w:lineRule="exact"/>
        <w:rPr>
          <w:rFonts w:ascii="Arial" w:cs="Arial" w:eastAsia="Arial" w:hAnsi="Arial"/>
          <w:sz w:val="18"/>
          <w:szCs w:val="18"/>
          <w:color w:val="auto"/>
        </w:rPr>
      </w:pPr>
    </w:p>
    <w:p>
      <w:pPr>
        <w:ind w:left="980" w:right="200" w:hanging="324"/>
        <w:spacing w:after="0" w:line="268" w:lineRule="auto"/>
        <w:tabs>
          <w:tab w:leader="none" w:pos="976" w:val="left"/>
        </w:tabs>
        <w:numPr>
          <w:ilvl w:val="1"/>
          <w:numId w:val="85"/>
        </w:numPr>
        <w:rPr>
          <w:rFonts w:ascii="Arial" w:cs="Arial" w:eastAsia="Arial" w:hAnsi="Arial"/>
          <w:sz w:val="18"/>
          <w:szCs w:val="18"/>
          <w:color w:val="auto"/>
        </w:rPr>
      </w:pPr>
      <w:r>
        <w:rPr>
          <w:rFonts w:ascii="Arial" w:cs="Arial" w:eastAsia="Arial" w:hAnsi="Arial"/>
          <w:sz w:val="18"/>
          <w:szCs w:val="18"/>
          <w:color w:val="auto"/>
        </w:rPr>
        <w:t>We are committed to building the ultimate team. We attract and nurture talent defined by drive, intelligence, qualifications, and character. Our leaders uplift individuals through intentional coaching, recognizing potential, and amplifying performance. This emphasis on people shapes our culture of excellence and collaboration, fueling ongoing success.</w:t>
      </w:r>
    </w:p>
    <w:p>
      <w:pPr>
        <w:spacing w:after="0" w:line="117"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As of January 31, 2025, we had approximately 3,200 employees globally. None of our employees are represented by a labor union. However, in certain countries in which we operate, such as The Netherlands,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71"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Our sales and marketing teams are dedicated to driving adoption of our travel management, expense and corporate card offerings across our core geographies.</w:t>
      </w:r>
    </w:p>
    <w:p>
      <w:pPr>
        <w:spacing w:after="0" w:line="99"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Our go-to-market strategy is designed to best serve our large, diverse, and global customer base. The customers that we serve range from small businesses considering a managed travel and expense solution for their employees for the first time, to several of the world’s largest, global enterprises, which can spend over $100 million on travel each year. We typically sell into finance, accounting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320" w:top="229" w:right="39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procurement teams, and at times also the C-suite, aligning with business transformation initiatives focused around driving hard cost savings, operating efficiencies, as well as travel and expense policy adherence, while improving user productivity and engagement. We focus on surfacing value to every department throughout the customer engagement process as our travel, corporate cards, and expense offerings are relevant and applicable to functions across the business, from front-office to back-office.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deploy two primary sales motions, which are tailored to the needs of each of our customer types and regions.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sales-led and product-led go-to-market strategies are targeted towards prospective customers who oftentimes do not have an existing travel and expense management solution. These customers are oftentimes smaller (although, not always) and find Navan in various ways, including through our growth marketing efforts and are attracted to the streamlined experience we provide to travelers and the tangible cost savings potential provided by our platform, as well as the convenience of our self-service capabilities. In fact, since launching our new self-serve offering in March 2022, thousands of customers have joined our platform through our website, with minimal sales touchpoints. We have also established affiliate partnerships as an additional channel to engage companies. Once live and transacting, these companies leverage our comprehensive knowledge base library, chat support, and a scaled customer-success desk for ongoing post go-live support. Customers have the opportunity to purchase additional Navan offerings directly from the platform and/or with the assistance of an account executive.</w:t>
      </w:r>
    </w:p>
    <w:p>
      <w:pPr>
        <w:spacing w:after="0" w:line="127"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For prospective customers with existing travel and expense management solutions, we deploy both inside and field sales professionals around the globe, with our exact approach adjusted based on the size and complexity of the prospective customer. These businesses are typically larger and have highly complex travel needs and legacy systems. These customers are assigned account managers for fast implementation and post go-live to drive optimal adoption, expansion, and retention.</w:t>
      </w:r>
    </w:p>
    <w:p>
      <w:pPr>
        <w:spacing w:after="0" w:line="12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While travel management has been the focus of our sales teams since our founding, the launch of our expense and corporate payments offerings in 2020 broadened our sales motion and favorable customer impact. With these offerings, we are able to sell an all-in-one suite of complementary capabilities. Our Travel offering is often the beginning of a customer’s journey. From there, we can help customers realize synergies by expanding into our Corporate Payments and Expense Management offering. For example, in fiscal 2025, approximately 48% of our customers purchased our Travel offering as well as one or both of our Corporate Payments and Expense Management offerings. For customers that initially purchased our Travel offering exclusively, our sales organization checks in periodically to position our Expense Management and Corporate Payments offerings (along with our VIP, Meetings and Events, and Bleisure offerings) to expand customer value. These customers are also prompted within our application to highlight the potential value upside from coupling their existing offerings with our broader product suite. The efforts of our sales organization, as well as the prompts within the application, are critical drivers for helping us capture the significant go-forward runway we have by driving deeper penetration of our existing customers across our entire product suite.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169" w:lineRule="exact"/>
        <w:rPr>
          <w:sz w:val="20"/>
          <w:szCs w:val="20"/>
          <w:color w:val="auto"/>
        </w:rPr>
      </w:pPr>
    </w:p>
    <w:p>
      <w:pPr>
        <w:ind w:right="80" w:firstLine="324"/>
        <w:spacing w:after="0" w:line="278" w:lineRule="auto"/>
        <w:rPr>
          <w:sz w:val="20"/>
          <w:szCs w:val="20"/>
          <w:color w:val="auto"/>
        </w:rPr>
      </w:pPr>
      <w:r>
        <w:rPr>
          <w:rFonts w:ascii="Arial" w:cs="Arial" w:eastAsia="Arial" w:hAnsi="Arial"/>
          <w:sz w:val="17"/>
          <w:szCs w:val="17"/>
          <w:color w:val="auto"/>
        </w:rPr>
        <w:t>Our marketing efforts focus on reach, acquisition, and revenue. We have been able to use our travel and expense management strategy to win customers ranging from five employees to thousands of employees, all while in the process of building brand and category awareness and creating a new market. To establish awareness of our platform, we leverage a world-class demand generation engine that feeds self-service channels as well as our sales teams. We generate leads through digital marketing campaigns, paid search, referrals, word-of-mouth, content-marketing, account-based marketing, in-product customer education, brand advertising, public relations, and social media.</w:t>
      </w:r>
    </w:p>
    <w:p>
      <w:pPr>
        <w:spacing w:after="0" w:line="11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We grow our relationships with existing customers by expanding their engagement with our platform and our offerings. Expanded use of our platform is enabled by customer education and lead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229"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320"/>
        <w:spacing w:after="0" w:line="438" w:lineRule="auto"/>
        <w:rPr>
          <w:sz w:val="20"/>
          <w:szCs w:val="20"/>
          <w:color w:val="auto"/>
        </w:rPr>
      </w:pPr>
      <w:r>
        <w:rPr>
          <w:rFonts w:ascii="Arial" w:cs="Arial" w:eastAsia="Arial" w:hAnsi="Arial"/>
          <w:sz w:val="18"/>
          <w:szCs w:val="18"/>
          <w:color w:val="auto"/>
        </w:rPr>
        <w:t xml:space="preserve">campaigns that include our education center for travel manager education, automated nurture programs, and word-of-mouth. </w:t>
      </w:r>
      <w:r>
        <w:rPr>
          <w:rFonts w:ascii="Arial" w:cs="Arial" w:eastAsia="Arial" w:hAnsi="Arial"/>
          <w:sz w:val="18"/>
          <w:szCs w:val="18"/>
          <w:b w:val="1"/>
          <w:bCs w:val="1"/>
          <w:color w:val="auto"/>
        </w:rPr>
        <w:t>Research &amp; Development</w:t>
      </w:r>
    </w:p>
    <w:p>
      <w:pPr>
        <w:spacing w:after="0" w:line="1"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Our innovation is fundamentally powered by our world-class global Research and Development, or R&amp;D, organization, where we have deeply embedded AI to help drive rapid, targeted innovation and deliver AI-enhanced value to our customers. The velocity, agility, and productivity of our R&amp;D capabilities are significantly amplified by AI, representing a key competitive differentiator. Guided by an AI-first technology vision and DORA (DevOps Research and Assessment) elite standards, our engineering teams often deploy production changes over 100 times in a day. Strategic AI adoption throughout the engineering lifecycle, from coding assistance to intelligent deployment, has accelerated our pace of development and innovation. This AI-augmented approach is powered by our strong global R&amp;D talent team, strategically distributed across key innovation hubs including Palo Alto, Bangalore, Berlin, and Tel Aviv. This global footprint allows us to operate 24/7 from an engineering perspective, allowing us to scale our platform capabilities with significant speed and efficiency.</w:t>
      </w:r>
    </w:p>
    <w:p>
      <w:pPr>
        <w:spacing w:after="0" w:line="11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continuously invest in R&amp;D, with a primary focus on enhancing our platform's intelligence, functionality, and user experience through the continual integration of AI capabilities, aimed at ensuring the solutions we introduce are predictive of evolving customer demands. Our AI-augmented, customer-centric feedback loop enables us to proactively drive operational efficiencies and a personalized customer experience. This commitment extends to maintaining a secure, scalable, and high-performance platform, underscored by our 99.99% average uptime, in line with industry leaders, with AI playing a crucial role in areas like threat detection, system optimization, and predictive maintenance. Our R&amp;D consistently yields market-defining, AI-powered offerings, from intuitive travel bookings and sophisticated corporate cards with AI-based fraud prevention, to AI-native expense automation. Notably, solution introductions from our R&amp;D team such as Ava, our in-house, proprietary AI customer service tool, allow our platform to autonomously handle over % of interactions, enhancing customer satisfaction.</w:t>
      </w:r>
    </w:p>
    <w:p>
      <w:pPr>
        <w:spacing w:after="0" w:line="13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We believe the global breadth of our R&amp;D engineering team, its deep use of AI, and the resulting efficiency of the R&amp;D team are strategic advantages for us, allowing us to innovate quickly, keep our infrastructure costs low (allowing us to drive higher margins), and continuously redefine the possibilities in travel and expense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71"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We compete in several highly competitive industries, and our ability to compete successfully and grow our market share is essential to our long-term growth and success.</w:t>
      </w:r>
    </w:p>
    <w:p>
      <w:pPr>
        <w:spacing w:after="0" w:line="9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are not a traditional travel provider. Unlike legacy travel management companies that operate as services businesses, Navan is a software platform built on modern infrastructure, proprietary AI, and automation. Our higher-margin model enables us to reinvest more aggressively in product innovation, user experience, and go-to-market, and deeper engagement across our customer base. As a result, we are able to serve a broader range of customers, from startups to global enterprises, while compounding the value of our network with every new user, customer, and supplier added. This creates a powerful flywheel and network effect, contributing to our growth potential.</w:t>
      </w:r>
    </w:p>
    <w:p>
      <w:pPr>
        <w:spacing w:after="0" w:line="12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The travel industry is highly competitive and fragmented. We currently compete, and will continue to compete, with a variety of travel and travel-related companies, including other travel management service providers such as BCD Travel, Global Business Travel Group, and SAP Concur, traditional travel agencies, as well as emerging and established online travel agencies. We also face competition, to a lesser extent, from credit card loyalty programs, online travel search and price comparison services, facilitators of alternative accommodations such as short-term home or condominium rentals, social media and e-commerce websites, as well as direct-booking platforms from hotel chains and airliners. We compete by offering our customers a unified, end-to-end travel and expense management platform with global scale and broad inventory, as well as by delivering on a better and more intuitive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229"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experience for employees looking to book their travel, better customer service, better personalization, and more automation across workflows to drive efficiency. We compete against legacy travel companies with our differentiated technology platform that has been built over many years and by technology driven talent. We believe our investments in technology and our ability to act on the underlying data we have collected across our customers are unique and as we continue to invest, we should see an acceleration of our flywheels. We compete against emerging companies with our global scale, supply relationships, and infrastructure. Business travel is global and involves connecting a fractured supplier base to travel buyers, and we have invested in building those direct relationships and creating a platform where customers, travelers, and suppliers win.</w:t>
      </w:r>
    </w:p>
    <w:p>
      <w:pPr>
        <w:spacing w:after="0" w:line="129"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Our expense and corporate card businesses face competitive challenges from do-it-yourself approaches as well as horizontal platform solutions with expense management features such as Expensify, Oracle, and SAP, corporate card providers, and expense management solutions such as Brex and Ramp. With the introduction of new technologies and the entry of new companies into the market, we expect competition to persist and intensify. We compete against these new and existing solutions by serving a robust travel and expense management solution that integrates data across both workflows into a unified, end-to-end platform, allowing us to offer our customers full visibility and control across their travel and expense spend, and drive savings and operational efficiency. In addition to this, we have long believed in an open API policy. This ultimately underpinned the launch of Navan Connect, which allows customers and travelers to port any enrolled corporate Mastercard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Visa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card into our Expense Management offering, including those issued by other corporate card providers such as Brex.</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differentiators that drive our leadership in the markets we compete in include the following:</w:t>
      </w:r>
    </w:p>
    <w:p>
      <w:pPr>
        <w:spacing w:after="0" w:line="171"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Unified, end-to-end travel and expense management offering with global scale and supply presence;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Relentless focus on the frequent traveler and customer experience;</w:t>
      </w:r>
    </w:p>
    <w:p>
      <w:pPr>
        <w:spacing w:after="0" w:line="1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AI-powered differentiated traveler experience, including optimizing and simplifying search, providing highly tailored and customized travel recommendations, as well as proactive support in case of travel interruption;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Ease of access, deployment, adoption, and use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Actionable analytics and intelligence for managers to monitor, analyze and approve travel and entertainment spend in real-time;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Platform functionality and ability to automate processes;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Mobile access across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Data security and privacy;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Speed and scalability of architecture underlying the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Brand reputation;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compete favorably against our competitors on the basis of the factors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1"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Our intellectual property rights, including those in our proprietary technology, software, data, processes, know-how, and brand, are an important aspect of our business and help us maintain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229" w:right="49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competitive position. To establish and protect our rights in our intellectual property, we rely upon a combination of patent, copyright, trade secret, and trademark laws, and contractual restrictions such as confidentiality agreements, licenses, and intellectual property assignment agreements.</w:t>
      </w:r>
    </w:p>
    <w:p>
      <w:pPr>
        <w:spacing w:after="0" w:line="11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As of June 1, 2025, we have six trademark registrations and three trademark applications in the United States, as well as 80 trademark registrations and six trademark applications in foreign jurisdictions. We will pursue additional trademark registrations to the extent we believe it would be beneficial and cost effective. We also own domain names, including www.navan.com.</w:t>
      </w:r>
    </w:p>
    <w:p>
      <w:pPr>
        <w:spacing w:after="0" w:line="117"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As of June 1, 2025, we have two issued patents and 14 pending patent applications in the United States, and 13 pending international patent applications. One of our issued U.S. patents expires in 2039 and the other in 2041. We continually review our development efforts to assess the existence and patentability of new intellectual property.</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control access to our intellectual property and confidential information through internal and external controls. Our practices require our employees and third parties who develop any material intellectual property on our behalf to enter into confidentiality and invention assignment agreements. Our practices also require third parties with whom we share our confidential proprietary information to enter into nondisclosure and confidentiality agreements or to be bound by professional, fiduciary or other contractual obligations requiring the applicable employee or third party to protect our trade secrets, proprietary know-how, and other confidential proprietary information, including those related to our proprietary AI models. However, we cannot guarantee that we have entered into agreements containing such obligations with each party that has been involved in the development of intellectual property for us or that has, or may have had, access to our trade secrets, proprietary know-how, and other confidential proprietary information.</w:t>
      </w:r>
    </w:p>
    <w:p>
      <w:pPr>
        <w:spacing w:after="0" w:line="131"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In addition, intellectual property laws and our procedures and restrictions provide only limited protection, and any of our intellectual property rights may be challenged, invalidated, circumvented, infringed, or misappropriated.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71" w:lineRule="exact"/>
        <w:rPr>
          <w:sz w:val="20"/>
          <w:szCs w:val="20"/>
          <w:color w:val="auto"/>
        </w:rPr>
      </w:pPr>
    </w:p>
    <w:p>
      <w:pPr>
        <w:jc w:val="both"/>
        <w:ind w:right="300" w:firstLine="324"/>
        <w:spacing w:after="0" w:line="268" w:lineRule="auto"/>
        <w:rPr>
          <w:sz w:val="20"/>
          <w:szCs w:val="20"/>
          <w:color w:val="auto"/>
        </w:rPr>
      </w:pPr>
      <w:r>
        <w:rPr>
          <w:rFonts w:ascii="Arial" w:cs="Arial" w:eastAsia="Arial" w:hAnsi="Arial"/>
          <w:sz w:val="18"/>
          <w:szCs w:val="18"/>
          <w:color w:val="auto"/>
        </w:rPr>
        <w:t>Our business activities are or may be subject to various federal, state, local, and foreign laws, rules, and regulations, including those related to travel, data privacy, security and data protection, financial services, intellectual property, advertising practices, employment and labor, tax, anti-corruption, and export control and sanctions laws.</w:t>
      </w:r>
    </w:p>
    <w:p>
      <w:pPr>
        <w:spacing w:after="0" w:line="11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travel management business is subject to registration and licensing requirements imposed by airline industry-established organizations, including agent accreditation requirements imposed by the Airlines Reporting Corporation, or the ARC, in the United States and the International Air Transport Association, or the IATA, in other countries. Pursuant to such accreditation and licensing requirements, our business is authorized to sell and issue tickets on behalf of various airlines, subject to agent rules set by the ARC and the IATA. The failure by our business to comply with such requirements and rules or to obtain and maintain such licenses could result in the suspension or revocation of our authority to sell and issue tickets on behalf of one or more airlines. In addition, R&amp;M UK also has an ATOL registration, which is similar to the EU package travel directive (that otherwise generally does not apply to Navan and its subsidiaries).</w:t>
      </w:r>
    </w:p>
    <w:p>
      <w:pPr>
        <w:spacing w:after="0" w:line="129"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As we continue to expand our travel management offerings based on new offerings and features or new geographic regions, we may become subject to additional laws and regulations applicable to TMCs or travel booking platforms, including, in some countries, licensing and registration requirements, price or other display requirements, mandatory bonding and travel indemnity fund contributions, industry specific value-added tax regimes, and laws regulating the provision of travel packages.</w:t>
      </w:r>
    </w:p>
    <w:p>
      <w:pPr>
        <w:spacing w:after="0" w:line="122"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color w:val="auto"/>
        </w:rPr>
        <w:t>Currently, we partner with banks and other regulated financial institutions that enter into direct agreements with our customers to provide regulated offerings as part of our expense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320" w:top="229" w:right="3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offering. Nevertheless, the laws and regulations related to payments and lending are complex, subject to change, and vary across different jurisdictions in the United States and globally. We may become subject to financial services laws and regulations, including laws and regulations regulating or requiring licensing for payments or lending-related activities, as we expand our expense management solution into new regions and develop new offerings in the future or if regulatory interpretations of existing laws change or are otherwise deemed to apply to our business activities. New and existing laws and regulations (or changes in interpretation of existing laws and regulations) may also be adopted, implemented, or interpreted to apply to our activities or those of our service partners, and uncertainty around the application of these laws may affect demand for travel and our expense management platform. Additionally, as our platform’s geographic scope expands, regulatory agencies, courts, and other authorities may claim that we are subject to additional requirements or are prohibited from conducting our business in or with customers in certain jurisdictions, either generally or with respect to certain services, or that we are otherwise required to change our business practices. We believe we are in material compliance with such laws and regulations and do not expect continued compliance to have a material impact on our capital expenditures, earnings, or competitive position. For additional discussion on governmental regulation affecting our business, please see the section titled “Risk Factors—Risks Related to Legal and Regulatory Matters.”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Security and Privacy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data we collect, use, receive, and otherwise process is integral to our business, enabling us to provide our offerings to our customers and providing us with insights to improve our platform and offerings, particularly related to our AI offerings enabled by Navan Cognition. Our collection, use, receipt, and other processing of data (including personal information) in our business subjects us to numerous U.S. state and federal and international laws and regulations addressing privacy, data protection, information security and the collection, storing, sharing, use, transfer, disclosure, protection, and processing of certain types of data, and use of personal information for marketing, advertising, and other activities conducted by telephone, email, mobile devices, and the Internet. Such regulations include, for example, CAN-SPAM, CCPA, GDPR, and the EU ePrivacy Directive. We work to comply with, and to help allow customers to comply with, applicable laws and regulations relating to privacy, data protection, cybersecurity, and information security. This helps to underpin our strategy of building trust and providing a strong experience to customers.</w:t>
      </w:r>
    </w:p>
    <w:p>
      <w:pPr>
        <w:spacing w:after="0" w:line="127"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For example, 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cybersecurity).</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Numerous U.S. states have enacted comprehensive consumer privacy laws that impose certain obligations on covered businesses, including providing specific disclosures in privacy notices and affording consumers with certain rights concerning their personal information. Certain states also impose stricter requirements for processing certain personal information, including sensitive personal information, such as conducting data privacy impact assessments. These state laws allow for statutory fines for noncompliance. For example, the CCPA applies to personal information of consumers, business representatives, employees, and others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Moreover, all U.S. states have enacted state data breach notification laws requiring businesses to provide notice under certain circumstances to consumers whose personal information has been disclosed as a result of a data breach.</w:t>
      </w:r>
    </w:p>
    <w:p>
      <w:pPr>
        <w:spacing w:after="0" w:line="127"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Furthermore, as we accept and store debit and credit cards for payment, we are subject to the PCI-DSS, issued by the Payment Card Industry Security Standards Council. PCI-DSS contains compliance guidelines with regard to our security surrounding the physical and electronic storage, processing, and transmission of cardholder data. Costs and potential problems and interruptions associated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229"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implementation of new or upgraded systems and technology, such as those necessary to achieve compliance with PCI-DSS or with maintenance or adequate support of existing systems could also disrupt or reduce the efficiency of our operations.</w:t>
      </w:r>
    </w:p>
    <w:p>
      <w:pPr>
        <w:spacing w:after="0" w:line="9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contract with third-party service providers, including shared cloud computing services, to store or process data (including personal information) on our behalf in compliance with applicable laws, regulations, rules and standards. To that end, we strive to enter into data processing agreements with all our third-party providers to clearly define the services being provided and the nature of the engagement, for example the protection and ownership of the data being processed by the service provider. We also maintain processes to ensure that all our third-party providers comply with our data processing agreements, as applicable. However, we may at times fail to do so and cannot ensure that our data processing agreements will be sufficient to protect us from claims, proceedings, liability or adverse publicity relating to data privacy or cybersecurity.</w:t>
      </w:r>
    </w:p>
    <w:p>
      <w:pPr>
        <w:spacing w:after="0" w:line="12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Furthermore, the evolving regulatory framework complicates data transfers across borders. For example, legal developments in the EEA and the U.K. have created complexity and uncertainty regarding processing and transfers of personal data from the EEA and the U.K. to the United States and other so-called third countries outside the EEA and the U.K. that have not been determined by the relevant data protection authorities to provide an adequate level of protection for privacy rights. Ongoing legal challenges and changes in adequacy decisions, such as the EU-U.S. Data Privacy Framework, may further restrict our ability to transfer personal data internationally, potentially disrupting our operations. In many cases, these laws and regulations apply not only to third-party transactions, but also to transfers of information among our entities.</w:t>
      </w:r>
    </w:p>
    <w:p>
      <w:pPr>
        <w:spacing w:after="0" w:line="12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Despite our efforts to comply with applicable laws, regulations and other obligations relating to privacy, data protection, cybersecurity and information security, it is possible that our interpretations of the law, practices or platform could be inconsistent with, or fail or be alleged to fail to meet all requirements of, such laws, regulations, or obligations. Our failure, or the failure by our third-party partners, vendors, service providers, or customers, to comply with applicable laws or regulations or any other obligations relating to privacy, data protection, cybersecurity, or information security, or any compromise of security that results in unauthorized access to, or use, modification, release, or other unauthorized processing of personal information or other data relating to customers, their employees, other personnel and / or other individuals, or the perception that any of the foregoing types of failure or compromise has occurred, could damage our reputation and brand, discourage new and existing customers from using our platform, or result in fines, investigations, or proceedings by governmental agencies, and private claims and litigation, any of which could adversely affect our business, financial condition, and results of operations. Furthermore, we and our third-party partners, vendors and service providers with whom we work are subject to a variety of evolving cybersecurity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While we have implemented security measures designed to protect against security incidents and data breaches, there can be no assurance that these measures will be effective. For more information on risks associated with our information technology systems, see the section titled “Risk Factors—Risks Related to Privacy, Cybersecurity, and Intellectual Property.”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We are headquartered in Palo Alto, California, where we occupy approximately 31,500 square feet of office space pursuant to a lease that expires in 2032. In addition, we lease office space in the United States in San Francisco, CA; Coppell and Austin, TX; New York City, NY; and internationally, including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229"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London, Paris, Berlin, Lisbon, United Arab Emirates, Israel, India and Australia, which we use for operations, sales, and engineering, as applicable.</w:t>
      </w:r>
    </w:p>
    <w:p>
      <w:pPr>
        <w:spacing w:after="0" w:line="99"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We intend to procure additional space in the future as we continue to add employees and expand geographically. We believe that our current facilities are adequate to meet our current needs and that, should it be needed, suitable additional or alternative space will be available to accommodate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results of operations,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320" w:top="229" w:right="37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360" w:type="dxa"/>
            <w:vAlign w:val="bottom"/>
          </w:tcPr>
          <w:p>
            <w:pPr>
              <w:ind w:left="800"/>
              <w:spacing w:after="0"/>
              <w:rPr>
                <w:sz w:val="20"/>
                <w:szCs w:val="20"/>
                <w:color w:val="auto"/>
              </w:rPr>
            </w:pPr>
            <w:r>
              <w:rPr>
                <w:rFonts w:ascii="Arial" w:cs="Arial" w:eastAsia="Arial" w:hAnsi="Arial"/>
                <w:sz w:val="18"/>
                <w:szCs w:val="18"/>
                <w:b w:val="1"/>
                <w:bCs w:val="1"/>
                <w:color w:val="auto"/>
              </w:rPr>
              <w:t>MANAGEMENT</w:t>
            </w:r>
          </w:p>
        </w:tc>
        <w:tc>
          <w:tcPr>
            <w:tcW w:w="1720" w:type="dxa"/>
            <w:vAlign w:val="bottom"/>
          </w:tcPr>
          <w:p>
            <w:pPr>
              <w:spacing w:after="0"/>
              <w:rPr>
                <w:sz w:val="21"/>
                <w:szCs w:val="21"/>
                <w:color w:val="auto"/>
              </w:rPr>
            </w:pPr>
          </w:p>
        </w:tc>
      </w:tr>
      <w:tr>
        <w:trPr>
          <w:trHeight w:val="378"/>
        </w:trPr>
        <w:tc>
          <w:tcPr>
            <w:tcW w:w="4160" w:type="dxa"/>
            <w:vAlign w:val="bottom"/>
            <w:gridSpan w:val="4"/>
          </w:tcPr>
          <w:p>
            <w:pPr>
              <w:spacing w:after="0"/>
              <w:rPr>
                <w:sz w:val="20"/>
                <w:szCs w:val="20"/>
                <w:color w:val="auto"/>
              </w:rPr>
            </w:pPr>
            <w:r>
              <w:rPr>
                <w:rFonts w:ascii="Arial" w:cs="Arial" w:eastAsia="Arial" w:hAnsi="Arial"/>
                <w:sz w:val="18"/>
                <w:szCs w:val="18"/>
                <w:b w:val="1"/>
                <w:bCs w:val="1"/>
                <w:color w:val="auto"/>
              </w:rPr>
              <w:t>Executive Officers and Non-Employee Directors</w:t>
            </w:r>
          </w:p>
        </w:tc>
        <w:tc>
          <w:tcPr>
            <w:tcW w:w="5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0"/>
        </w:trPr>
        <w:tc>
          <w:tcPr>
            <w:tcW w:w="9520" w:type="dxa"/>
            <w:vAlign w:val="bottom"/>
            <w:gridSpan w:val="5"/>
          </w:tcPr>
          <w:p>
            <w:pPr>
              <w:ind w:left="340"/>
              <w:spacing w:after="0"/>
              <w:rPr>
                <w:sz w:val="20"/>
                <w:szCs w:val="20"/>
                <w:color w:val="auto"/>
              </w:rPr>
            </w:pPr>
            <w:r>
              <w:rPr>
                <w:rFonts w:ascii="Arial" w:cs="Arial" w:eastAsia="Arial" w:hAnsi="Arial"/>
                <w:sz w:val="18"/>
                <w:szCs w:val="18"/>
                <w:color w:val="auto"/>
              </w:rPr>
              <w:t>The following table provides information regarding our executive officers and non-employee directors as of</w:t>
            </w:r>
          </w:p>
        </w:tc>
        <w:tc>
          <w:tcPr>
            <w:tcW w:w="1720" w:type="dxa"/>
            <w:vAlign w:val="bottom"/>
          </w:tcPr>
          <w:p>
            <w:pPr>
              <w:jc w:val="right"/>
              <w:ind w:right="910"/>
              <w:spacing w:after="0"/>
              <w:rPr>
                <w:sz w:val="20"/>
                <w:szCs w:val="20"/>
                <w:color w:val="auto"/>
              </w:rPr>
            </w:pPr>
            <w:r>
              <w:rPr>
                <w:rFonts w:ascii="Arial" w:cs="Arial" w:eastAsia="Arial" w:hAnsi="Arial"/>
                <w:sz w:val="18"/>
                <w:szCs w:val="18"/>
                <w:color w:val="auto"/>
              </w:rPr>
              <w:t>, 2025:</w:t>
            </w:r>
          </w:p>
        </w:tc>
      </w:tr>
      <w:tr>
        <w:trPr>
          <w:trHeight w:val="386"/>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ind w:left="320"/>
              <w:spacing w:after="0"/>
              <w:rPr>
                <w:sz w:val="20"/>
                <w:szCs w:val="20"/>
                <w:color w:val="auto"/>
              </w:rPr>
            </w:pPr>
            <w:r>
              <w:rPr>
                <w:rFonts w:ascii="Arial" w:cs="Arial" w:eastAsia="Arial" w:hAnsi="Arial"/>
                <w:sz w:val="14"/>
                <w:szCs w:val="14"/>
                <w:b w:val="1"/>
                <w:bCs w:val="1"/>
                <w:color w:val="auto"/>
              </w:rPr>
              <w:t>Age</w:t>
            </w:r>
          </w:p>
        </w:tc>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Position(s)</w:t>
            </w:r>
          </w:p>
        </w:tc>
        <w:tc>
          <w:tcPr>
            <w:tcW w:w="1720" w:type="dxa"/>
            <w:vAlign w:val="bottom"/>
          </w:tcPr>
          <w:p>
            <w:pPr>
              <w:spacing w:after="0"/>
              <w:rPr>
                <w:sz w:val="24"/>
                <w:szCs w:val="24"/>
                <w:color w:val="auto"/>
              </w:rPr>
            </w:pPr>
          </w:p>
        </w:tc>
      </w:tr>
      <w:tr>
        <w:trPr>
          <w:trHeight w:val="224"/>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36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r>
      <w:tr>
        <w:trPr>
          <w:trHeight w:val="229"/>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Ariel Cohen</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Chairperson of our board of directors and Chief Executive Officer</w:t>
            </w:r>
          </w:p>
        </w:tc>
        <w:tc>
          <w:tcPr>
            <w:tcW w:w="1720" w:type="dxa"/>
            <w:vAlign w:val="bottom"/>
          </w:tcPr>
          <w:p>
            <w:pPr>
              <w:spacing w:after="0"/>
              <w:rPr>
                <w:sz w:val="19"/>
                <w:szCs w:val="19"/>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Ilan Twig</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and Chief Technology Officer</w:t>
            </w:r>
          </w:p>
        </w:tc>
        <w:tc>
          <w:tcPr>
            <w:tcW w:w="1720" w:type="dxa"/>
            <w:vAlign w:val="bottom"/>
            <w:shd w:val="clear" w:color="auto" w:fill="CCEEFF"/>
          </w:tcPr>
          <w:p>
            <w:pPr>
              <w:spacing w:after="0"/>
              <w:rPr>
                <w:sz w:val="19"/>
                <w:szCs w:val="19"/>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Amy Butte</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720" w:type="dxa"/>
            <w:vAlign w:val="bottom"/>
          </w:tcPr>
          <w:p>
            <w:pPr>
              <w:spacing w:after="0"/>
              <w:rPr>
                <w:sz w:val="19"/>
                <w:szCs w:val="19"/>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Sindicich</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w:t>
            </w:r>
          </w:p>
        </w:tc>
        <w:tc>
          <w:tcPr>
            <w:tcW w:w="1720" w:type="dxa"/>
            <w:vAlign w:val="bottom"/>
            <w:shd w:val="clear" w:color="auto" w:fill="CCEEFF"/>
          </w:tcPr>
          <w:p>
            <w:pPr>
              <w:spacing w:after="0"/>
              <w:rPr>
                <w:sz w:val="19"/>
                <w:szCs w:val="19"/>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 Horowitz</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shd w:val="clear" w:color="auto" w:fill="CCEEFF"/>
          </w:tcPr>
          <w:p>
            <w:pPr>
              <w:spacing w:after="0"/>
              <w:rPr>
                <w:sz w:val="19"/>
                <w:szCs w:val="19"/>
                <w:color w:val="auto"/>
              </w:rPr>
            </w:pPr>
          </w:p>
        </w:tc>
      </w:tr>
      <w:tr>
        <w:trPr>
          <w:trHeight w:val="229"/>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Arif Janmohamed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19"/>
                <w:szCs w:val="19"/>
                <w:color w:val="auto"/>
              </w:rPr>
            </w:pPr>
          </w:p>
        </w:tc>
      </w:tr>
      <w:tr>
        <w:trPr>
          <w:trHeight w:val="23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Kourey</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shd w:val="clear" w:color="auto" w:fill="CCEEFF"/>
          </w:tcPr>
          <w:p>
            <w:pPr>
              <w:spacing w:after="0"/>
              <w:rPr>
                <w:sz w:val="19"/>
                <w:szCs w:val="19"/>
                <w:color w:val="auto"/>
              </w:rPr>
            </w:pPr>
          </w:p>
        </w:tc>
      </w:tr>
      <w:tr>
        <w:trPr>
          <w:trHeight w:val="229"/>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Clara Liang</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19"/>
                <w:szCs w:val="19"/>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Sandesh Patnam</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shd w:val="clear" w:color="auto" w:fill="CCEEFF"/>
          </w:tcPr>
          <w:p>
            <w:pPr>
              <w:spacing w:after="0"/>
              <w:rPr>
                <w:sz w:val="19"/>
                <w:szCs w:val="19"/>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Anré Williams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19"/>
                <w:szCs w:val="19"/>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Oren Zeev</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shd w:val="clear" w:color="auto" w:fill="CCEEFF"/>
          </w:tcPr>
          <w:p>
            <w:pPr>
              <w:spacing w:after="0"/>
              <w:rPr>
                <w:sz w:val="19"/>
                <w:szCs w:val="19"/>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Member of the nominating and governance committee.</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16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Executive Officers</w:t>
      </w:r>
    </w:p>
    <w:p>
      <w:pPr>
        <w:spacing w:after="0" w:line="16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i w:val="1"/>
          <w:iCs w:val="1"/>
          <w:color w:val="auto"/>
        </w:rPr>
        <w:t xml:space="preserve">Ariel Cohen </w:t>
      </w:r>
      <w:r>
        <w:rPr>
          <w:rFonts w:ascii="Arial" w:cs="Arial" w:eastAsia="Arial" w:hAnsi="Arial"/>
          <w:sz w:val="18"/>
          <w:szCs w:val="18"/>
          <w:color w:val="auto"/>
        </w:rPr>
        <w:t>is our co-founder and has served as our Chief Executive Officer and as a member of our board of directors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in February 2015 and as chairperson of our board of directors since September 2022. Mr. Cohen previously served as our President from February 2015 to March 2025. Prior to our founding, Mr. Cohen served as Vice President, Product Management at Jive Software, Inc., or Jive Software, a provider of social business software, from 2013 to 2015, following the acquisition by Jive Software of StreamOnce, Inc., a business multimedia integration platform, where he served as co-founder and Chief Executive Officer from 2012 to 2013. From 2010 to 2012, Mr. Cohen served as Senior Director, Product Management at Jive Software. Prior to Jive Software, Mr. Cohen served in various senior roles at HP Inc. (formerly Hewlett-Packard Company), a multinational information technology company, from 2006 to 2010. Mr. Cohen served on the board of directors of Lyft, Inc., or Lyft, a publicly traded ridesharing company, from March 2021 to May 2025. Mr. Cohen holds a B.A. in Economics from the College of Management Academic Studies and an Executive M.B.A. from Northwestern University, Kellogg School of Management. We believe Mr. Cohen is qualified to serve on our board of directors because of the historical knowledge, operational expertise, leadership, culture management, and continuity that he brings to our board of directors as our co-founder, President, and Chief Executive Officer.</w:t>
      </w:r>
    </w:p>
    <w:p>
      <w:pPr>
        <w:spacing w:after="0" w:line="13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Ilan Twig </w:t>
      </w:r>
      <w:r>
        <w:rPr>
          <w:rFonts w:ascii="Arial" w:cs="Arial" w:eastAsia="Arial" w:hAnsi="Arial"/>
          <w:sz w:val="18"/>
          <w:szCs w:val="18"/>
          <w:color w:val="auto"/>
        </w:rPr>
        <w:t>is our co-founder and has served as our Chief Technology Officer and as a member of our board of directors since our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in February 2015. Prior to our founding, Mr. Twig served as an Executive Vice President, Engineering at Jive Software during 2015 and a Vice President, Engineering from 2013 to 2014, following the acquisition by Jive Software of StreamOnce, Inc., a business multimedia integration platform, where he served as co-founder and Chief Technology Officer from 2012 to 2013. Prior to Jive Software, Mr. Twig served as the Head of Engineering at RockMelt, Inc., a social media web browsing service, from 2010 to 2012. Mr. Twig holds a B.Sc. in Computer Science from the Academic College of Tel-Aviv, Yaffo. We believe Mr. Twig is qualified to serve as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229"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given his deep technical understanding of our platform and business and the continuity that he brings to our board of directors as co-founder and Chief Technology Officer.</w:t>
      </w:r>
    </w:p>
    <w:p>
      <w:pPr>
        <w:spacing w:after="0" w:line="9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 xml:space="preserve">Amy Butte </w:t>
      </w:r>
      <w:r>
        <w:rPr>
          <w:rFonts w:ascii="Arial" w:cs="Arial" w:eastAsia="Arial" w:hAnsi="Arial"/>
          <w:sz w:val="18"/>
          <w:szCs w:val="18"/>
          <w:color w:val="auto"/>
        </w:rPr>
        <w:t>has served as our Chief Financial Officer since June 2024. Ms. Butte previously served as a member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from April 2024 to June 2024. Ms. Butte has served on the boards of directors of Bain Capital Specialty Finance, Inc., a publicly traded managed specialty finance company, since July 2019 and Bain Capital Private Credit, a public non-traded business development company, since April 2022. For both Bain entities, Ms. Butte also serves on the audit committee and compensation committee and as the chair of the nominating and corporate governance committee. Ms. Butte previously served on the boards of directors of DigitalOcean Holdings, Inc., a publicly traded software company, from April 2018 to June 2025, where she also served as the chair of the audit committee, BNP Paribas USA, Inc., a multinational bank and financial services company, from 2016 to 2023, where she also served on the risk committee and as the chair of the audit committee, and as an independent trustee, for the Fidelity Investments Strategic Advisers Funds from 2011 to 2017, where she also served as the chair of the audit committee. In addition, Ms. Butte is an advisor to several private companies, including the Long-Term Stock Exchange, a national security exchange, since 2015. Ms. Butte served as the founder of TILE Financial Inc., or TILE, a financial technology company, from 2008 to 2012. Prior to TILE, Ms. Butte served as Chief Financial Officer of Man Financial, Inc., or Man Financial, a brokerage firm, from 2006 to 2008. Prior to Man Financial, Ms. Butte served as Chief Financial Officer and Executive President of the New York Stock Exchange from 2004 to 2006. Prior to the New York Stock Exchange, Ms. Butte served as an Equity Research Analyst at Bear Stearns and Merrill Lynch. Ms. Butte holds a B.A. in Psychology from Yale University and an M.B.A. from Harvard Business School.</w:t>
      </w:r>
    </w:p>
    <w:p>
      <w:pPr>
        <w:spacing w:after="0" w:line="13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Michael Sindicich </w:t>
      </w:r>
      <w:r>
        <w:rPr>
          <w:rFonts w:ascii="Arial" w:cs="Arial" w:eastAsia="Arial" w:hAnsi="Arial"/>
          <w:sz w:val="18"/>
          <w:szCs w:val="18"/>
          <w:color w:val="auto"/>
        </w:rPr>
        <w:t>has served as our President since March 2025. Mr. Sindicich previously served as our Chief Executive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Navan Expense from April 2023 to March 2025, our Executive Vice President and General Manager of Navan Expense from December 2019 to April 2023, our Vice President of Enterprise Sales from December 2018 to December 2019, our Vice President of Sales, West from May 2018 to January 2019, a Director of Sales from 2017 to May 2018, and a Senior Account Executive from April 2016 to April 2017. Mr. Sindicich holds a B.S. in Psychobiology from the University of California, Los Angeles.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6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Ben Horowitz </w:t>
      </w:r>
      <w:r>
        <w:rPr>
          <w:rFonts w:ascii="Arial" w:cs="Arial" w:eastAsia="Arial" w:hAnsi="Arial"/>
          <w:sz w:val="18"/>
          <w:szCs w:val="18"/>
          <w:color w:val="auto"/>
        </w:rPr>
        <w:t>has served as a member of our board of directors since October 2018. Mr. Horowitz is a co-founder and has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of Andreessen Horowitz, a venture capital firm, since July 2009. Prior to Andreesen Horowitz, Mr. Horowitz served as a Vice President and General Manager of HP Inc. (formerly Hewlett-Packard Company), a multinational information technology company, from 2007 to 2008. Prior to HP, Mr. Horowitz served as co-founder, President, and Chief Executive Officer of Opsware, Inc., a computer software company, from 1999 to 2007. Mr. Horowitz has served on the board of directors of Okta, Inc., or Okta, a publicly traded software company, since February 2010, and previously served on the board of directors of Lyft from June 2016 to June 2020. In addition, Mr. Horowitz serves on the boards of directors of several private companies. Mr. Horowitz holds a B.A. in Computer Science from Columbia University and an M.S. in Computer Science from the University of California, Los Angeles. We believe Mr. Horowitz is qualified to serve as a member of our board of directors because of his extensive experience in the venture capital industry, his knowledge of technology companies, and his service on other privately and publicly held companies.</w:t>
      </w:r>
    </w:p>
    <w:p>
      <w:pPr>
        <w:spacing w:after="0" w:line="13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Arif Janmohamed </w:t>
      </w:r>
      <w:r>
        <w:rPr>
          <w:rFonts w:ascii="Arial" w:cs="Arial" w:eastAsia="Arial" w:hAnsi="Arial"/>
          <w:sz w:val="18"/>
          <w:szCs w:val="18"/>
          <w:color w:val="auto"/>
        </w:rPr>
        <w:t>has served as a member of our board of directors since April 2017. Since 2008, Mr. Janmohamed has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Lightspeed Venture Partners, or Lightspeed, a venture capital firm. Prior to joining Lightspeed, Mr. Janmohamed held roles at various technology companies, including Cisco Systems, Inc., a technology solutions company, from 2006 to 2008. Mr. Janmohamed holds a B.Sc. in Computer Engineering from University of Waterloo, Canada and an M.B.A. in Finance from the University of Pennsylvania Wharton School of Business. We believe Mr. Janmohamed is qualified to serve as a member of our board of directors given his leadership and business experience, technical knowledge, and his deep understanding of our business and industry as an early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229" w:right="3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i w:val="1"/>
          <w:iCs w:val="1"/>
          <w:color w:val="auto"/>
        </w:rPr>
        <w:t xml:space="preserve">Michael Kourey </w:t>
      </w:r>
      <w:r>
        <w:rPr>
          <w:rFonts w:ascii="Arial" w:cs="Arial" w:eastAsia="Arial" w:hAnsi="Arial"/>
          <w:sz w:val="18"/>
          <w:szCs w:val="18"/>
          <w:color w:val="auto"/>
        </w:rPr>
        <w:t>has served as a member on our board of directors since October 2024. Mr. Kourey has served on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of Dialpad, Inc., or Dialpad, an AI-driven communications intelligence company, since February 2024, and previously served as the Chief Financial Officer of Dialpad from September 2021 to February 2025. Prior to Dialpad, Mr. Kourey served as Chief Financial Officer of Okta from March to May 2021. Prior to Okta, Mr. Kourey served as Chief Financial Officer of Vlocity, Inc., or Vlocity (acquired by Salesforce), a provider of industry-specific cloud and mobile software, from January 2019 to December 2020. Prior to Vlocity, Mr. Kourey served as Chief Financial Officer and an Executive Vice President of Medallia, Inc., or Medallia, a cloud-based customer experience management company, from 2015 to 2018. Prior to Medallia, Mr. Kourey served as a Partner at Khosla Ventures, a venture capital firm, from 2013 to 2015, and previously served as Operating Partner at Khosla Ventures from 2012 to 2013. Prior to Khosla Ventures, Mr. Kourey served in a variety of roles, most recently as Chief Financial Officer, at Polycom, Inc., or Polycom, a publicly traded communications solutions company, from 1991 to 2012. Mr. Kourey served on the boards of directors of various public companies such as Okta from October 2015 to March 2021, RingCentral, Inc., a publicly traded cloud-based communications company, from 2015 to 2016, Aruba Networks, Inc. (acquired by Hewlett-Packard Company), a formerly publicly traded security and networking company, from 2007 to 2015, Riverbed Technology LLC, a formerly publicly traded information technology solutions company, from 2006 to 2014, Polycom from 1999 to 2012, and WatchGuard Technologies, Inc., a formerly publicly traded cybersecurity company, from 2003 to 2006. Mr. Kourey has served on the board of directors of Cribl, Inc., or Cribl, a data observability company, since June 2025, and currently serves as the chair of Cribl’s audit committee. In addition, Mr. Kourey currently serves on the boards of directors of several other private companies. Mr. Kourey holds a B.S. in Agricultural and Managerial Economics from the University of California, Davis and an M.B.A. from the Santa Clara University Leavey School of Business. We believe Mr. Kourey is qualified to serve as a member of our board of directors because of his extensive experience as a public company financial officer, his extensive finance background, and his service on boards of other privately and publicly held companies.</w:t>
      </w:r>
    </w:p>
    <w:p>
      <w:pPr>
        <w:spacing w:after="0" w:line="13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Clara Liang </w:t>
      </w:r>
      <w:r>
        <w:rPr>
          <w:rFonts w:ascii="Arial" w:cs="Arial" w:eastAsia="Arial" w:hAnsi="Arial"/>
          <w:sz w:val="18"/>
          <w:szCs w:val="18"/>
          <w:color w:val="auto"/>
        </w:rPr>
        <w:t>has served as a member of our board of directors since September 2022. Since February 2024, Ms. Liang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Head of Global Strategic Operations at Stripe, Inc., or Stripe, a financial services company, and previously served as a Business Lead at Stripe from January 2022 to February 2024. Prior to Stripe, Ms. Liang served as a Vice President and General Manager and in other product director roles at Airbnb, Inc., or Airbnb, an online travel marketplace, from July 2016 to January 2022. Prior to Airbnb, Ms. Liang served as Chief Product Officer at Jive Software from 2012 to 2015. Prior to Jive Software, Ms. Liang served in a number of technology and professional services roles at International Business Machines Corporation, a technology and consulting company, from 2001 to 2011. Ms. Liang has served on the board of directors of SoFi Technologies, Inc., a publicly traded financial services company, since October 2019. Ms. Liang holds a B.Sc. in Symbolic Systems from Stanford University and an M.S. in Technology Commercialization from the University of Texas at Austin. We believe Ms. Liang is qualified to serve as a member of our board of directors because of her experience leading and scaling global technology companies.</w:t>
      </w:r>
    </w:p>
    <w:p>
      <w:pPr>
        <w:spacing w:after="0" w:line="13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i w:val="1"/>
          <w:iCs w:val="1"/>
          <w:color w:val="auto"/>
        </w:rPr>
        <w:t xml:space="preserve">Sandesh Patnam </w:t>
      </w:r>
      <w:r>
        <w:rPr>
          <w:rFonts w:ascii="Arial" w:cs="Arial" w:eastAsia="Arial" w:hAnsi="Arial"/>
          <w:sz w:val="18"/>
          <w:szCs w:val="18"/>
          <w:color w:val="auto"/>
        </w:rPr>
        <w:t>has served as a member of our board of directors since July 2022. Mr. Patnam has served as the U.S.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Premji Invest, a growth equity firm, since March 2014. Prior to Premji Invest, Mr. Patnam served as a General Partner at DFJ Growth, a venture capital firm, from October 2020 to October 2021. Prior to DFJ Growth, Mr. Patnam served as an Investment Officer and Senior Equity Analyst at Seligman Technology Group at Columbia Management Investment Advisers LLC, or Seligman, an investment company, from 2010 to 2014. Prior to Seligman, Mr. Patnam served as the General Partner at Bay Partners LLC, a venture capital firm, from 2005 to 2010. Mr. Patnam serves on the boards of directors of several private companies and served on the board of directors of Anaplan, Inc., a publicly traded software company, from 2016 to 2022. Mr. Patnam holds a B.S. in Electrical Engineering from the University of Rochester and an M.B.A. in Finance from the University of Pennsylvania Wharton School of Business. We believe Mr. Patnam is qualified to serve as a member of our board of directors because of his business and venture capital expertise and his service on other privately and publicly held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229"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 xml:space="preserve">Anré Wiliams </w:t>
      </w:r>
      <w:r>
        <w:rPr>
          <w:rFonts w:ascii="Arial" w:cs="Arial" w:eastAsia="Arial" w:hAnsi="Arial"/>
          <w:sz w:val="18"/>
          <w:szCs w:val="18"/>
          <w:color w:val="auto"/>
        </w:rPr>
        <w:t>has served as a member on our board of directors since June 2025. Mr. Williams has served as Senior Executive Advisor</w:t>
      </w:r>
      <w:r>
        <w:rPr>
          <w:rFonts w:ascii="Arial" w:cs="Arial" w:eastAsia="Arial" w:hAnsi="Arial"/>
          <w:sz w:val="18"/>
          <w:szCs w:val="18"/>
          <w:i w:val="1"/>
          <w:iCs w:val="1"/>
          <w:color w:val="auto"/>
        </w:rPr>
        <w:t xml:space="preserve"> </w:t>
      </w:r>
      <w:r>
        <w:rPr>
          <w:rFonts w:ascii="Arial" w:cs="Arial" w:eastAsia="Arial" w:hAnsi="Arial"/>
          <w:sz w:val="18"/>
          <w:szCs w:val="18"/>
          <w:color w:val="auto"/>
        </w:rPr>
        <w:t>of American Express Company, or American Express, a publicly traded financial services corporation, since February 2025, and has served on the Executive Committee of American Express since 2018. Prior to his current role at American Express, Mr. Williams served as Chief Executive Officer of American Express National Bank, or AENB, an online bank and subsidiary of American Express, from April 2021 to January 2025. Prior to AENB, Mr. Williams served as Group President, Enterprise Services, of American Express from April 2021 to February 2025 and served as the Group President of Global Merchant &amp; Network Services at American Express from February 2018 to April 2021. Mr. Williams served in a number of leadership and professional roles at American Express from 1990 to 2018. Mr. Williams has served on the boards of directors of publicly traded companies such as Infinite Acquisition Corp, a special-purpose acquisition company, from November 2021 to August 2023, Illinois Tool Works Inc., a publicly traded manufacturing company, from August 2010 to May 2023, and Joseph T. Ryerson &amp; Son, Inc., a metal processing and distribution company, from 2004 to 2007. Mr. Williams holds a B.A. in Economics from Stanford University and an M.B.A. from the University of Pennsylvania Wharton School of Business. We believe Mr. Williams is qualified to serve as a member of our board of directors because of his extensive public company leadership experience and his service on boards of other privately and publicly held companies.</w:t>
      </w:r>
    </w:p>
    <w:p>
      <w:pPr>
        <w:spacing w:after="0" w:line="13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Oren Zeev </w:t>
      </w:r>
      <w:r>
        <w:rPr>
          <w:rFonts w:ascii="Arial" w:cs="Arial" w:eastAsia="Arial" w:hAnsi="Arial"/>
          <w:sz w:val="18"/>
          <w:szCs w:val="18"/>
          <w:color w:val="auto"/>
        </w:rPr>
        <w:t>has served as a member on our board of directors since April 2015. Since 2015, Mr. Zeev has served as the Sole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Zeev Ventures, a venture capital firm. Between 2008 and 2015, Mr. Zeev invested his own capital in private technology companies. Prior to that, Mr. Zeev served as a General Partner at Apax Partners, a venture capital firm, from 1995 to 2007. Mr. Zeev currently serves as a member of the boards of directors of various private technology companies. Mr. Zeev previously served on the board of Chegg, Inc., an education technology company, from 2008 to 2013 and Audible, Inc., an online audiobook company, from 2003 to 2008. Mr. Zeev holds a B.Sc. in Electrical Engineering from Technion, Israel Institute of Technology and an M.B.A. from INSEAD. We believe Mr. Zeev is qualified to serve as a member of our board of directors because of his extensive experience in the venture capital industry and his knowledge of technology companies and our industry.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1"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currently consists of nine directors. Pursuant to our amended and restated certificate of incorporation, as currently in effect, and the Amended and Restated Voting Agreement by and among us and other parties, dated July 28, 2022, as amended, or our Voting Agreement, our current directors were elected as follows:</w:t>
      </w:r>
    </w:p>
    <w:p>
      <w:pPr>
        <w:spacing w:after="0" w:line="122"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Messrs. Cohen and Twig were elected as the designees nominated by certain holders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Zeev was elected as the designee nominated by holders of our Series A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229"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38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Janmohamed was elected as the designee nominated by a holder of our Series A-1 redeemable convertible preferred stock, together with its affiliates;</w:t>
      </w:r>
    </w:p>
    <w:p>
      <w:pPr>
        <w:spacing w:after="0" w:line="98"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Horowitz was elected as the designee nominated by a holder of our Series C redeemable convertible preferred stock, together with its affiliates;</w:t>
      </w:r>
    </w:p>
    <w:p>
      <w:pPr>
        <w:spacing w:after="0" w:line="98"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Patnam was elected as the designee nominated by a holder of our Series G redeemable convertible preferred stock, together with its affiliates;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Ms. Liang was elected as the designee nominated by all of the other directors then-serving on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Kourey was appointed by all of the other directors then-serving on our board of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Williams was appointed by all of the other directors then-serving on our board of directors.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Voting Agreement will terminate and the provisions of our current amended and restated certificate of incorporation by which our directors were elected will be amended and restated in connection with this offering and, following this offering, there will be no contractual obligations regarding the election of our directors. After this offering, the number of directors will be fixed by our board of directors, subject to the terms of our amended and restated certificate of incorporation and restated bylaws that will become effective immediately prior to the completion of this offering. Each of our current directors will continue to serve as a director until the election and qualification of their successor, or until their earlier death, resignation, or removal.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Upon the completion of this offering, our board of directors will consist of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ectPr>
          <w:pgSz w:w="11900" w:h="16838" w:orient="portrait"/>
          <w:cols w:equalWidth="0" w:num="1">
            <w:col w:w="11200"/>
          </w:cols>
          <w:pgMar w:left="320" w:top="229" w:right="379" w:bottom="1440" w:gutter="0" w:footer="0" w:header="0"/>
        </w:sectPr>
      </w:pPr>
    </w:p>
    <w:p>
      <w:pPr>
        <w:spacing w:after="0" w:line="1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ind w:right="280" w:hanging="4"/>
        <w:spacing w:after="0" w:line="287" w:lineRule="auto"/>
        <w:rPr>
          <w:sz w:val="20"/>
          <w:szCs w:val="20"/>
          <w:color w:val="auto"/>
        </w:rPr>
      </w:pPr>
      <w:r>
        <w:rPr>
          <w:rFonts w:ascii="Arial" w:cs="Arial" w:eastAsia="Arial" w:hAnsi="Arial"/>
          <w:sz w:val="18"/>
          <w:szCs w:val="18"/>
          <w:color w:val="auto"/>
        </w:rPr>
        <w:t>the Class I directors will be completion of this offering;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terms will expire at the first annual meeting of stockholders to be held after the</w:t>
      </w:r>
    </w:p>
    <w:p>
      <w:pPr>
        <w:spacing w:after="0" w:line="398" w:lineRule="exact"/>
        <w:rPr>
          <w:sz w:val="20"/>
          <w:szCs w:val="20"/>
          <w:color w:val="auto"/>
        </w:rPr>
      </w:pPr>
    </w:p>
    <w:p>
      <w:pPr>
        <w:sectPr>
          <w:pgSz w:w="11900" w:h="16838" w:orient="portrait"/>
          <w:cols w:equalWidth="0" w:num="3">
            <w:col w:w="400" w:space="260"/>
            <w:col w:w="2420" w:space="720"/>
            <w:col w:w="7400"/>
          </w:cols>
          <w:pgMar w:left="320" w:top="229" w:right="37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hanging="4"/>
        <w:spacing w:after="0" w:line="318" w:lineRule="auto"/>
        <w:rPr>
          <w:sz w:val="20"/>
          <w:szCs w:val="20"/>
          <w:color w:val="auto"/>
        </w:rPr>
      </w:pPr>
      <w:r>
        <w:rPr>
          <w:rFonts w:ascii="Arial" w:cs="Arial" w:eastAsia="Arial" w:hAnsi="Arial"/>
          <w:sz w:val="17"/>
          <w:szCs w:val="17"/>
          <w:color w:val="auto"/>
        </w:rPr>
        <w:t>the Class II directors will be completion of this offering;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and their terms will expire at the second annual meeting of stockholders to be held after the</w:t>
      </w:r>
    </w:p>
    <w:p>
      <w:pPr>
        <w:spacing w:after="0" w:line="398" w:lineRule="exact"/>
        <w:rPr>
          <w:sz w:val="20"/>
          <w:szCs w:val="20"/>
          <w:color w:val="auto"/>
        </w:rPr>
      </w:pPr>
    </w:p>
    <w:p>
      <w:pPr>
        <w:sectPr>
          <w:pgSz w:w="11900" w:h="16838" w:orient="portrait"/>
          <w:cols w:equalWidth="0" w:num="3">
            <w:col w:w="400" w:space="260"/>
            <w:col w:w="2460" w:space="720"/>
            <w:col w:w="7360"/>
          </w:cols>
          <w:pgMar w:left="320" w:top="229" w:right="37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20" w:hanging="4"/>
        <w:spacing w:after="0" w:line="287" w:lineRule="auto"/>
        <w:rPr>
          <w:sz w:val="20"/>
          <w:szCs w:val="20"/>
          <w:color w:val="auto"/>
        </w:rPr>
      </w:pPr>
      <w:r>
        <w:rPr>
          <w:rFonts w:ascii="Arial" w:cs="Arial" w:eastAsia="Arial" w:hAnsi="Arial"/>
          <w:sz w:val="18"/>
          <w:szCs w:val="18"/>
          <w:color w:val="auto"/>
        </w:rPr>
        <w:t>the Class III directors will be completion of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and their terms will expire at the third annual meeting of stockholders to be held after the</w:t>
      </w:r>
    </w:p>
    <w:p>
      <w:pPr>
        <w:spacing w:after="0" w:line="387" w:lineRule="exact"/>
        <w:rPr>
          <w:sz w:val="20"/>
          <w:szCs w:val="20"/>
          <w:color w:val="auto"/>
        </w:rPr>
      </w:pPr>
    </w:p>
    <w:p>
      <w:pPr>
        <w:sectPr>
          <w:pgSz w:w="11900" w:h="16838" w:orient="portrait"/>
          <w:cols w:equalWidth="0" w:num="3">
            <w:col w:w="400" w:space="260"/>
            <w:col w:w="2660" w:space="720"/>
            <w:col w:w="7160"/>
          </w:cols>
          <w:pgMar w:left="320" w:top="229" w:right="379" w:bottom="1440" w:gutter="0" w:footer="0" w:header="0"/>
          <w:type w:val="continuous"/>
        </w:sectPr>
      </w:pPr>
    </w:p>
    <w:p>
      <w:pPr>
        <w:ind w:right="260" w:firstLine="324"/>
        <w:spacing w:after="0" w:line="259"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amended and restated certificate of incorporation and restated bylaws to be in effect upon the completion of this offering will authorize only our board of directors to fill vacancies on our board of directors. This classification of our board of directors may have the effect of delaying or preventing changes in control of our company. See the section titled “Description of Capital Stock—Anti-Takeover Provisions.”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In connection with this offering, we intend to list our Class A common stock on Nasdaq. Under Nasdaq rules independent directors must comprise a majority of a listed company’s board of directors within a specified period after the completion of this offering. In addition, the Nasdaq rules require that, subject to specified exceptions, each member of a listed company’s audit, compensation and nominating and governance committees be independent. Under the Nasdaq rules a director will only qualify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320" w:top="229" w:right="37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“independent director” if, in the opinion of that company’s board of directors, that person does not have a relationship that would interfere with the exercise of independent judgment in carrying out the responsibilities of a director.</w:t>
      </w:r>
    </w:p>
    <w:p>
      <w:pPr>
        <w:spacing w:after="0" w:line="99" w:lineRule="exact"/>
        <w:rPr>
          <w:sz w:val="20"/>
          <w:szCs w:val="20"/>
          <w:color w:val="auto"/>
        </w:rPr>
      </w:pPr>
    </w:p>
    <w:p>
      <w:pPr>
        <w:ind w:right="720" w:firstLine="324"/>
        <w:spacing w:after="0" w:line="287"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9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12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their ability to exercise independent judgment in carrying out his or her responsibilities. As a result of this review, our board of directors determined that Ms. Liang and Messrs. Horowitz, Kourey, Janmohamed, Patnam, Williams, and Zeev are “independent directors”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Board in Risk Oversight Process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our board of directors at regular board meetings as part of management presentations that focus on particular business functions, operations or strategies, and presents the steps taken by management to mitigate or eliminate such risks.</w:t>
      </w:r>
    </w:p>
    <w:p>
      <w:pPr>
        <w:spacing w:after="0" w:line="128" w:lineRule="exact"/>
        <w:rPr>
          <w:sz w:val="20"/>
          <w:szCs w:val="20"/>
          <w:color w:val="auto"/>
        </w:rPr>
      </w:pPr>
    </w:p>
    <w:p>
      <w:pPr>
        <w:ind w:right="360" w:firstLine="324"/>
        <w:spacing w:after="0" w:line="255"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and cybersecurity exposures and the steps our management has taken to monitor and control these exposures. The audit committee also approves or disapproves any related person transactions. Our nominating and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will adopt, effective prior to the completion of this offering, corporate governance guidelines that provide that one</w:t>
      </w:r>
    </w:p>
    <w:p>
      <w:pPr>
        <w:spacing w:after="0" w:line="27"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of our independent directors will serve as our lead independent director. Our board of directors has appointed to serve as our lead independent director. As lead independent director, will provide leadership to our board of directors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229"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circumstances arise in which the role of our Chief Executive Officer and chairperson of our board of directors may be, or may be perceived to be, in conflict, and perform such additional duties as our board of directors may otherwise determine and delegate.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Our audit committee is composed of , , and . is the chair of our audit committee. The members of our audit committee meet the independence requirements under and SEC rules. Each member of our audit committee is financially literate. In addition, our board of directors has determined that is an “audit committee financial expert” as that term is defined in Item</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407(d)(5)(ii) of Regulation S-K promulgated under the Securities Act. This designation does not, however, impose on them any supplemental duties, obligations or liabilities beyond those that are generally applicable to the other members of our audit committee and board of directors. Our audit committee’s principal functions are to assist our board of directors in its oversight of:</w:t>
      </w:r>
    </w:p>
    <w:p>
      <w:pPr>
        <w:spacing w:after="0" w:line="124"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selecting a firm to serve as our independent registered public accounting firm to audit our consolidated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71" w:lineRule="exact"/>
        <w:rPr>
          <w:rFonts w:ascii="Arial" w:cs="Arial" w:eastAsia="Arial" w:hAnsi="Arial"/>
          <w:sz w:val="18"/>
          <w:szCs w:val="18"/>
          <w:color w:val="auto"/>
        </w:rPr>
      </w:pPr>
    </w:p>
    <w:p>
      <w:pPr>
        <w:ind w:left="660" w:right="1020" w:hanging="328"/>
        <w:spacing w:after="0" w:line="28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results of operations;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related party transactions that are material or otherwise implicate disclosure requirements;</w:t>
      </w:r>
    </w:p>
    <w:p>
      <w:pPr>
        <w:spacing w:after="0" w:line="171"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performed by the independent registered public accounting firm;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legal and regulatory compliance matters, including risks related to data privacy, information security, and cybersecurity.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9" w:lineRule="exact"/>
        <w:rPr>
          <w:sz w:val="20"/>
          <w:szCs w:val="20"/>
          <w:color w:val="auto"/>
        </w:rPr>
      </w:pPr>
    </w:p>
    <w:p>
      <w:pPr>
        <w:ind w:right="280" w:firstLine="324"/>
        <w:spacing w:after="0" w:line="260" w:lineRule="auto"/>
        <w:rPr>
          <w:sz w:val="20"/>
          <w:szCs w:val="20"/>
          <w:color w:val="auto"/>
        </w:rPr>
      </w:pPr>
      <w:r>
        <w:rPr>
          <w:rFonts w:ascii="Arial" w:cs="Arial" w:eastAsia="Arial" w:hAnsi="Arial"/>
          <w:sz w:val="18"/>
          <w:szCs w:val="18"/>
          <w:color w:val="auto"/>
        </w:rPr>
        <w:t>Our compensation committee is composed of , , and . is the chair of our compensation committee. The members of our compensation committee meet the independence requirements under and SEC rules. Each member of this</w:t>
      </w:r>
    </w:p>
    <w:p>
      <w:pPr>
        <w:spacing w:after="0" w:line="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committee is also a “non-employee director” within the meaning of Rule 16b-3 under the Exchange Act. Our compensation committee is responsible for, among other things:</w:t>
      </w:r>
    </w:p>
    <w:p>
      <w:pPr>
        <w:spacing w:after="0" w:line="117"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147</w:t>
      </w:r>
    </w:p>
    <w:p>
      <w:pPr>
        <w:sectPr>
          <w:pgSz w:w="11900" w:h="16838" w:orient="portrait"/>
          <w:cols w:equalWidth="0" w:num="1">
            <w:col w:w="11200"/>
          </w:cols>
          <w:pgMar w:left="320" w:top="229" w:right="37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non-employee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terms of any compensatory agreements with our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71"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incentive compensation and equity plans;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establishing our overall compensation philosophy.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6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Our nominating and governance committee is composed of , , and . is the chair of our nominating and governance committee. The members of our nominating and governance committee meet the independence requirements under and SEC rules. Our nominating and governance committee’s principal functions include:</w:t>
      </w:r>
    </w:p>
    <w:p>
      <w:pPr>
        <w:spacing w:after="0" w:line="117"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any changes to our corporate governance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for directors and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overseeing any program relating to corporate responsibility and sustainability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advising our board of directors on governance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has served as a member of the board of directors, or as a member of the compensation or similar committee, of any entity that has one or more executive officers who served on our board or compensation committee during fiscal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Compensation Prior to this Offering</w:t>
      </w:r>
    </w:p>
    <w:p>
      <w:pPr>
        <w:spacing w:after="0" w:line="169"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Before this offering, we did not have a formal policy to provide any cash or equity compensation to our non-employee directors for their service on our board of directors or committees of our board of directors.</w:t>
      </w:r>
    </w:p>
    <w:p>
      <w:pPr>
        <w:spacing w:after="0" w:line="9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In October 2024, we granted Michael Kourey an RSU award with respect to 729,884 shares of our Class A common stock in connection with his appointment to our board of directors. These RSUs are subject to the same time- and service-based and performance-based conditions as those granted to our named executive officers in fiscal 2025. See the section titled “Executive Compensation—Equity-Based Incentive Awards—RSUs Granted in Fiscal 2025.”</w:t>
      </w:r>
    </w:p>
    <w:p>
      <w:pPr>
        <w:spacing w:after="0" w:line="12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In addition, in October 2022, we granted Clara Liang an option to purchase 200,000 shares of Class A common stock in connection with her appointment to our board of directors, which option vests as to 25% of the underlying shares on the one-year anniversary of the September 27, 2022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320" w:top="229" w:right="37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commencement date, and as to the remaining 75% of the underlying shares in equal monthly installments over the following three years, subject to continued service as a director. In connection with the repricing described below under “Executive Compensation—Equity-Based Incentive Awards—Stock Option Repricing,” in August 2024, the exercise price of this option was reduced to $5.42. The number of shares of our Class A common stock underlying the option, the vesting schedule and the expiration date were unchanged. The incremental compensation expense associated with the repricing of this option is set forth in the “Option Awards” column of the Director Compensation for Fiscal 2025 table below.</w:t>
      </w:r>
    </w:p>
    <w:p>
      <w:pPr>
        <w:spacing w:after="0" w:line="128"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Previously, in June 2021, we granted Ms. Liang an option to purchase 20,000 shares of Class A common stock as compensation for certain consulting services provided to us, which option was fully vested as of January 31,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2025</w:t>
      </w:r>
    </w:p>
    <w:p>
      <w:pPr>
        <w:spacing w:after="0" w:line="171"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Our employee directors, Messrs. Cohen and Twig, and Ms. Butte, who served on our board of directors during a portion of fiscal 2025 and now serves as our Chief Financial Officer, did not receive any compensation for their service as directors for fiscal 2025. All compensation paid to Messrs. Cohen and Twig is set forth above in the section titled “Executive Compensation—Summary Compensation Table.”</w:t>
      </w:r>
    </w:p>
    <w:p>
      <w:pPr>
        <w:spacing w:after="0" w:line="122"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Other than as disclosed in the table below, we did not pay any fees to, make any equity awards or non-equity incentive awards to, or pay any other compensation to the non-employee directors of our board of directors in fiscal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8"/>
                <w:szCs w:val="18"/>
                <w:b w:val="1"/>
                <w:bCs w:val="1"/>
                <w:color w:val="auto"/>
                <w:vertAlign w:val="superscript"/>
              </w:rPr>
              <w:t>(1)</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(2)</w:t>
            </w:r>
          </w:p>
        </w:tc>
        <w:tc>
          <w:tcPr>
            <w:tcW w:w="156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 ($)</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 Horowitz</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Arif Janmohamed</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Clara Liang</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59,661</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Michael Kourey</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Sandesh Patnam</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Anré Williams</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Oren Zeev</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5"/>
        </w:trPr>
        <w:tc>
          <w:tcPr>
            <w:tcW w:w="6260" w:type="dxa"/>
            <w:vAlign w:val="bottom"/>
          </w:tcPr>
          <w:p>
            <w:pPr>
              <w:spacing w:after="0"/>
              <w:rPr>
                <w:sz w:val="20"/>
                <w:szCs w:val="20"/>
                <w:color w:val="auto"/>
              </w:rPr>
            </w:pPr>
            <w:r>
              <w:rPr>
                <w:rFonts w:ascii="Arial" w:cs="Arial" w:eastAsia="Arial" w:hAnsi="Arial"/>
                <w:sz w:val="16"/>
                <w:szCs w:val="16"/>
                <w:color w:val="auto"/>
              </w:rPr>
              <w:t>______________</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ind w:left="340" w:right="60" w:hanging="332"/>
        <w:spacing w:after="0" w:line="253" w:lineRule="auto"/>
        <w:tabs>
          <w:tab w:leader="none" w:pos="335" w:val="left"/>
        </w:tabs>
        <w:numPr>
          <w:ilvl w:val="0"/>
          <w:numId w:val="94"/>
        </w:numPr>
        <w:rPr>
          <w:rFonts w:ascii="Arial" w:cs="Arial" w:eastAsia="Arial" w:hAnsi="Arial"/>
          <w:sz w:val="16"/>
          <w:szCs w:val="16"/>
          <w:color w:val="auto"/>
        </w:rPr>
      </w:pPr>
      <w:r>
        <w:rPr>
          <w:rFonts w:ascii="Arial" w:cs="Arial" w:eastAsia="Arial" w:hAnsi="Arial"/>
          <w:sz w:val="16"/>
          <w:szCs w:val="16"/>
          <w:color w:val="auto"/>
        </w:rPr>
        <w:t>On October 16, 2024, Mr. Kourey was granted a RSU award under our 2015 Plan subject to a performance-based vesting condition and time- and service-based vesting conditions. As of the applicable grant date and January 31, 2025, we had not recognized stock-based compensation expense for this award because achievement of the performance-based vesting condition was not deemed probable as of any such date. As a result, no value is included in the table for this award. Assuming achievement of the performance-based vesting condition, the aggregate grant date fair value of the RSU award granted to Mr. Kourey was $4,897,522, computed in accordance with Financial Accounting Standards Board Accounting Standards Codification Topic 718, Compensation—Stock Compensation, or ASC 718. This amount does not necessarily correspond to the actual value that may be realized by Mr. Kourey. The assumptions used in calculating the grant date fair value of this RSU award are set forth in Note 10, “Equity Incentive Plan” to our consolidated financial statements included elsewhere in this prospectus. As of January 31, 2025, all 729,884 RSUs granted to Mr. Kourey remained outstanding and unvested.</w:t>
      </w:r>
    </w:p>
    <w:p>
      <w:pPr>
        <w:spacing w:after="0" w:line="5" w:lineRule="exact"/>
        <w:rPr>
          <w:rFonts w:ascii="Arial" w:cs="Arial" w:eastAsia="Arial" w:hAnsi="Arial"/>
          <w:sz w:val="16"/>
          <w:szCs w:val="16"/>
          <w:color w:val="auto"/>
        </w:rPr>
      </w:pPr>
    </w:p>
    <w:p>
      <w:pPr>
        <w:ind w:left="340" w:right="80" w:hanging="332"/>
        <w:spacing w:after="0" w:line="256" w:lineRule="auto"/>
        <w:tabs>
          <w:tab w:leader="none" w:pos="33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amount reported with respect to Ms. Liang represents the incremental fair value in connection with the repricing on August 12, 2024 of Ms. Liang’s option to purchase 200,000 shares of our Class A common stock, computed in accordance with ASC 718, as described above under “Director Compensation.” See the section titled “Executive Compensation—Equity-Based Incentive Awards—Stock Option Repricing” for more information. The assumptions used in the calculation of this amount are included in Note 10, “Equity Incentive Plan” to our consolidated financial statements included elsewhere in this prospectus. As of January 31, 2025, this option was vested and exercisable with respect to 116,666 shares and unvested with respect to 83,334 shares. Previously, in June 2021, we granted Ms. Liang an option to purchase 20,000 shares of Class A common stock as compensation for certain consulting services provided to us, which option was fully vested as of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229"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Compensation Policy</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In connection with this offering, we intend to adopt a non-employee director compensation policy pursuant to which our non-employee directors will be eligible to receive compensation for service on our board of directors and the committees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960"/>
          </w:cols>
          <w:pgMar w:left="320" w:top="229" w:right="61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In fiscal 2025, our named executive officers, consisting of our principal executive officer and the next two most highly compensated executive officers as of January 31, 2025, were:</w:t>
      </w:r>
    </w:p>
    <w:p>
      <w:pPr>
        <w:spacing w:after="0" w:line="117"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Ariel Cohen, our co-founder, chairperson of our board of directors,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Ilan Twig, our co-founder, a member of our board of directors and our Chief Technology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Michael Sindicich, our President.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1"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earned by, or paid to our named executive officers for fiscal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 Awards($)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Year</w:t>
            </w:r>
          </w:p>
        </w:tc>
        <w:tc>
          <w:tcPr>
            <w:tcW w:w="14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Salary($)</w:t>
            </w: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(1)</w:t>
            </w: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Compensation ($)</w:t>
            </w:r>
          </w:p>
        </w:tc>
        <w:tc>
          <w:tcPr>
            <w:tcW w:w="13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92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20" w:type="dxa"/>
            <w:vAlign w:val="bottom"/>
          </w:tcPr>
          <w:p>
            <w:pPr>
              <w:jc w:val="right"/>
              <w:ind w:right="522"/>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9"/>
                <w:szCs w:val="9"/>
                <w:b w:val="1"/>
                <w:bCs w:val="1"/>
                <w:color w:val="auto"/>
              </w:rPr>
              <w:t>(3)</w:t>
            </w: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8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Ariel Cohen,</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2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8"/>
                <w:szCs w:val="18"/>
                <w:i w:val="1"/>
                <w:iCs w:val="1"/>
                <w:color w:val="auto"/>
              </w:rPr>
              <w:t>Co-founder, Chairperson of our</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2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i w:val="1"/>
                <w:iCs w:val="1"/>
                <w:color w:val="auto"/>
              </w:rPr>
              <w:t>board of directors, and Chief</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816,667</w:t>
            </w:r>
          </w:p>
        </w:tc>
        <w:tc>
          <w:tcPr>
            <w:tcW w:w="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812,921</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1,629,840</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Officer</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Ilan Twig,</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20" w:type="dxa"/>
            <w:vAlign w:val="bottom"/>
            <w:gridSpan w:val="2"/>
          </w:tcPr>
          <w:p>
            <w:pPr>
              <w:ind w:left="20"/>
              <w:spacing w:after="0" w:line="186" w:lineRule="exact"/>
              <w:rPr>
                <w:sz w:val="20"/>
                <w:szCs w:val="20"/>
                <w:color w:val="auto"/>
              </w:rPr>
            </w:pPr>
            <w:r>
              <w:rPr>
                <w:rFonts w:ascii="Arial" w:cs="Arial" w:eastAsia="Arial" w:hAnsi="Arial"/>
                <w:sz w:val="18"/>
                <w:szCs w:val="18"/>
                <w:i w:val="1"/>
                <w:iCs w:val="1"/>
                <w:color w:val="auto"/>
              </w:rPr>
              <w:t>Co-founder, a member of our</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20" w:type="dxa"/>
            <w:vAlign w:val="bottom"/>
            <w:gridSpan w:val="2"/>
          </w:tcPr>
          <w:p>
            <w:pPr>
              <w:ind w:left="180"/>
              <w:spacing w:after="0" w:line="179" w:lineRule="exact"/>
              <w:rPr>
                <w:sz w:val="20"/>
                <w:szCs w:val="20"/>
                <w:color w:val="auto"/>
              </w:rPr>
            </w:pPr>
            <w:r>
              <w:rPr>
                <w:rFonts w:ascii="Arial" w:cs="Arial" w:eastAsia="Arial" w:hAnsi="Arial"/>
                <w:sz w:val="18"/>
                <w:szCs w:val="18"/>
                <w:i w:val="1"/>
                <w:iCs w:val="1"/>
                <w:color w:val="auto"/>
              </w:rPr>
              <w:t>board of directors, and Chief</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2025</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575,357</w:t>
            </w:r>
          </w:p>
        </w:tc>
        <w:tc>
          <w:tcPr>
            <w:tcW w:w="80" w:type="dxa"/>
            <w:vAlign w:val="bottom"/>
          </w:tcPr>
          <w:p>
            <w:pPr>
              <w:spacing w:after="0"/>
              <w:rPr>
                <w:sz w:val="15"/>
                <w:szCs w:val="15"/>
                <w:color w:val="auto"/>
              </w:rPr>
            </w:pPr>
          </w:p>
        </w:tc>
        <w:tc>
          <w:tcPr>
            <w:tcW w:w="1400" w:type="dxa"/>
            <w:vAlign w:val="bottom"/>
            <w:gridSpan w:val="2"/>
            <w:vMerge w:val="restart"/>
          </w:tcPr>
          <w:p>
            <w:pPr>
              <w:ind w:left="106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2"/>
              <w:spacing w:after="0"/>
              <w:rPr>
                <w:sz w:val="20"/>
                <w:szCs w:val="20"/>
                <w:color w:val="auto"/>
              </w:rPr>
            </w:pPr>
            <w:r>
              <w:rPr>
                <w:rFonts w:ascii="Arial" w:cs="Arial" w:eastAsia="Arial" w:hAnsi="Arial"/>
                <w:sz w:val="18"/>
                <w:szCs w:val="18"/>
                <w:color w:val="auto"/>
              </w:rPr>
              <w:t>900,087</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1,475,474</w:t>
            </w: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line="230" w:lineRule="exact"/>
              <w:rPr>
                <w:sz w:val="20"/>
                <w:szCs w:val="20"/>
                <w:color w:val="auto"/>
              </w:rPr>
            </w:pPr>
            <w:r>
              <w:rPr>
                <w:rFonts w:ascii="Arial" w:cs="Arial" w:eastAsia="Arial" w:hAnsi="Arial"/>
                <w:sz w:val="18"/>
                <w:szCs w:val="18"/>
                <w:i w:val="1"/>
                <w:iCs w:val="1"/>
                <w:color w:val="auto"/>
              </w:rPr>
              <w:t>Technology Officer</w:t>
            </w:r>
            <w:r>
              <w:rPr>
                <w:rFonts w:ascii="Arial" w:cs="Arial" w:eastAsia="Arial" w:hAnsi="Arial"/>
                <w:sz w:val="23"/>
                <w:szCs w:val="23"/>
                <w:i w:val="1"/>
                <w:iCs w:val="1"/>
                <w:color w:val="auto"/>
                <w:vertAlign w:val="superscript"/>
              </w:rPr>
              <w:t>(4)</w:t>
            </w: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Michael Sindicich,</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1,363,642</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2,113,894</w:t>
            </w: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President</w:t>
            </w: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60" w:hanging="332"/>
        <w:spacing w:after="0" w:line="253" w:lineRule="auto"/>
        <w:tabs>
          <w:tab w:leader="none" w:pos="3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During fiscal 2025, Mr. Sindicich was granted an RSU award under our 2015 Plan, subject to a performance-based vesting condition and time- and service-based vesting conditions. As of the applicable grant date and January 31, 2025, we had not recognized stock-based compensation expense for this award because achievement of the performance-based vesting condition was not deemed probable as of any such date. As a result, no value is included in the table for this award. Assuming achievement of the performance-based vesting condition, the aggregate grant date fair value of the RSU award for Mr. Sindicich was $2,092,150, computed in accordance with ASC 718. The assumptions used in calculating the grant date fair value of the RSU award are set forth in Note 10, “Equity Incentive Plan” to our consolidated financial statements included elsewhere in this prospectus. This amount does not necessarily correspond to the actual value that may be realized by Mr. Sindicich. See the section titled “—Equity-Based Incentive Awards” below for additional information.</w:t>
      </w:r>
    </w:p>
    <w:p>
      <w:pPr>
        <w:ind w:left="340" w:right="40" w:hanging="332"/>
        <w:spacing w:after="0" w:line="254" w:lineRule="auto"/>
        <w:tabs>
          <w:tab w:leader="none" w:pos="3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amount reported with respect to Mr. Sindicich includes the grant date fair value of an option award granted to him during fiscal 2025 under our 2015 Plan, computed in accordance with ASC 718. The assumptions used in the calculation of this amount is included in Note 10, “Equity Incentive Plan” to our consolidated financial statements included elsewhere in this prospectus. This amount does not necessarily correspond to the actual value that may be realized by Mr. Sindicich. See the section titled “—Equity-Based Incentive Awards” below for additional information.</w:t>
      </w:r>
    </w:p>
    <w:p>
      <w:pPr>
        <w:ind w:left="340" w:right="360"/>
        <w:spacing w:after="0" w:line="260" w:lineRule="auto"/>
        <w:rPr>
          <w:rFonts w:ascii="Arial" w:cs="Arial" w:eastAsia="Arial" w:hAnsi="Arial"/>
          <w:sz w:val="16"/>
          <w:szCs w:val="16"/>
          <w:color w:val="auto"/>
        </w:rPr>
      </w:pPr>
      <w:r>
        <w:rPr>
          <w:rFonts w:ascii="Arial" w:cs="Arial" w:eastAsia="Arial" w:hAnsi="Arial"/>
          <w:sz w:val="16"/>
          <w:szCs w:val="16"/>
          <w:color w:val="auto"/>
        </w:rPr>
        <w:t>The amounts reported with respect to Messrs. Cohen, Twig, and Sindicich include $812,921, $900,087 and $195,101, respectively, of aggregate incremental fair value in connection with the repricing of certain option awards on August 12, 2024, computed in accordance with ASC 718, as described below under “—Equity-Based Incentive Awards—Stock Option Repricing.” The assumptions used in the calculation of these amounts are included in Note 10, “Equity Incentive Plan” to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229"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For each of the named executive officers, “All Other Compensation” reflects term life insurance premium payments by us.</w:t>
      </w:r>
    </w:p>
    <w:p>
      <w:pPr>
        <w:spacing w:after="0" w:line="21" w:lineRule="exact"/>
        <w:rPr>
          <w:rFonts w:ascii="Arial" w:cs="Arial" w:eastAsia="Arial" w:hAnsi="Arial"/>
          <w:sz w:val="16"/>
          <w:szCs w:val="16"/>
          <w:color w:val="auto"/>
        </w:rPr>
      </w:pPr>
    </w:p>
    <w:p>
      <w:pPr>
        <w:jc w:val="both"/>
        <w:ind w:left="340" w:right="60" w:hanging="332"/>
        <w:spacing w:after="0" w:line="264"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Mr. Twig was located in the United States for a portion of fiscal 2025, during which he was compensated in U.S. dollars, and in Israel for a portion of the year, during which he was compensated in ILS. The 1,571,250 ILS paid to Mr. Twig for the portion of the year he was located in Israel was converted to U.S. dollars at the average ILS to U.S. dollar conversion rate for the period from February 1, 2024 to January 1, 2025, which was .2711.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71"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Prior to the completion of this offering, we intend to enter into offer letters setting forth the terms and conditions of employment for each of our named executive officers as described below.</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Ariel Cohen</w:t>
      </w:r>
    </w:p>
    <w:p>
      <w:pPr>
        <w:spacing w:after="0" w:line="169"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Prior to the completion of this offering, we intend to enter into a confirmatory offer letter with Mr. Cohen. The letter agreement is not expected to have a specific term and will provide that Mr. Cohen is an at-will employee. Mr. Cohen’s current annual base salary is $1,000,000, and his target bonus for fiscal 2026 is $400,000.</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Ilan Twig</w:t>
      </w:r>
    </w:p>
    <w:p>
      <w:pPr>
        <w:spacing w:after="0" w:line="16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Prior to the completion of this offering, we intend to enter into a confirmatory offer letter with Mr. Twig. The letter agreement is not expected to have a specific term and will provide that Mr. Twig is an at-will employee. Mr. Twig’s current annual base salary is $700,000, and his target bonus for fiscal 2026 is $300,000.</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Michael Sindicich</w:t>
      </w:r>
    </w:p>
    <w:p>
      <w:pPr>
        <w:spacing w:after="0" w:line="169"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Prior to the completion of this offering, we intend to enter into a confirmatory offer letter with Mr. Sindicich. The letter agreement is not expected to have a specific term and will provide that Mr. Sindicich is an at-will employee. Mr. Sindicich’s current annual base salary is $750,000.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Incentive Awards</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We have historically granted equity incentive compensation to our executive officers primarily in the form of time-vesting stock options. In fiscal 2025, however, we granted RSUs that are subject to both a time- and service-based condition and a performance condition to Mr. Sindicich, in addition to stock options. All outstanding equity awards held by our named executive officers were granted under our 2015 Plan.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 Granted in Fiscal 2025</w:t>
      </w:r>
    </w:p>
    <w:p>
      <w:pPr>
        <w:spacing w:after="0" w:line="169"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In January 2025, we granted Mr. Sindicich an option to purchase 262,697 shares of our Class A common stock. This option has an exercise price of $6.77 per share and vests and becomes exercisable with respect to 25% of the total number of shares subject to such option on the one-year anniversary of vesting commencement date, and 1/48 of the total number of shares subject to such option monthly thereafter, subject to Mr. Sindicich’s continued service on each vesting date.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 Granted in Fiscal 2025</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January 2025, we also granted Mr. Sindicich RSUs settleable for 280,449 shares of our Class A common stock. These RSUs become vested on the date that both the applicable time- and service-based condition and the applicable performance condition have been satisfied. The time and service condition will be satisfied with respect to (i) 25% of the total number of such RSUs on the first anniversary of the vesting commencement date, provided that the Initial Vesting Event (as defined below) has not occurred before such date, or 1/16th of the total number of such RSUs for each Quarterly Vesting Date (as defined below) that occurred between the vesting commencement date and Initial Vesting Event and (ii) an additional 1/16th of the total number of such RSUs thereafter on each subsequent March 20, June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229" w:right="3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September 20 and December 20, or each, a Quarterly Vesting Date, subject in each case to Mr. Sindicich’s continued service through each such vesting date.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performance condition will be deemed satisfied as of the effective date of this offering.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Repricing</w:t>
      </w:r>
    </w:p>
    <w:p>
      <w:pPr>
        <w:spacing w:after="0" w:line="16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July 2024, our board of directors approved the repricing of certain outstanding stock options granted under the 2015 Plan pursuant to which the exercise price of certain options was reduced to $ 5.42 per share (the fair market value of our Class A common stock on the repricing date as determined by our board of directors). The number of shares of our Class A common stock underlying the options, the vesting schedules and the expiration dates, were unchanged. The incremental compensation expense associated with the repricing of the stock options held by our named executive officers is set forth in the “Option Awards” column of the Summary Compensation Table.</w:t>
      </w:r>
    </w:p>
    <w:p>
      <w:pPr>
        <w:spacing w:after="0" w:line="125"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Our board of directors determined that the repricing was in the best interests of our company and stockholders and provided the most effective means of retaining and incentivizing our employees and the non-employee director who participated in the repricing.</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repricing affected the following stock options held by our named executive officers: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underlying repriced</w:t>
            </w:r>
          </w:p>
        </w:tc>
        <w:tc>
          <w:tcPr>
            <w:tcW w:w="2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Exercise prices prior to repricing</w:t>
            </w: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Exercise price of repriced options</w:t>
            </w:r>
          </w:p>
        </w:tc>
        <w:tc>
          <w:tcPr>
            <w:tcW w:w="0" w:type="dxa"/>
            <w:vAlign w:val="bottom"/>
          </w:tcPr>
          <w:p>
            <w:pPr>
              <w:spacing w:after="0"/>
              <w:rPr>
                <w:sz w:val="1"/>
                <w:szCs w:val="1"/>
                <w:color w:val="auto"/>
              </w:rPr>
            </w:pPr>
          </w:p>
        </w:tc>
      </w:tr>
      <w:tr>
        <w:trPr>
          <w:trHeight w:val="185"/>
        </w:trPr>
        <w:tc>
          <w:tcPr>
            <w:tcW w:w="3880" w:type="dxa"/>
            <w:vAlign w:val="bottom"/>
            <w:gridSpan w:val="2"/>
            <w:vMerge w:val="continue"/>
          </w:tcPr>
          <w:p>
            <w:pPr>
              <w:spacing w:after="0"/>
              <w:rPr>
                <w:sz w:val="16"/>
                <w:szCs w:val="16"/>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options</w:t>
            </w:r>
          </w:p>
        </w:tc>
        <w:tc>
          <w:tcPr>
            <w:tcW w:w="2500" w:type="dxa"/>
            <w:vAlign w:val="bottom"/>
            <w:gridSpan w:val="2"/>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Ariel Cohen</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2,083,330</w:t>
            </w:r>
          </w:p>
        </w:tc>
        <w:tc>
          <w:tcPr>
            <w:tcW w:w="8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$6.91</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Ilan Twig</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2,602,560</w:t>
            </w:r>
          </w:p>
        </w:tc>
        <w:tc>
          <w:tcPr>
            <w:tcW w:w="8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$6.66 - $6.91</w:t>
            </w:r>
          </w:p>
        </w:tc>
        <w:tc>
          <w:tcPr>
            <w:tcW w:w="1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Sindicich</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500,000</w:t>
            </w: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$6.91</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2025 Year-End</w:t>
      </w:r>
    </w:p>
    <w:p>
      <w:pPr>
        <w:spacing w:after="0" w:line="171"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8"/>
          <w:szCs w:val="18"/>
          <w:color w:val="auto"/>
        </w:rPr>
        <w:t>The following table presents, for each of our named executive officers, information regarding outstanding stock options and stock awards held as of January 31, 2025.</w:t>
      </w:r>
    </w:p>
    <w:p>
      <w:pPr>
        <w:sectPr>
          <w:pgSz w:w="11900" w:h="16838" w:orient="portrait"/>
          <w:cols w:equalWidth="0" w:num="1">
            <w:col w:w="11240"/>
          </w:cols>
          <w:pgMar w:left="320" w:top="229" w:right="339" w:bottom="1440" w:gutter="0" w:footer="0" w:header="0"/>
        </w:sectPr>
      </w:pP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ind w:left="620"/>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6"/>
                <w:szCs w:val="16"/>
                <w:b w:val="1"/>
                <w:bCs w:val="1"/>
                <w:color w:val="auto"/>
                <w:vertAlign w:val="superscript"/>
              </w:rPr>
              <w:t>(1)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Securities</w:t>
            </w:r>
          </w:p>
        </w:tc>
        <w:tc>
          <w:tcPr>
            <w:tcW w:w="13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Securities</w:t>
            </w: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Underlying</w:t>
            </w:r>
          </w:p>
        </w:tc>
        <w:tc>
          <w:tcPr>
            <w:tcW w:w="13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Underlying</w:t>
            </w:r>
          </w:p>
        </w:tc>
        <w:tc>
          <w:tcPr>
            <w:tcW w:w="98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auto"/>
                <w:w w:val="95"/>
              </w:rPr>
              <w:t>Option</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40" w:type="dxa"/>
            <w:vAlign w:val="bottom"/>
          </w:tcPr>
          <w:p>
            <w:pPr>
              <w:spacing w:after="0"/>
              <w:rPr>
                <w:sz w:val="10"/>
                <w:szCs w:val="10"/>
                <w:color w:val="auto"/>
              </w:rPr>
            </w:pPr>
          </w:p>
        </w:tc>
        <w:tc>
          <w:tcPr>
            <w:tcW w:w="1980" w:type="dxa"/>
            <w:vAlign w:val="bottom"/>
            <w:vMerge w:val="restart"/>
          </w:tcPr>
          <w:p>
            <w:pPr>
              <w:jc w:val="center"/>
              <w:ind w:left="257"/>
              <w:spacing w:after="0"/>
              <w:rPr>
                <w:sz w:val="20"/>
                <w:szCs w:val="20"/>
                <w:color w:val="auto"/>
              </w:rPr>
            </w:pPr>
            <w:r>
              <w:rPr>
                <w:rFonts w:ascii="Arial" w:cs="Arial" w:eastAsia="Arial" w:hAnsi="Arial"/>
                <w:sz w:val="13"/>
                <w:szCs w:val="13"/>
                <w:b w:val="1"/>
                <w:bCs w:val="1"/>
                <w:color w:val="auto"/>
                <w:w w:val="97"/>
              </w:rPr>
              <w:t>Vesting</w:t>
            </w:r>
          </w:p>
        </w:tc>
        <w:tc>
          <w:tcPr>
            <w:tcW w:w="1140" w:type="dxa"/>
            <w:vAlign w:val="bottom"/>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Unexercised</w:t>
            </w:r>
          </w:p>
        </w:tc>
        <w:tc>
          <w:tcPr>
            <w:tcW w:w="13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Unexercised</w:t>
            </w:r>
          </w:p>
        </w:tc>
        <w:tc>
          <w:tcPr>
            <w:tcW w:w="980" w:type="dxa"/>
            <w:vAlign w:val="bottom"/>
            <w:vMerge w:val="continue"/>
          </w:tcPr>
          <w:p>
            <w:pPr>
              <w:spacing w:after="0"/>
              <w:rPr>
                <w:sz w:val="10"/>
                <w:szCs w:val="10"/>
                <w:color w:val="auto"/>
              </w:rPr>
            </w:pPr>
          </w:p>
        </w:tc>
        <w:tc>
          <w:tcPr>
            <w:tcW w:w="1140" w:type="dxa"/>
            <w:vAlign w:val="bottom"/>
            <w:vMerge w:val="restart"/>
          </w:tcPr>
          <w:p>
            <w:pPr>
              <w:jc w:val="center"/>
              <w:ind w:left="57"/>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21"/>
        </w:trPr>
        <w:tc>
          <w:tcPr>
            <w:tcW w:w="8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980" w:type="dxa"/>
            <w:vAlign w:val="bottom"/>
            <w:vMerge w:val="continue"/>
          </w:tcPr>
          <w:p>
            <w:pPr>
              <w:spacing w:after="0"/>
              <w:rPr>
                <w:sz w:val="10"/>
                <w:szCs w:val="10"/>
                <w:color w:val="auto"/>
              </w:rPr>
            </w:pPr>
          </w:p>
        </w:tc>
        <w:tc>
          <w:tcPr>
            <w:tcW w:w="114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Grant Date</w:t>
            </w: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Options (#)</w:t>
            </w:r>
          </w:p>
        </w:tc>
        <w:tc>
          <w:tcPr>
            <w:tcW w:w="13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Options (#)</w:t>
            </w:r>
          </w:p>
        </w:tc>
        <w:tc>
          <w:tcPr>
            <w:tcW w:w="980" w:type="dxa"/>
            <w:vAlign w:val="bottom"/>
          </w:tcPr>
          <w:p>
            <w:pPr>
              <w:jc w:val="center"/>
              <w:ind w:left="37"/>
              <w:spacing w:after="0" w:line="122" w:lineRule="exact"/>
              <w:rPr>
                <w:sz w:val="20"/>
                <w:szCs w:val="20"/>
                <w:color w:val="auto"/>
              </w:rPr>
            </w:pPr>
            <w:r>
              <w:rPr>
                <w:rFonts w:ascii="Arial" w:cs="Arial" w:eastAsia="Arial" w:hAnsi="Arial"/>
                <w:sz w:val="13"/>
                <w:szCs w:val="13"/>
                <w:b w:val="1"/>
                <w:bCs w:val="1"/>
                <w:color w:val="auto"/>
                <w:w w:val="97"/>
              </w:rPr>
              <w:t>Exercise</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40" w:type="dxa"/>
            <w:vAlign w:val="bottom"/>
            <w:vMerge w:val="continue"/>
          </w:tcPr>
          <w:p>
            <w:pPr>
              <w:spacing w:after="0"/>
              <w:rPr>
                <w:sz w:val="16"/>
                <w:szCs w:val="16"/>
                <w:color w:val="auto"/>
              </w:rPr>
            </w:pPr>
          </w:p>
        </w:tc>
        <w:tc>
          <w:tcPr>
            <w:tcW w:w="1980" w:type="dxa"/>
            <w:vAlign w:val="bottom"/>
          </w:tcPr>
          <w:p>
            <w:pPr>
              <w:jc w:val="center"/>
              <w:ind w:left="237"/>
              <w:spacing w:after="0"/>
              <w:rPr>
                <w:sz w:val="20"/>
                <w:szCs w:val="20"/>
                <w:color w:val="auto"/>
              </w:rPr>
            </w:pPr>
            <w:r>
              <w:rPr>
                <w:rFonts w:ascii="Arial" w:cs="Arial" w:eastAsia="Arial" w:hAnsi="Arial"/>
                <w:sz w:val="13"/>
                <w:szCs w:val="13"/>
                <w:b w:val="1"/>
                <w:bCs w:val="1"/>
                <w:color w:val="auto"/>
                <w:w w:val="96"/>
              </w:rPr>
              <w:t>Commencement Date</w:t>
            </w:r>
          </w:p>
        </w:tc>
        <w:tc>
          <w:tcPr>
            <w:tcW w:w="114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7"/>
              </w:rPr>
              <w:t>Unexercisable</w:t>
            </w:r>
          </w:p>
        </w:tc>
        <w:tc>
          <w:tcPr>
            <w:tcW w:w="980" w:type="dxa"/>
            <w:vAlign w:val="bottom"/>
          </w:tcPr>
          <w:p>
            <w:pPr>
              <w:jc w:val="center"/>
              <w:ind w:left="37"/>
              <w:spacing w:after="0"/>
              <w:rPr>
                <w:sz w:val="20"/>
                <w:szCs w:val="20"/>
                <w:color w:val="auto"/>
              </w:rPr>
            </w:pPr>
            <w:r>
              <w:rPr>
                <w:rFonts w:ascii="Arial" w:cs="Arial" w:eastAsia="Arial" w:hAnsi="Arial"/>
                <w:sz w:val="13"/>
                <w:szCs w:val="13"/>
                <w:b w:val="1"/>
                <w:bCs w:val="1"/>
                <w:color w:val="auto"/>
                <w:w w:val="92"/>
              </w:rPr>
              <w:t>Price($)</w:t>
            </w:r>
            <w:r>
              <w:rPr>
                <w:rFonts w:ascii="Arial" w:cs="Arial" w:eastAsia="Arial" w:hAnsi="Arial"/>
                <w:sz w:val="16"/>
                <w:szCs w:val="16"/>
                <w:b w:val="1"/>
                <w:bCs w:val="1"/>
                <w:color w:val="auto"/>
                <w:w w:val="92"/>
                <w:vertAlign w:val="superscript"/>
              </w:rPr>
              <w:t>(2)</w:t>
            </w:r>
          </w:p>
        </w:tc>
        <w:tc>
          <w:tcPr>
            <w:tcW w:w="1140" w:type="dxa"/>
            <w:vAlign w:val="bottom"/>
          </w:tcPr>
          <w:p>
            <w:pPr>
              <w:jc w:val="center"/>
              <w:ind w:left="57"/>
              <w:spacing w:after="0"/>
              <w:rPr>
                <w:sz w:val="20"/>
                <w:szCs w:val="20"/>
                <w:color w:val="auto"/>
              </w:rPr>
            </w:pPr>
            <w:r>
              <w:rPr>
                <w:rFonts w:ascii="Arial" w:cs="Arial" w:eastAsia="Arial" w:hAnsi="Arial"/>
                <w:sz w:val="13"/>
                <w:szCs w:val="13"/>
                <w:b w:val="1"/>
                <w:bCs w:val="1"/>
                <w:color w:val="auto"/>
                <w:w w:val="98"/>
              </w:rPr>
              <w:t>Expiration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16"/>
          <w:szCs w:val="16"/>
          <w:b w:val="1"/>
          <w:bCs w:val="1"/>
          <w:color w:val="auto"/>
          <w:vertAlign w:val="superscript"/>
        </w:rPr>
        <w:t>(1)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Equity Incentive</w:t>
            </w:r>
          </w:p>
        </w:tc>
        <w:tc>
          <w:tcPr>
            <w:tcW w:w="12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Equity Incentive</w:t>
            </w:r>
          </w:p>
        </w:tc>
        <w:tc>
          <w:tcPr>
            <w:tcW w:w="0" w:type="dxa"/>
            <w:vAlign w:val="bottom"/>
          </w:tcPr>
          <w:p>
            <w:pPr>
              <w:spacing w:after="0"/>
              <w:rPr>
                <w:sz w:val="1"/>
                <w:szCs w:val="1"/>
                <w:color w:val="auto"/>
              </w:rPr>
            </w:pPr>
          </w:p>
        </w:tc>
      </w:tr>
      <w:tr>
        <w:trPr>
          <w:trHeight w:val="135"/>
        </w:trPr>
        <w:tc>
          <w:tcPr>
            <w:tcW w:w="1240" w:type="dxa"/>
            <w:vAlign w:val="bottom"/>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Plan Awards:</w:t>
            </w:r>
          </w:p>
        </w:tc>
        <w:tc>
          <w:tcPr>
            <w:tcW w:w="0" w:type="dxa"/>
            <w:vAlign w:val="bottom"/>
          </w:tcPr>
          <w:p>
            <w:pPr>
              <w:spacing w:after="0"/>
              <w:rPr>
                <w:sz w:val="1"/>
                <w:szCs w:val="1"/>
                <w:color w:val="auto"/>
              </w:rPr>
            </w:pPr>
          </w:p>
        </w:tc>
      </w:tr>
      <w:tr>
        <w:trPr>
          <w:trHeight w:val="122"/>
        </w:trPr>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Plan Awards:</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Market or Payout</w:t>
            </w:r>
          </w:p>
        </w:tc>
        <w:tc>
          <w:tcPr>
            <w:tcW w:w="0" w:type="dxa"/>
            <w:vAlign w:val="bottom"/>
          </w:tcPr>
          <w:p>
            <w:pPr>
              <w:spacing w:after="0"/>
              <w:rPr>
                <w:sz w:val="1"/>
                <w:szCs w:val="1"/>
                <w:color w:val="auto"/>
              </w:rPr>
            </w:pPr>
          </w:p>
        </w:tc>
      </w:tr>
      <w:tr>
        <w:trPr>
          <w:trHeight w:val="121"/>
        </w:trPr>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Number of</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Value of Unearned</w:t>
            </w:r>
          </w:p>
        </w:tc>
        <w:tc>
          <w:tcPr>
            <w:tcW w:w="0" w:type="dxa"/>
            <w:vAlign w:val="bottom"/>
          </w:tcPr>
          <w:p>
            <w:pPr>
              <w:spacing w:after="0"/>
              <w:rPr>
                <w:sz w:val="1"/>
                <w:szCs w:val="1"/>
                <w:color w:val="auto"/>
              </w:rPr>
            </w:pPr>
          </w:p>
        </w:tc>
      </w:tr>
      <w:tr>
        <w:trPr>
          <w:trHeight w:val="135"/>
        </w:trPr>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Unearned Shares,</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Units or</w:t>
            </w:r>
          </w:p>
        </w:tc>
        <w:tc>
          <w:tcPr>
            <w:tcW w:w="0" w:type="dxa"/>
            <w:vAlign w:val="bottom"/>
          </w:tcPr>
          <w:p>
            <w:pPr>
              <w:spacing w:after="0"/>
              <w:rPr>
                <w:sz w:val="1"/>
                <w:szCs w:val="1"/>
                <w:color w:val="auto"/>
              </w:rPr>
            </w:pPr>
          </w:p>
        </w:tc>
      </w:tr>
      <w:tr>
        <w:trPr>
          <w:trHeight w:val="122"/>
        </w:trPr>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Units or Other</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Other Rights That</w:t>
            </w:r>
          </w:p>
        </w:tc>
        <w:tc>
          <w:tcPr>
            <w:tcW w:w="0" w:type="dxa"/>
            <w:vAlign w:val="bottom"/>
          </w:tcPr>
          <w:p>
            <w:pPr>
              <w:spacing w:after="0"/>
              <w:rPr>
                <w:sz w:val="1"/>
                <w:szCs w:val="1"/>
                <w:color w:val="auto"/>
              </w:rPr>
            </w:pPr>
          </w:p>
        </w:tc>
      </w:tr>
      <w:tr>
        <w:trPr>
          <w:trHeight w:val="121"/>
        </w:trPr>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Rights That Have</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Have Not Vested</w:t>
            </w:r>
          </w:p>
        </w:tc>
        <w:tc>
          <w:tcPr>
            <w:tcW w:w="0" w:type="dxa"/>
            <w:vAlign w:val="bottom"/>
          </w:tcPr>
          <w:p>
            <w:pPr>
              <w:spacing w:after="0"/>
              <w:rPr>
                <w:sz w:val="1"/>
                <w:szCs w:val="1"/>
                <w:color w:val="auto"/>
              </w:rPr>
            </w:pPr>
          </w:p>
        </w:tc>
      </w:tr>
      <w:tr>
        <w:trPr>
          <w:trHeight w:val="189"/>
        </w:trPr>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Not Vested (#)</w:t>
            </w:r>
          </w:p>
        </w:tc>
        <w:tc>
          <w:tcPr>
            <w:tcW w:w="124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w w:val="96"/>
                <w:vertAlign w:val="subscript"/>
              </w:rPr>
              <w:t>($)</w:t>
            </w:r>
            <w:r>
              <w:rPr>
                <w:rFonts w:ascii="Arial" w:cs="Arial" w:eastAsia="Arial" w:hAnsi="Arial"/>
                <w:sz w:val="8"/>
                <w:szCs w:val="8"/>
                <w:b w:val="1"/>
                <w:bCs w:val="1"/>
                <w:color w:val="auto"/>
                <w:w w:val="96"/>
              </w:rPr>
              <w:t>(3)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680" w:space="80"/>
            <w:col w:w="24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154"/>
        </w:trPr>
        <w:tc>
          <w:tcPr>
            <w:tcW w:w="1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Ariel Cohen</w:t>
            </w: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3"/>
                <w:szCs w:val="13"/>
                <w:color w:val="auto"/>
              </w:rPr>
              <w:t>02/01/2021</w:t>
            </w:r>
            <w:r>
              <w:rPr>
                <w:rFonts w:ascii="Arial" w:cs="Arial" w:eastAsia="Arial" w:hAnsi="Arial"/>
                <w:sz w:val="16"/>
                <w:szCs w:val="16"/>
                <w:color w:val="auto"/>
                <w:vertAlign w:val="superscript"/>
              </w:rPr>
              <w:t>(4)(5)</w:t>
            </w: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03/18/2021</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4,784,258</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03/17/2031</w:t>
            </w: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02/01/2023</w:t>
            </w:r>
            <w:r>
              <w:rPr>
                <w:rFonts w:ascii="Arial" w:cs="Arial" w:eastAsia="Arial" w:hAnsi="Arial"/>
                <w:sz w:val="16"/>
                <w:szCs w:val="16"/>
                <w:color w:val="auto"/>
                <w:vertAlign w:val="superscript"/>
              </w:rPr>
              <w:t>(4)(6)</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4/14/2022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1,997,368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2,993,620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04/13/2032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02/01/2023</w:t>
            </w:r>
            <w:r>
              <w:rPr>
                <w:rFonts w:ascii="Arial" w:cs="Arial" w:eastAsia="Arial" w:hAnsi="Arial"/>
                <w:sz w:val="16"/>
                <w:szCs w:val="16"/>
                <w:color w:val="auto"/>
                <w:vertAlign w:val="superscript"/>
              </w:rPr>
              <w:t>(4)(6)(7)</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04/13/2023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632,882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948,553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04/12/2033</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180" w:type="dxa"/>
            <w:vAlign w:val="bottom"/>
          </w:tcPr>
          <w:p>
            <w:pPr>
              <w:ind w:left="20"/>
              <w:spacing w:after="0"/>
              <w:rPr>
                <w:sz w:val="20"/>
                <w:szCs w:val="20"/>
                <w:color w:val="auto"/>
              </w:rPr>
            </w:pPr>
            <w:r>
              <w:rPr>
                <w:rFonts w:ascii="Arial" w:cs="Arial" w:eastAsia="Arial" w:hAnsi="Arial"/>
                <w:sz w:val="13"/>
                <w:szCs w:val="13"/>
                <w:color w:val="auto"/>
              </w:rPr>
              <w:t>Ilan Twig</w:t>
            </w:r>
          </w:p>
        </w:tc>
        <w:tc>
          <w:tcPr>
            <w:tcW w:w="100" w:type="dxa"/>
            <w:vAlign w:val="bottom"/>
          </w:tcPr>
          <w:p>
            <w:pPr>
              <w:spacing w:after="0"/>
              <w:rPr>
                <w:sz w:val="13"/>
                <w:szCs w:val="13"/>
                <w:color w:val="auto"/>
              </w:rPr>
            </w:pPr>
          </w:p>
        </w:tc>
        <w:tc>
          <w:tcPr>
            <w:tcW w:w="1460" w:type="dxa"/>
            <w:vAlign w:val="bottom"/>
          </w:tcPr>
          <w:p>
            <w:pPr>
              <w:ind w:left="20"/>
              <w:spacing w:after="0" w:line="161" w:lineRule="exact"/>
              <w:rPr>
                <w:sz w:val="20"/>
                <w:szCs w:val="20"/>
                <w:color w:val="auto"/>
              </w:rPr>
            </w:pPr>
            <w:r>
              <w:rPr>
                <w:rFonts w:ascii="Arial" w:cs="Arial" w:eastAsia="Arial" w:hAnsi="Arial"/>
                <w:sz w:val="13"/>
                <w:szCs w:val="13"/>
                <w:color w:val="auto"/>
              </w:rPr>
              <w:t>02/01/2021</w:t>
            </w:r>
            <w:r>
              <w:rPr>
                <w:rFonts w:ascii="Arial" w:cs="Arial" w:eastAsia="Arial" w:hAnsi="Arial"/>
                <w:sz w:val="16"/>
                <w:szCs w:val="16"/>
                <w:color w:val="auto"/>
                <w:vertAlign w:val="superscript"/>
              </w:rPr>
              <w:t>(5)</w:t>
            </w: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03/18/2021</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6,217,021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03/17/2031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tcPr>
          <w:p>
            <w:pPr>
              <w:spacing w:after="0"/>
              <w:rPr>
                <w:sz w:val="15"/>
                <w:szCs w:val="15"/>
                <w:color w:val="auto"/>
              </w:rPr>
            </w:pPr>
          </w:p>
        </w:tc>
        <w:tc>
          <w:tcPr>
            <w:tcW w:w="1560" w:type="dxa"/>
            <w:vAlign w:val="bottom"/>
            <w:gridSpan w:val="2"/>
          </w:tcPr>
          <w:p>
            <w:pPr>
              <w:ind w:left="120"/>
              <w:spacing w:after="0" w:line="175" w:lineRule="exact"/>
              <w:rPr>
                <w:sz w:val="20"/>
                <w:szCs w:val="20"/>
                <w:color w:val="auto"/>
              </w:rPr>
            </w:pPr>
            <w:r>
              <w:rPr>
                <w:rFonts w:ascii="Arial" w:cs="Arial" w:eastAsia="Arial" w:hAnsi="Arial"/>
                <w:sz w:val="13"/>
                <w:szCs w:val="13"/>
                <w:color w:val="auto"/>
              </w:rPr>
              <w:t>02/01/2023</w:t>
            </w:r>
            <w:r>
              <w:rPr>
                <w:rFonts w:ascii="Arial" w:cs="Arial" w:eastAsia="Arial" w:hAnsi="Arial"/>
                <w:sz w:val="16"/>
                <w:szCs w:val="16"/>
                <w:color w:val="auto"/>
                <w:vertAlign w:val="superscript"/>
              </w:rPr>
              <w:t>(6)(7)</w:t>
            </w: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01/17/2023</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958,333</w:t>
            </w:r>
          </w:p>
        </w:tc>
        <w:tc>
          <w:tcPr>
            <w:tcW w:w="1380" w:type="dxa"/>
            <w:vAlign w:val="bottom"/>
            <w:gridSpan w:val="3"/>
          </w:tcPr>
          <w:p>
            <w:pPr>
              <w:jc w:val="right"/>
              <w:spacing w:after="0"/>
              <w:rPr>
                <w:sz w:val="20"/>
                <w:szCs w:val="20"/>
                <w:color w:val="auto"/>
              </w:rPr>
            </w:pPr>
            <w:r>
              <w:rPr>
                <w:rFonts w:ascii="Arial" w:cs="Arial" w:eastAsia="Arial" w:hAnsi="Arial"/>
                <w:sz w:val="13"/>
                <w:szCs w:val="13"/>
                <w:color w:val="auto"/>
              </w:rPr>
              <w:t>1,041,667</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01/16/2033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118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3"/>
                <w:szCs w:val="13"/>
                <w:color w:val="auto"/>
              </w:rPr>
              <w:t>02/01/2023</w:t>
            </w:r>
            <w:r>
              <w:rPr>
                <w:rFonts w:ascii="Arial" w:cs="Arial" w:eastAsia="Arial" w:hAnsi="Arial"/>
                <w:sz w:val="16"/>
                <w:szCs w:val="16"/>
                <w:color w:val="auto"/>
                <w:vertAlign w:val="superscript"/>
              </w:rPr>
              <w:t>(6)(7)</w:t>
            </w: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04/13/2023</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288,726</w:t>
            </w:r>
          </w:p>
        </w:tc>
        <w:tc>
          <w:tcPr>
            <w:tcW w:w="1380" w:type="dxa"/>
            <w:vAlign w:val="bottom"/>
            <w:gridSpan w:val="3"/>
          </w:tcPr>
          <w:p>
            <w:pPr>
              <w:jc w:val="right"/>
              <w:spacing w:after="0"/>
              <w:rPr>
                <w:sz w:val="20"/>
                <w:szCs w:val="20"/>
                <w:color w:val="auto"/>
              </w:rPr>
            </w:pPr>
            <w:r>
              <w:rPr>
                <w:rFonts w:ascii="Arial" w:cs="Arial" w:eastAsia="Arial" w:hAnsi="Arial"/>
                <w:sz w:val="13"/>
                <w:szCs w:val="13"/>
                <w:color w:val="auto"/>
              </w:rPr>
              <w:t>313,834</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04/12/2033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Michael Sindicich</w:t>
            </w:r>
          </w:p>
        </w:tc>
        <w:tc>
          <w:tcPr>
            <w:tcW w:w="156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3"/>
                <w:szCs w:val="13"/>
                <w:color w:val="auto"/>
              </w:rPr>
              <w:t>09/14/2018</w:t>
            </w:r>
            <w:r>
              <w:rPr>
                <w:rFonts w:ascii="Arial" w:cs="Arial" w:eastAsia="Arial" w:hAnsi="Arial"/>
                <w:sz w:val="16"/>
                <w:szCs w:val="16"/>
                <w:color w:val="auto"/>
                <w:vertAlign w:val="superscript"/>
              </w:rPr>
              <w:t>(8)</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09/16/2018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149,276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0.2275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09/15/2028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04/01/2020</w:t>
            </w:r>
            <w:r>
              <w:rPr>
                <w:rFonts w:ascii="Arial" w:cs="Arial" w:eastAsia="Arial" w:hAnsi="Arial"/>
                <w:sz w:val="16"/>
                <w:szCs w:val="16"/>
                <w:color w:val="auto"/>
                <w:vertAlign w:val="superscript"/>
              </w:rPr>
              <w:t>(9)</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05/30/2020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05/29/2030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02/06/2021</w:t>
            </w:r>
            <w:r>
              <w:rPr>
                <w:rFonts w:ascii="Arial" w:cs="Arial" w:eastAsia="Arial" w:hAnsi="Arial"/>
                <w:sz w:val="16"/>
                <w:szCs w:val="16"/>
                <w:color w:val="auto"/>
                <w:vertAlign w:val="superscript"/>
              </w:rPr>
              <w:t>(10)</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03/18/2021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744,166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15,834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03/17/2031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02/01/2022</w:t>
            </w:r>
            <w:r>
              <w:rPr>
                <w:rFonts w:ascii="Arial" w:cs="Arial" w:eastAsia="Arial" w:hAnsi="Arial"/>
                <w:sz w:val="16"/>
                <w:szCs w:val="16"/>
                <w:color w:val="auto"/>
                <w:vertAlign w:val="superscript"/>
              </w:rPr>
              <w:t>(11)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04/14/2022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730,552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271,348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04/13/2032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02/01/2023</w:t>
            </w:r>
            <w:r>
              <w:rPr>
                <w:rFonts w:ascii="Arial" w:cs="Arial" w:eastAsia="Arial" w:hAnsi="Arial"/>
                <w:sz w:val="16"/>
                <w:szCs w:val="16"/>
                <w:color w:val="auto"/>
                <w:vertAlign w:val="superscript"/>
              </w:rPr>
              <w:t>(7)(11)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04/13/2023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239,583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260,417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04/12/2033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12/01/2023</w:t>
            </w:r>
            <w:r>
              <w:rPr>
                <w:rFonts w:ascii="Arial" w:cs="Arial" w:eastAsia="Arial" w:hAnsi="Arial"/>
                <w:sz w:val="16"/>
                <w:szCs w:val="16"/>
                <w:color w:val="auto"/>
                <w:vertAlign w:val="superscript"/>
              </w:rPr>
              <w:t>(12)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01/25/2024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352,083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947,917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01/24/2034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12/20/2024</w:t>
            </w:r>
            <w:r>
              <w:rPr>
                <w:rFonts w:ascii="Arial" w:cs="Arial" w:eastAsia="Arial" w:hAnsi="Arial"/>
                <w:sz w:val="16"/>
                <w:szCs w:val="16"/>
                <w:color w:val="auto"/>
                <w:vertAlign w:val="superscript"/>
              </w:rPr>
              <w:t>(13)</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01/22/2025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280,449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2,114,585</w:t>
            </w:r>
          </w:p>
        </w:tc>
      </w:tr>
      <w:tr>
        <w:trPr>
          <w:trHeight w:val="190"/>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12/01/2024</w:t>
            </w:r>
            <w:r>
              <w:rPr>
                <w:rFonts w:ascii="Arial" w:cs="Arial" w:eastAsia="Arial" w:hAnsi="Arial"/>
                <w:sz w:val="16"/>
                <w:szCs w:val="16"/>
                <w:color w:val="auto"/>
                <w:vertAlign w:val="superscript"/>
              </w:rPr>
              <w:t>(12)</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01/22/2025</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262,697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01/21/2035</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31"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All of the outstanding stock options and stock awards were granted under our 2015 Plan.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6"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153</w:t>
      </w:r>
    </w:p>
    <w:p>
      <w:pPr>
        <w:sectPr>
          <w:pgSz w:w="11900" w:h="16838" w:orient="portrait"/>
          <w:cols w:equalWidth="0" w:num="1">
            <w:col w:w="11240"/>
          </w:cols>
          <w:pgMar w:left="320" w:top="229" w:right="339" w:bottom="1440" w:gutter="0" w:footer="0" w:header="0"/>
          <w:type w:val="continuous"/>
        </w:sectPr>
      </w:pPr>
    </w:p>
    <w:bookmarkStart w:id="163" w:name="page164"/>
    <w:bookmarkEnd w:id="1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This column represents the fair value of a share of our Class A common stock on the grant date, as determined by our board of directors.</w:t>
      </w:r>
    </w:p>
    <w:p>
      <w:pPr>
        <w:spacing w:after="0" w:line="21" w:lineRule="exact"/>
        <w:rPr>
          <w:rFonts w:ascii="Arial" w:cs="Arial" w:eastAsia="Arial" w:hAnsi="Arial"/>
          <w:sz w:val="16"/>
          <w:szCs w:val="16"/>
          <w:color w:val="auto"/>
        </w:rPr>
      </w:pPr>
    </w:p>
    <w:p>
      <w:pPr>
        <w:ind w:left="340" w:right="240" w:hanging="332"/>
        <w:spacing w:after="0" w:line="255"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Amounts reported represent the fair value of our Class A common stock of $7.54 per share as of January 31, 2025 as determined by an independent valuation, multiplied by the number of shares reported.</w:t>
      </w:r>
    </w:p>
    <w:p>
      <w:pPr>
        <w:ind w:left="340" w:right="360" w:hanging="332"/>
        <w:spacing w:after="0" w:line="255"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number of securities reported reflects the transfer of a portion of the awards to a constructive trust for the benefit of Mr. Cohen’s former spouse pursuant to a qualified domestic relations order.</w:t>
      </w:r>
    </w:p>
    <w:p>
      <w:pPr>
        <w:ind w:left="340" w:right="40" w:hanging="332"/>
        <w:spacing w:after="0" w:line="252"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This stock option vested in equal monthly installments over 24 months beginning on the one-month anniversary of the vesting commencement date and is fully vested.</w:t>
      </w:r>
    </w:p>
    <w:p>
      <w:pPr>
        <w:spacing w:after="0" w:line="1" w:lineRule="exact"/>
        <w:rPr>
          <w:rFonts w:ascii="Arial" w:cs="Arial" w:eastAsia="Arial" w:hAnsi="Arial"/>
          <w:sz w:val="16"/>
          <w:szCs w:val="16"/>
          <w:color w:val="auto"/>
        </w:rPr>
      </w:pPr>
    </w:p>
    <w:p>
      <w:pPr>
        <w:ind w:left="340" w:right="180" w:hanging="332"/>
        <w:spacing w:after="0" w:line="252"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This stock option vests monthly in equal installments over 48 months beginning on the one-month anniversary of the vesting commencement date, subject to continued service through each applicable vesting date. All shares of Class A common stock underlying this option will be exchangeable for shares of Class B common stock upon the election of Mr. Cohen or Mr. Twig, as applicable, following exercise. This stock option is subject to early exercise and, to the extent shares are issued and unvested as of a given date, such shares will remain subject to a right of repurchase held by us.</w:t>
      </w:r>
    </w:p>
    <w:p>
      <w:pPr>
        <w:ind w:left="340" w:hanging="332"/>
        <w:spacing w:after="0" w:line="255"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Exercise price reflects the repricing on August 12, 2024 of these stock options as described under the section titled “—Equity-Based Incentive Awards— Stock Option Repricing.”</w:t>
      </w:r>
    </w:p>
    <w:p>
      <w:pPr>
        <w:ind w:left="340" w:right="160" w:hanging="332"/>
        <w:spacing w:after="0" w:line="252"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This stock option vested with respect to 25% of the shares subject to the stock option on the one-year anniversary of the vesting commencement date and the remaining 75% of the shares subject to the stock option in equal monthly installments over the following three years and is fully vested.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This stock option vested in equal annual installments on the one-year and two-year anniversaries of the vesting commencement date and is fully vested.</w:t>
      </w:r>
    </w:p>
    <w:p>
      <w:pPr>
        <w:spacing w:after="0" w:line="8" w:lineRule="exact"/>
        <w:rPr>
          <w:rFonts w:ascii="Arial" w:cs="Arial" w:eastAsia="Arial" w:hAnsi="Arial"/>
          <w:sz w:val="16"/>
          <w:szCs w:val="16"/>
          <w:color w:val="auto"/>
        </w:rPr>
      </w:pPr>
    </w:p>
    <w:p>
      <w:pPr>
        <w:ind w:left="340" w:right="160" w:hanging="332"/>
        <w:spacing w:after="0" w:line="254" w:lineRule="auto"/>
        <w:tabs>
          <w:tab w:leader="none" w:pos="331"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This stock option vests with respect to 25% of the shares subject to the stock option on the one-year anniversary of the vesting commencement date and the remaining 75% of the shares subject to the stock option vest in equal monthly installments over the following three years, subject to continued service through each applicable vesting date. This stock option is subject to early exercise and, to the extent shares are issued and unvested as of a given date, such shares will remain subject to a right of repurchase held by us.</w:t>
      </w:r>
    </w:p>
    <w:p>
      <w:pPr>
        <w:ind w:left="340" w:right="20" w:hanging="332"/>
        <w:spacing w:after="0" w:line="254" w:lineRule="auto"/>
        <w:tabs>
          <w:tab w:leader="none" w:pos="319"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This stock option vests monthly in equal installments over 48 months beginning on the one-month anniversary of the vesting commencement date, subject to continued service through each applicable vesting date. This stock option is subject to early exercise and, to the extent shares are issued and unvested as of a given date, such shares will remain subject to a right of repurchase held by us.</w:t>
      </w:r>
    </w:p>
    <w:p>
      <w:pPr>
        <w:ind w:left="340" w:right="160" w:hanging="332"/>
        <w:spacing w:after="0" w:line="252" w:lineRule="auto"/>
        <w:tabs>
          <w:tab w:leader="none" w:pos="331"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This stock option vests with respect to 25% of the shares subject to the stock option on the one-year anniversary of the vesting commencement date and the remaining 75% of the shares subject to the stock option vest in equal monthly installments over the following three years, subject to continued service through each applicable vesting date.</w:t>
      </w:r>
    </w:p>
    <w:p>
      <w:pPr>
        <w:ind w:left="340" w:right="180" w:hanging="332"/>
        <w:spacing w:after="0" w:line="283" w:lineRule="auto"/>
        <w:tabs>
          <w:tab w:leader="none" w:pos="331"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RSUs vest on the first date upon which both a service-based condition and a performance-based condition are satisfied. See the section titled “— Equity-Based Incentive Awards—RSUs Granted in Fiscal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71"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Before the completion of this offering, we intend to enter into change in control and severance agreements with each of our named executive officers.</w:t>
      </w:r>
    </w:p>
    <w:p>
      <w:pPr>
        <w:spacing w:after="0" w:line="9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Under each named executive officer’s change in control and severance agreement, if, outside of the applicable Change in Control Period (as defined below), a named executive officer’s employment is terminated by us without cause (excluding by reason of the named executive officer’s death or disability) or by the named executive officer for good reason, the named executive officer would be entitled to receive the following severance benefits:</w:t>
      </w:r>
    </w:p>
    <w:p>
      <w:pPr>
        <w:spacing w:after="0" w:line="122" w:lineRule="exact"/>
        <w:rPr>
          <w:sz w:val="20"/>
          <w:szCs w:val="20"/>
          <w:color w:val="auto"/>
        </w:rPr>
      </w:pPr>
    </w:p>
    <w:p>
      <w:pPr>
        <w:ind w:left="660" w:hanging="328"/>
        <w:spacing w:after="0" w:line="25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lump sum cash severance payment equal to (i) six months (or in Mr. Cohen’s case, 12 months) of the named executive officer’s annual base salary, (ii) a prorated portion of the annual bonus that the named executive officer otherwise would have received for the year in which such termination occurs had the named executive officer remained employed through the date required to earn such bonus, and (iii) the amount of any cash performance incentive or bonus that the named executive officer otherwise would have received for any performance period that had ended before such termination had the named executive officer remained employed through the date required to earn such incentive or bonus;</w:t>
      </w:r>
    </w:p>
    <w:p>
      <w:pPr>
        <w:spacing w:after="0" w:line="12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payment of premiums for coverage under the Consolidated Omnibus Budget Reconciliation Act of 1985, as amended, or COBRA, for the named executive officer and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229" w:right="3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right="80"/>
        <w:spacing w:after="0" w:line="268" w:lineRule="auto"/>
        <w:rPr>
          <w:sz w:val="20"/>
          <w:szCs w:val="20"/>
          <w:color w:val="auto"/>
        </w:rPr>
      </w:pPr>
      <w:r>
        <w:rPr>
          <w:rFonts w:ascii="Arial" w:cs="Arial" w:eastAsia="Arial" w:hAnsi="Arial"/>
          <w:sz w:val="18"/>
          <w:szCs w:val="18"/>
          <w:color w:val="auto"/>
        </w:rPr>
        <w:t>eligible dependents, if any, for up to 12 months (or in Mr. Cohen’s case, 18 months) following the date of such termination or taxable monthly payments for the equivalent period in the event payment of the COBRA premiums would violate or be subject to an excise tax under applicable law;</w:t>
      </w:r>
    </w:p>
    <w:p>
      <w:pPr>
        <w:spacing w:after="0" w:line="117" w:lineRule="exact"/>
        <w:rPr>
          <w:sz w:val="20"/>
          <w:szCs w:val="20"/>
          <w:color w:val="auto"/>
        </w:rPr>
      </w:pPr>
    </w:p>
    <w:p>
      <w:pPr>
        <w:ind w:left="660" w:right="920" w:hanging="328"/>
        <w:spacing w:after="0" w:line="28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accelerated vesting of any unvested time-based equity awards that would have vested during the 12 months following the termination date; and</w:t>
      </w:r>
    </w:p>
    <w:p>
      <w:pPr>
        <w:spacing w:after="0" w:line="98"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extension of the period that each of the named executive officer’s vested options will remain exercisable until the earlier of (i) 24 months following the date of the named executive officer’s termination of employment (or if the termination occurs when Company’s common stock is not listed on any established stock exchange or national market system, seven years following the date of the termination) or (ii) the expiration of the option’s term.</w:t>
      </w:r>
    </w:p>
    <w:p>
      <w:pPr>
        <w:spacing w:after="0" w:line="1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each named executive officer’s change in control and severance agreement, if, during the period beginning three months before a change in control and ending 12 months (or in Mr. Cohen’s case, 18 months) after a change in control, or the Change in Control Period, a named executive officer’s employment is terminated by us without cause (excluding by reason of the named executive officer’s death or disability) or by the named executive officer for good reason, the named executive officer would be entitled to receive the following severance benefits:</w:t>
      </w:r>
    </w:p>
    <w:p>
      <w:pPr>
        <w:spacing w:after="0" w:line="125" w:lineRule="exact"/>
        <w:rPr>
          <w:sz w:val="20"/>
          <w:szCs w:val="20"/>
          <w:color w:val="auto"/>
        </w:rPr>
      </w:pPr>
    </w:p>
    <w:p>
      <w:pPr>
        <w:ind w:left="660" w:hanging="328"/>
        <w:spacing w:after="0" w:line="259"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lump sum cash severance payment equal to (i) 12 months (or in Mr. Cohen’s case, 18 months) of the named executive officer’s annual base salary, (ii) 100% (or in Mr. Cohen’s case, 150%) of the named executive officer’s target annual bonus as in effect for the fiscal year in which the termination occurs, and (iii) the amount of any cash performance incentive or bonus that the named executive officer otherwise would have received for any performance period that had ended before such termination had the named executive officer remained employed through the date required to earn such incentive or bonus;</w:t>
      </w:r>
    </w:p>
    <w:p>
      <w:pPr>
        <w:spacing w:after="0" w:line="125"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payment of premiums for coverage under COBRA for the named executive officer and the named executive officer’s eligible dependents, if any, for up to 12 months (or in Mr. Cohen’s case, 18 months) following the date of such termination or taxable monthly payments for the equivalent period in the event payment of the COBRA premiums would violate or be subject to an excise tax under applicable law;</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accelerated vesting of all outstanding, unvested time-based equity awards; and</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extension of the period that each of the named executive officer’s vested options will remain exercisable until the earlier of (i) 24 months following the date of the named executive officer’s termination of employment (or if the termination occurs when Company’s common stock is not listed on any established stock exchange or national market system, seven years following the date of the termination) or (ii) the expiration of the option’s term.</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Severance will be conditioned upon (i) the execution and non-revocation of a release of claims, (ii) return of all Company documents and other property, and (iii) continued compliance with any confidential information agreement between us and him. The change in control and severance agreements do not provide for any excise tax gross-ups. If the merger-related payments or benefits of the named executive officer are subject to the 20% excise tax under Section 4999 of the Internal Revenue Code of 1986, as amended, or the Code, then the named executive officer will either receive all such payments and benefits subject to the excise tax or such payments and benefits will be reduced so that the excise tax does not apply, whichever approach yields the best after-tax outcome for the named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229" w:right="3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Incentive Bonus Plan</w:t>
      </w:r>
    </w:p>
    <w:p>
      <w:pPr>
        <w:spacing w:after="0" w:line="171" w:lineRule="exact"/>
        <w:rPr>
          <w:sz w:val="20"/>
          <w:szCs w:val="20"/>
          <w:color w:val="auto"/>
        </w:rPr>
      </w:pPr>
    </w:p>
    <w:p>
      <w:pPr>
        <w:jc w:val="both"/>
        <w:ind w:right="280" w:firstLine="324"/>
        <w:spacing w:after="0" w:line="268" w:lineRule="auto"/>
        <w:rPr>
          <w:sz w:val="20"/>
          <w:szCs w:val="20"/>
          <w:color w:val="auto"/>
        </w:rPr>
      </w:pPr>
      <w:r>
        <w:rPr>
          <w:rFonts w:ascii="Arial" w:cs="Arial" w:eastAsia="Arial" w:hAnsi="Arial"/>
          <w:sz w:val="18"/>
          <w:szCs w:val="18"/>
          <w:color w:val="auto"/>
        </w:rPr>
        <w:t>Before the completion of this offering, our board of directors intends to adopt our Cash Incentive Bonus Plan, or the Bonus Plan. Our Bonus Plan allows us to grant incentive awards (generally payable in cash) to employees selected by the administrator of the Bonus Plan, including our named executive officers.</w:t>
      </w:r>
    </w:p>
    <w:p>
      <w:pPr>
        <w:spacing w:after="0" w:line="117"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Our board of directors or a committee appointed by our board of directors (which, until our board of directors determines otherwise, will be our compensation committee) will administer our Bonus Plan. In this summary of the 2025 Plan, we sometimes refer to our board of directors or the applicable committee with the power to administer the Bonus Plan as the administrator.</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administrator will determine the performance goals that apply to any award under our Bonus Plan. The performance goals may be based on GAAP or non-GAAP results, and when determining whether the performance goals have been met, any actual results may be adjusted by the administrator for one-time items or unbudgeted or unexpected items and/or payments of actual awards under the Bonus Plan. The performance goals may be based on any factors that the administrator determines relevant, such as on an individual, divisional, portfolio, project, business unit, or company-wide basis. Any criteria used may be measured on such basis as the administrator determines. The performance goals may differ from participant to participant and from award to award. The administrator also may determine that a target award (or a portion of a target award) will not have a performance goal associated with it but instead will be granted in the administrator’s discretion.</w:t>
      </w:r>
    </w:p>
    <w:p>
      <w:pPr>
        <w:spacing w:after="0" w:line="131"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The administrator has the discretion at any time before payment of a participant’s award to increase, reduce or eliminate the award and/or the bonus pool for a particular performance period. The administrator may determine the amount of any increase, reduction, or elimination on the basis of any factors that it deems relevant, and the administrator is not required to establish any allocation or weighting with respect to the factors it considers. The actual award may be below, at, or above the target award.</w:t>
      </w:r>
    </w:p>
    <w:p>
      <w:pPr>
        <w:spacing w:after="0" w:line="12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Actual awards generally will be paid in cash (or its equivalent) only after they are earned and approved. Unless the administrator determines otherwise, to earn an actual award, a participant must be employed by us through the date the actual award is paid. The administrator will have the right to settle an actual award with a grant of an equity award under our then-current equity compensation plan, which will have such terms and conditions that the administrator determines. Payment of an award occurs as soon as practicable after the award is approved by the administrator following the end of the related performance period but not later than the date specified in the Bonus Plan.</w:t>
      </w:r>
    </w:p>
    <w:p>
      <w:pPr>
        <w:spacing w:after="0" w:line="12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Each award under the Bonus Plan will be subject to reduction, cancellation, forfeiture, or recoupment in accordance with any clawback policy of ours (or any of our parents or subsidiaries) in effect as of the date the award is granted or any other clawback policy that we (or any parent or subsidiary of ours) are required to adopt by the listing standards of any national securities exchange or association on which our securities are listed or by applicable laws. In addition, the administrator may impose any other reduction, cancellation, forfeiture, clawback, recovery, or recoupment provisions with respect to an award that it determines necessary or appropriate. In the event of an accounting restatement, the recipient of an award will be required to repay a portion of the proceeds received with respect to an award earned or accrued under certain circumstances.</w:t>
      </w:r>
    </w:p>
    <w:p>
      <w:pPr>
        <w:spacing w:after="0" w:line="129"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The administrator will have the authority to amend, suspend, or terminate the Bonus Plan, but such actions will not alter or impair any participant’s rights or obligations with respect to an earned award without the participant’s consent.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Welfare and Other Benefits</w:t>
      </w:r>
    </w:p>
    <w:p>
      <w:pPr>
        <w:spacing w:after="0" w:line="171" w:lineRule="exact"/>
        <w:rPr>
          <w:sz w:val="20"/>
          <w:szCs w:val="20"/>
          <w:color w:val="auto"/>
        </w:rPr>
      </w:pPr>
    </w:p>
    <w:p>
      <w:pPr>
        <w:ind w:right="840" w:firstLine="324"/>
        <w:spacing w:after="0" w:line="287" w:lineRule="auto"/>
        <w:rPr>
          <w:sz w:val="20"/>
          <w:szCs w:val="20"/>
          <w:color w:val="auto"/>
        </w:rPr>
      </w:pPr>
      <w:r>
        <w:rPr>
          <w:rFonts w:ascii="Arial" w:cs="Arial" w:eastAsia="Arial" w:hAnsi="Arial"/>
          <w:sz w:val="18"/>
          <w:szCs w:val="18"/>
          <w:color w:val="auto"/>
        </w:rPr>
        <w:t>We provide health, dental, vision, life, and disability insurance benefits to our named executive officers, on the same terms and conditions as provided to all other eligible U.S.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229"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also maintain a 401(k) plan that provides eligible U.S. employees with an opportunity to save for retirement on a tax advantaged basis. Eligible employees are able to make pre-tax and after-tax contributions of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pre-tax contributions and earnings on pre-tax and after-tax contributions are not generally taxable to the employees until withdrawn or distributed from the 401(k)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Recovery Policy</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Before the completion of this offering, we intend to adopt a Compensation Recovery Policy, or the Compensation Recovery Policy. The Compensation Recovery Policy will be in accordance with the final rules regarding recovery of erroneously awarded executive officer compensation in connection with an accounting restatement, as adopted by the SEC in October 2022, and consistent with the corresponding listing standards, or together, the Clawback Rules. Pursuant to the Compensation Recovery Policy, and subject to certain limited exceptions in the Clawback Rules, in the event we are required to restate our financial statements, we will be required to recoup erroneously awarded incentive-based compensation (as described in the Clawback Rules, including both cash and equity compensation) paid to any current or former executive officer (as described in the Clawback Rules) during the three completed fiscal years immediately prior to the date the accounting restatement was required. The amount recoverable will be the amount of any incentive-based compensation received by the executive officer based on the financial statements prior to the restatement that exceeds the amount that such executive officer would have received had the incentive-based compensation been determined based on the financial restatement.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71"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69" w:lineRule="exact"/>
        <w:rPr>
          <w:sz w:val="20"/>
          <w:szCs w:val="20"/>
          <w:color w:val="auto"/>
        </w:rPr>
      </w:pPr>
    </w:p>
    <w:p>
      <w:pPr>
        <w:ind w:right="540" w:firstLine="324"/>
        <w:spacing w:after="0" w:line="318" w:lineRule="auto"/>
        <w:rPr>
          <w:sz w:val="20"/>
          <w:szCs w:val="20"/>
          <w:color w:val="auto"/>
        </w:rPr>
      </w:pPr>
      <w:r>
        <w:rPr>
          <w:rFonts w:ascii="Arial" w:cs="Arial" w:eastAsia="Arial" w:hAnsi="Arial"/>
          <w:sz w:val="17"/>
          <w:szCs w:val="17"/>
          <w:color w:val="auto"/>
        </w:rPr>
        <w:t>In February 2015, we adopted the 2015 Plan, as most recently amended in April 2025. The purpose of the 2015 Plan is to provide incentives to attract, retain, and motivate eligible persons whose present and potential contributions are important to our success.</w:t>
      </w:r>
    </w:p>
    <w:p>
      <w:pPr>
        <w:spacing w:after="0" w:line="76" w:lineRule="exact"/>
        <w:rPr>
          <w:sz w:val="20"/>
          <w:szCs w:val="20"/>
          <w:color w:val="auto"/>
        </w:rPr>
      </w:pPr>
    </w:p>
    <w:p>
      <w:pPr>
        <w:ind w:left="340"/>
        <w:spacing w:after="0"/>
        <w:tabs>
          <w:tab w:leader="none" w:pos="2580" w:val="left"/>
          <w:tab w:leader="none" w:pos="4500" w:val="left"/>
        </w:tabs>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2025, we had</w:t>
      </w:r>
      <w:r>
        <w:rPr>
          <w:sz w:val="20"/>
          <w:szCs w:val="20"/>
          <w:color w:val="auto"/>
        </w:rPr>
        <w:tab/>
      </w:r>
      <w:r>
        <w:rPr>
          <w:rFonts w:ascii="Arial" w:cs="Arial" w:eastAsia="Arial" w:hAnsi="Arial"/>
          <w:sz w:val="17"/>
          <w:szCs w:val="17"/>
          <w:color w:val="auto"/>
        </w:rPr>
        <w:t>shares of our Class A common stock reserved for issuance through grants under</w:t>
      </w:r>
    </w:p>
    <w:p>
      <w:pPr>
        <w:spacing w:after="0" w:line="27" w:lineRule="exact"/>
        <w:rPr>
          <w:sz w:val="20"/>
          <w:szCs w:val="20"/>
          <w:color w:val="auto"/>
        </w:rPr>
      </w:pPr>
    </w:p>
    <w:p>
      <w:pPr>
        <w:spacing w:after="0"/>
        <w:tabs>
          <w:tab w:leader="none" w:pos="2620" w:val="left"/>
          <w:tab w:leader="none" w:pos="6740" w:val="left"/>
          <w:tab w:leader="none" w:pos="9660" w:val="left"/>
        </w:tabs>
        <w:rPr>
          <w:sz w:val="20"/>
          <w:szCs w:val="20"/>
          <w:color w:val="auto"/>
        </w:rPr>
      </w:pPr>
      <w:r>
        <w:rPr>
          <w:rFonts w:ascii="Arial" w:cs="Arial" w:eastAsia="Arial" w:hAnsi="Arial"/>
          <w:sz w:val="18"/>
          <w:szCs w:val="18"/>
          <w:color w:val="auto"/>
        </w:rPr>
        <w:t>our 2015 Plan, of which</w:t>
      </w:r>
      <w:r>
        <w:rPr>
          <w:sz w:val="20"/>
          <w:szCs w:val="20"/>
          <w:color w:val="auto"/>
        </w:rPr>
        <w:tab/>
      </w:r>
      <w:r>
        <w:rPr>
          <w:rFonts w:ascii="Arial" w:cs="Arial" w:eastAsia="Arial" w:hAnsi="Arial"/>
          <w:sz w:val="18"/>
          <w:szCs w:val="18"/>
          <w:color w:val="auto"/>
        </w:rPr>
        <w:t>shares remained available for grant. As of</w:t>
      </w:r>
      <w:r>
        <w:rPr>
          <w:sz w:val="20"/>
          <w:szCs w:val="20"/>
          <w:color w:val="auto"/>
        </w:rPr>
        <w:tab/>
      </w:r>
      <w:r>
        <w:rPr>
          <w:rFonts w:ascii="Arial" w:cs="Arial" w:eastAsia="Arial" w:hAnsi="Arial"/>
          <w:sz w:val="18"/>
          <w:szCs w:val="18"/>
          <w:color w:val="auto"/>
        </w:rPr>
        <w:t>, 2025, options to purchase</w:t>
      </w:r>
      <w:r>
        <w:rPr>
          <w:sz w:val="20"/>
          <w:szCs w:val="20"/>
          <w:color w:val="auto"/>
        </w:rPr>
        <w:tab/>
      </w:r>
      <w:r>
        <w:rPr>
          <w:rFonts w:ascii="Arial" w:cs="Arial" w:eastAsia="Arial" w:hAnsi="Arial"/>
          <w:sz w:val="17"/>
          <w:szCs w:val="17"/>
          <w:color w:val="auto"/>
        </w:rPr>
        <w:t>shares had been</w:t>
      </w:r>
    </w:p>
    <w:p>
      <w:pPr>
        <w:spacing w:after="0" w:line="9" w:lineRule="exact"/>
        <w:rPr>
          <w:sz w:val="20"/>
          <w:szCs w:val="20"/>
          <w:color w:val="auto"/>
        </w:rPr>
      </w:pPr>
    </w:p>
    <w:p>
      <w:pPr>
        <w:spacing w:after="0"/>
        <w:tabs>
          <w:tab w:leader="none" w:pos="3180" w:val="left"/>
          <w:tab w:leader="none" w:pos="9360" w:val="left"/>
        </w:tabs>
        <w:rPr>
          <w:sz w:val="20"/>
          <w:szCs w:val="20"/>
          <w:color w:val="auto"/>
        </w:rPr>
      </w:pPr>
      <w:r>
        <w:rPr>
          <w:rFonts w:ascii="Arial" w:cs="Arial" w:eastAsia="Arial" w:hAnsi="Arial"/>
          <w:sz w:val="18"/>
          <w:szCs w:val="18"/>
          <w:color w:val="auto"/>
        </w:rPr>
        <w:t>exercised; options to purchase</w:t>
      </w:r>
      <w:r>
        <w:rPr>
          <w:sz w:val="20"/>
          <w:szCs w:val="20"/>
          <w:color w:val="auto"/>
        </w:rPr>
        <w:tab/>
      </w:r>
      <w:r>
        <w:rPr>
          <w:rFonts w:ascii="Arial" w:cs="Arial" w:eastAsia="Arial" w:hAnsi="Arial"/>
          <w:sz w:val="18"/>
          <w:szCs w:val="18"/>
          <w:color w:val="auto"/>
        </w:rPr>
        <w:t>shares remained outstanding, with a weighted-average exercise price of $</w:t>
      </w:r>
      <w:r>
        <w:rPr>
          <w:sz w:val="20"/>
          <w:szCs w:val="20"/>
          <w:color w:val="auto"/>
        </w:rPr>
        <w:tab/>
      </w:r>
      <w:r>
        <w:rPr>
          <w:rFonts w:ascii="Arial" w:cs="Arial" w:eastAsia="Arial" w:hAnsi="Arial"/>
          <w:sz w:val="17"/>
          <w:szCs w:val="17"/>
          <w:color w:val="auto"/>
        </w:rPr>
        <w:t>per share;</w:t>
      </w:r>
    </w:p>
    <w:p>
      <w:pPr>
        <w:spacing w:after="0" w:line="9" w:lineRule="exact"/>
        <w:rPr>
          <w:sz w:val="20"/>
          <w:szCs w:val="20"/>
          <w:color w:val="auto"/>
        </w:rPr>
      </w:pPr>
    </w:p>
    <w:p>
      <w:pPr>
        <w:spacing w:after="0"/>
        <w:tabs>
          <w:tab w:leader="none" w:pos="780" w:val="left"/>
          <w:tab w:leader="none" w:pos="5200" w:val="left"/>
          <w:tab w:leader="none" w:pos="65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RSUs were issued and outstanding. As of</w:t>
      </w:r>
      <w:r>
        <w:rPr>
          <w:sz w:val="20"/>
          <w:szCs w:val="20"/>
          <w:color w:val="auto"/>
        </w:rPr>
        <w:tab/>
      </w:r>
      <w:r>
        <w:rPr>
          <w:rFonts w:ascii="Arial" w:cs="Arial" w:eastAsia="Arial" w:hAnsi="Arial"/>
          <w:sz w:val="18"/>
          <w:szCs w:val="18"/>
          <w:color w:val="auto"/>
        </w:rPr>
        <w:t>, 2025,</w:t>
      </w:r>
      <w:r>
        <w:rPr>
          <w:sz w:val="20"/>
          <w:szCs w:val="20"/>
          <w:color w:val="auto"/>
        </w:rPr>
        <w:tab/>
      </w:r>
      <w:r>
        <w:rPr>
          <w:rFonts w:ascii="Arial" w:cs="Arial" w:eastAsia="Arial" w:hAnsi="Arial"/>
          <w:sz w:val="17"/>
          <w:szCs w:val="17"/>
          <w:color w:val="auto"/>
        </w:rPr>
        <w:t>shares of restricted stock were granted under the 2015</w:t>
      </w:r>
    </w:p>
    <w:p>
      <w:pPr>
        <w:spacing w:after="0" w:line="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Plan. Certain options granted under the 2015 Plan are early exercisable and may be exercised for unvested shares of our Class A common stock subject to a repurchase right. No new awards will be granted under the 2015 Plan after the offering.</w:t>
      </w:r>
    </w:p>
    <w:p>
      <w:pPr>
        <w:spacing w:after="0" w:line="11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duly authorized committee of our board of directors, will administer our 2015 Plan. We</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refer to our board of directors, or the applicable committee with the power to administer our equity incentive plans, as the administrator. In this summary of the 2015 Plan, we sometimes refer to our board of directors or the applicable committee with the power to administer the 2015 Plan as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320" w:top="229" w:right="39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Subject to the limitations of the 2015 Plan, the administrator’s powers include the authority to (i) construe and interpret the 2015 Plan, any award agreement and any other agreement or document executed pursuant to the 2015 Plan, (ii) prescribe, amend, expand, modify and rescind or terminate rules and regulations relating to the 2015 Plan, (iii) approve persons to receive awards and determine the form and terms of awards, (iv) grant waivers of any conditions of the 2015 Plan or any award, (v) adopt rules and/or procedures (including the adoption of any subplan under the 2015 Plan) relating to the operation and administration of the 2015 Plan to accommodate requirements of local law and procedures outside of the United States, and (vi) make all other determinations necessary or advisable in connection with the administration of the 2015 Plan.</w:t>
      </w:r>
    </w:p>
    <w:p>
      <w:pPr>
        <w:spacing w:after="0" w:line="12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Under the 2015 Plan, we may grant incentive stock options, or ISOs, only to our employees or the employees of our parent or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(including officers and directors who are also employees). We may grant nonstatutory stock options, or NSOs, RSUs, and shares of restricted stock to our employees (including officers and directors who are also employees), non-employee directors, and consultants or the employees, directors, and consultants of our parents and subsidiaries.</w:t>
      </w:r>
    </w:p>
    <w:p>
      <w:pPr>
        <w:spacing w:after="0" w:line="12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2015 Plan allows for the grant of options, with terms as generally determined by the administrator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2015 Plan) and set forth in an award agreement. However, the per share exercise price of a stock option generally cannot be less than 100% of the fair market value of a share of our Class A common stock on the date of grant, and an option may not have a term exceeding ten years. In addition, no ISO may be granted to any person who, at the time of the grant, owns or is deemed to own stock possessing more than 10% of the total combined voting power or value of all classes of capital stock of ours or of any parent or subsidiary of ours unless (i) the option exercise price is at least 110% of the fair market value of the stock subject to the option on the date of grant and (ii) the option does not have a term exceeding five years. The aggregate fair market value, determined at the time of grant, of our common stock with respect to ISOs that are exercisable for the first time by a participant during any calendar year under all stock plans of ours or any parent or subsidiary of ours may not exceed $ 100,000. Options or portions thereof that exceed such limit will generally be treated as NSOs. An option vests based on the satisfaction of the vesting conditions specified in the award agreement.</w:t>
      </w:r>
    </w:p>
    <w:p>
      <w:pPr>
        <w:spacing w:after="0" w:line="13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After a participant’s service relationship with us terminates, the participant will be able to exercise the vested portion of the participant’s option for the period of time stated in the participant’s award agreement. In the absence of a specified time in the award agreement, the vested portion of the option will remain exercisable (i) if such termination is for cause, until the termination date, (ii) if such termination is for any reason other than for cause, due to the participant’s disability, or due to the participant’s death, for three months following the date of such termination, or (iii) if such termination is due to the participant’s death or disability (or if participant’s death occurs within three months after a termination without cause), for 12 months following the date of such termination. However, an option may not be exercised later than the expiration of its term.</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Restricted Stock and RSUs. </w:t>
      </w:r>
      <w:r>
        <w:rPr>
          <w:rFonts w:ascii="Arial" w:cs="Arial" w:eastAsia="Arial" w:hAnsi="Arial"/>
          <w:sz w:val="18"/>
          <w:szCs w:val="18"/>
          <w:color w:val="auto"/>
        </w:rPr>
        <w:t>The 2015 Plan allows for the grant of restricted stock awards, or RSAs (and for the early exercise of options</w:t>
      </w:r>
    </w:p>
    <w:p>
      <w:pPr>
        <w:sectPr>
          <w:pgSz w:w="11900" w:h="16838" w:orient="portrait"/>
          <w:cols w:equalWidth="0" w:num="1">
            <w:col w:w="11220"/>
          </w:cols>
          <w:pgMar w:left="320" w:top="229" w:right="359" w:bottom="1440" w:gutter="0" w:footer="0" w:header="0"/>
        </w:sectPr>
      </w:pP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restricted stock), and RSUs, with terms as generally determined by the administrator (in accordance with the 2015 Plan) and set forth in an award agreement. Unless otherwise determined by the administrator, a participant will have voting and other rights as a stockholder of ours with respect to any shares subject to an RSA. If any such dividends or distributions are paid in shares, the shares will be subject to the same restrictions on transferability and forfeitability as the shares of restricted stock with respect to which they were paid. As of 2025, there were shares of restricted stock and RSUs issued and outstanding under the 2015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444" w:lineRule="exact"/>
        <w:rPr>
          <w:sz w:val="20"/>
          <w:szCs w:val="20"/>
          <w:color w:val="auto"/>
        </w:rPr>
      </w:pPr>
    </w:p>
    <w:p>
      <w:pPr>
        <w:sectPr>
          <w:pgSz w:w="11900" w:h="16838" w:orient="portrait"/>
          <w:cols w:equalWidth="0" w:num="2">
            <w:col w:w="11080" w:space="60"/>
            <w:col w:w="80"/>
          </w:cols>
          <w:pgMar w:left="320" w:top="229" w:right="359" w:bottom="1440" w:gutter="0" w:footer="0" w:header="0"/>
          <w:type w:val="continuous"/>
        </w:sectPr>
      </w:pPr>
    </w:p>
    <w:p>
      <w:pPr>
        <w:ind w:right="140" w:firstLine="324"/>
        <w:spacing w:after="0" w:line="262"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2015 Plan allows for the grant of stock appreciation rights, with terms as generally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(in accordance with the 2015 Plan) and set forth in an award agreement. However, the per share exercise price of a stock appreciation right generally cannot be less than 100% of the fair market value of a share of our Class A common stock on the date of grant, and a stock appreciation right may not have a term exceeding ten years. A stock appreciation right vests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229" w:right="359"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on the satisfaction of the vesting conditions specified in the award agreement. When a participant’s service relationship with us ends, the</w:t>
      </w:r>
    </w:p>
    <w:p>
      <w:pPr>
        <w:spacing w:after="0" w:line="27"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same rules relating to the exercise of options will apply to the participant’s stock appreciation rights. As of , 2025, we have no stock appreciation rights issued and outstanding.</w:t>
      </w:r>
    </w:p>
    <w:p>
      <w:pPr>
        <w:spacing w:after="0" w:line="117"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i w:val="1"/>
          <w:iCs w:val="1"/>
          <w:color w:val="auto"/>
        </w:rPr>
        <w:t xml:space="preserve">Limited Transferability. </w:t>
      </w:r>
      <w:r>
        <w:rPr>
          <w:rFonts w:ascii="Arial" w:cs="Arial" w:eastAsia="Arial" w:hAnsi="Arial"/>
          <w:sz w:val="18"/>
          <w:szCs w:val="18"/>
          <w:color w:val="auto"/>
        </w:rPr>
        <w:t>Unless otherwise determined by the administrator, awards under the 2015 Plan generally may not be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or assigned other than by will, the laws of descent and distribution and, with respect to NSOs, by instrument to an inter vivos or testamentary trust in which the NSOs are to be passed to beneficiaries upon the death of the trustor or by gift to a qualified family member.</w:t>
      </w:r>
    </w:p>
    <w:p>
      <w:pPr>
        <w:spacing w:after="0" w:line="11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In the event that we are subject to an “acquisition” or “other combination” (as defined in the 2015 Plan and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collectively, a merger, a sale or transfer of more than 50% of the voting power of all of our outstanding securities, or a sale of all or substantially all of our assets), the 2015 Plan provides that awards will be subject to the agreement evidencing such acquisition or other combination, which agreement need not treat all awards in a similar manner. Such agreement may, without the participant’s consent, provide for the continuation of outstanding awards, the assumption or substitution of awards, full or partial acceleration of vesting of awards, the settlement of awards (whether or not vested) in cash, securities, or other consideration, or the cancellation of such awards for no consideration.</w:t>
      </w:r>
    </w:p>
    <w:p>
      <w:pPr>
        <w:spacing w:after="0" w:line="1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In the event that the number of outstanding shares of our common stock is changed by a stock dividend,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reverse stock split, subdivision, combination, reclassification, or similar change in our capital structure affecting our shares without consideration, then in order to prevent diminution or enlargement of the benefits or potential benefits intended to be made available under the 2015 Plan (i) the number of shares reserved for issuance under the 2015 Plan, (ii) the exercise prices of and number of shares subject to outstanding options and stock appreciation rights, and (iii) the purchase prices of and/or number of shares subject to other outstanding awards will be proportionately adjusted (subject to required action by our board of directors or our stockholders).</w:t>
      </w:r>
    </w:p>
    <w:p>
      <w:pPr>
        <w:spacing w:after="0" w:line="12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Exchange, Repricing, and Buyout of Awards. </w:t>
      </w:r>
      <w:r>
        <w:rPr>
          <w:rFonts w:ascii="Arial" w:cs="Arial" w:eastAsia="Arial" w:hAnsi="Arial"/>
          <w:sz w:val="18"/>
          <w:szCs w:val="18"/>
          <w:color w:val="auto"/>
        </w:rPr>
        <w:t>The administrator may, with the consent of the respective participants, issue new awards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surrender and cancellation of any or all outstanding awards. The administrator may also buy an award previously granted with payment in cash, shares, or other consideration, in each case, subject to the terms of the 2015 Plan. Without prior stockholder approval, the administrator may reprice options or stock appreciation rights (and where such repricing is a reduction in the exercise price of outstanding options or stock appreciation rights, the consent of the affected participants is not required provided written notice is provided to them).</w:t>
      </w:r>
    </w:p>
    <w:p>
      <w:pPr>
        <w:spacing w:after="0" w:line="1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amend or terminate the 2015 Plan at any time and may terminate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options or stock appreciation rights upon a dissolution or liquidation of us, provided that certain amendments will require stockholder approval or participant consent. We expect to terminate the 2015 Plan and will cease issuing awards thereunder upon the effectiveness of the 2025 Plan (as described below). Any outstanding awards granted under the 2015 Plan will remain outstanding following the termination of the 2015 Plan, subject to the terms of our 2015 Plan and applicable award agreements, until such awards are exercised or until they terminate or expire by their terms.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2025 Equity Incentive Plan</w:t>
      </w:r>
    </w:p>
    <w:p>
      <w:pPr>
        <w:spacing w:after="0" w:line="16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Before the completion of this offering, our board of directors intends to adopt the 2025 Plan. The 2025 Plan will come into existence and become effective on the day before the date of the underwriting agreement for this offering. Once the 2025 Plan becomes effective, no further grants will be made under our 2015 Plan.</w:t>
      </w:r>
    </w:p>
    <w:p>
      <w:pPr>
        <w:spacing w:after="0" w:line="117"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2025 Plan provides for the grant of ISOs to employees, including employees of any parent or subsidiary,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of NSOs, stock appreciation rights,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229"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restricted stock unit awards, performance awards and other forms of awards to employees, directors, and consultants, including employees and consultants of our affiliates.</w:t>
      </w:r>
    </w:p>
    <w:p>
      <w:pPr>
        <w:spacing w:after="0" w:line="9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Initially, the maximum number of shares of our Class A common stock that may be issued under the 2025 Plan after</w:t>
      </w:r>
      <w:r>
        <w:rPr>
          <w:rFonts w:ascii="Arial" w:cs="Arial" w:eastAsia="Arial" w:hAnsi="Arial"/>
          <w:sz w:val="18"/>
          <w:szCs w:val="18"/>
          <w:i w:val="1"/>
          <w:iCs w:val="1"/>
          <w:color w:val="auto"/>
        </w:rPr>
        <w:t xml:space="preserve"> </w:t>
      </w:r>
      <w:r>
        <w:rPr>
          <w:rFonts w:ascii="Arial" w:cs="Arial" w:eastAsia="Arial" w:hAnsi="Arial"/>
          <w:sz w:val="18"/>
          <w:szCs w:val="18"/>
          <w:color w:val="auto"/>
        </w:rPr>
        <w:t>it becomes effective will not exceed shares, which is the sum of (i) new shares, plus (ii) up to shares subject to awards granted under our 2015 Plan that, after the date the 2025 Plan becomes effective, (A) are not issued because any portion of such awards expires or otherwise terminates without all of the shares covered by such awards having been issued, (B) are not issued because any portion of such awards is settled in cash, (C) are forfeited back to or repurchased by us because of the failure to meet a contingency or condition required for the vesting of such shares, (D) are withheld or reacquired to satisfy the exercise, strike, or purchase price, or (E) are withheld or reacquired to</w:t>
      </w:r>
    </w:p>
    <w:p>
      <w:pPr>
        <w:spacing w:after="0" w:line="5"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satisfy a tax withholding obligation, with such additional number of shares not to exceed shares. In addition, the number of shares of our Class A common stock reserved for issuance under the 2025 Plan will automatically increase on the first day of each of our 2027 through 2036 fiscal years (assuming the 2025 Plan becomes effective in our 2026 fiscal year), by % of the total number of shares of all classes of our common stock outstanding on the last day of the previous fiscal year; provided that before the date of any such increase, the 2025 Plan’s administrator may determine that such increase will be less than such amount. As of the date hereof, no shares have been issued under the 2025 Plan. The maximum number of shares of our Class A common stock that may be issued on the exercise of ISOs under the 2025 Plan</w:t>
      </w:r>
    </w:p>
    <w:p>
      <w:pPr>
        <w:spacing w:after="0" w:line="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is</w:t>
      </w:r>
      <w:r>
        <w:rPr>
          <w:sz w:val="20"/>
          <w:szCs w:val="20"/>
          <w:color w:val="auto"/>
        </w:rPr>
        <w:tab/>
      </w:r>
      <w:r>
        <w:rPr>
          <w:rFonts w:ascii="Arial" w:cs="Arial" w:eastAsia="Arial" w:hAnsi="Arial"/>
          <w:sz w:val="18"/>
          <w:szCs w:val="18"/>
          <w:color w:val="auto"/>
        </w:rPr>
        <w:t>.</w:t>
      </w:r>
    </w:p>
    <w:p>
      <w:pPr>
        <w:spacing w:after="0" w:line="15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Shares subject to awards granted under the 2025 Plan do not reduce the number of shares available for issuance under the 2025 Plan to the extent the awards expire or terminate without the issuance of shares, the awards are paid out in cash rather than in shares, or the shares are withheld to satisfy the exercise, strike, or purchase price of an award or the tax withholding obligations related to an award. Additionally, shares issued through awards granted under the 2025 Plan will become available for future grant under the 2025 Plan if they are (i) forfeited back to or repurchased by us because of a failure to meet a contingency or condition required for the vesting of such shares or (i) reacquired by us to satisfy the exercise, strike, or purchase price of an award or the tax withholding obligations related to an award.</w:t>
      </w:r>
    </w:p>
    <w:p>
      <w:pPr>
        <w:spacing w:after="0" w:line="12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the 2025 Plan.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of the 2025 Plan, we sometimes refer to our board of directors or the applicable committee with the power to administer the 2025 Plan as the administrator.</w:t>
      </w:r>
    </w:p>
    <w:p>
      <w:pPr>
        <w:spacing w:after="0" w:line="11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Subject to the limitations of the 2025 Plan, the administrator’s powers include the authority to (i) determine the eligible persons who will be granted awards and the terms and conditions of such awards, (ii) construe and interpret the 2025 Plan and awards granted under it, (iii) establish, amend and revoke rules and regulations for the 2025 Plan’s administration, (iv) amend the terms of any award (provided that such amendment does not materially impair the existing rights of the participant holding such award without such participant’s written consent), (v) adopt such procedures and sub-plans as are necessary or appropriate to permit and facilitate participation in the 2025 Plan by, or take advantage of specific tax treatment for awards granted to, persons who are non-U.S. nationals or employed outside the United States, and</w:t>
      </w:r>
    </w:p>
    <w:p>
      <w:pPr>
        <w:spacing w:after="0" w:line="5" w:lineRule="exact"/>
        <w:rPr>
          <w:sz w:val="20"/>
          <w:szCs w:val="20"/>
          <w:color w:val="auto"/>
        </w:rPr>
      </w:pPr>
    </w:p>
    <w:p>
      <w:pPr>
        <w:ind w:right="200" w:firstLine="8"/>
        <w:spacing w:after="0" w:line="266" w:lineRule="auto"/>
        <w:tabs>
          <w:tab w:leader="none" w:pos="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exercise such powers and perform such acts as the administrator deems necessary or expedient to promote our best interests and that are not in conflict with the provisions of the 2025 Plan or the awards granted under it.</w:t>
      </w:r>
    </w:p>
    <w:p>
      <w:pPr>
        <w:spacing w:after="0" w:line="11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 addition, subject to the terms of the 2025 Plan, the administrator also has the power to modify outstanding awards under the 2025 Plan, including the authority to reprice any outstanding option or stock appreciation right, cancel and re-grant any outstanding option or stock appreciation right in exchange for new awards, cash or other consideration, or take any other action that is treated as a repricing under generally accepted accounting principles, with the consent of any materially adversely affected participant.</w:t>
      </w:r>
    </w:p>
    <w:p>
      <w:pPr>
        <w:spacing w:after="0" w:line="122"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The administrator may also delegate to one or more persons or bodies the authority to administer the plan to the extent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229"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In addition, except to the extent prohibited by applicable laws, the person(s) or third-party administrator will be delegated the day-to-day administration of the 2025 Plan and the functions to them by the administrator of the 2025 Plan, but this delegation may be revoked at any time.</w:t>
      </w:r>
    </w:p>
    <w:p>
      <w:pPr>
        <w:spacing w:after="0" w:line="11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2025 Plan allows for the grant of options, with terms as generally determined by the administrator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2025 Plan) and set forth in an award agreement. However, the per share exercise price of a stock option generally cannot be less than 100% of the fair market value of a share of our Class A common stock on the date of grant, and an option may not have a term exceeding ten years. In addition, no ISO may be granted to any person who, at the time of the grant, owns or is deemed to own stock possessing more than 10% of the total combined voting power or value of all classes of capital stock of ours or of any parent or subsidiary of ours unless (i) the option exercise price is at least 110% of the fair market value of the stock subject to the option on the date of grant and (ii) the option does not have a term exceeding five years. The aggregate fair market value, determined at the time of grant, of the shares of our common stock subject to ISOs that are exercisable for the first time by a participant during any calendar year under all stock plans of ours or any parent or subsidiary of ours may not exceed $100,000. Options or portions thereof that exceed such limit will generally be treated as NSOs. An option vests based on the satisfaction of the vesting conditions specified in the award agreement.</w:t>
      </w:r>
    </w:p>
    <w:p>
      <w:pPr>
        <w:spacing w:after="0" w:line="13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After a participant’s service relationship with us terminates, the participant will be able to exercise the vested portion of the participant’s option for the period of time stated in the participant’s award agreement. In the absence of a specified time in the award agreement, the option will be immediately forfeited upon a termination for cause, and the vested portion of the option will remain exercisable (i) if such termination is for any reason other than for cause, due to the participant’s disability, or due to the participant’s death, for three months following the date of such termination, (ii) if such termination is due to the participant’s disability, for 12 months following the date of such termination, (iii) if such termination is due to the participant’s death, for 18 months following the date of such termination, or (iv) if such death occurs following the date of such termination but during the period such award is otherwise exercisable, for 18 months following the date of the participant’s death. However, an option may not be exercised later than the expiration of its term.</w:t>
      </w:r>
    </w:p>
    <w:p>
      <w:pPr>
        <w:spacing w:after="0" w:line="13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The 2025 Plan allows for the grant of stock appreciation rights, with terms as generally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(in accordance with the 2025 Plan) and set forth in an award agreement. However, the per share strike price for a stock appreciation right generally cannot be less than 100% of the fair market value of a share of our Class A common stock on the date of grant, and a stock appreciation right may not have a term exceeding ten years. A stock appreciation right vests based on the satisfaction of the vesting conditions specified in the award agreement. When a participant’s service relationship with us ends, the same rules relating to the exercise of options will apply to the participant’s stock appreciation rights.</w:t>
      </w:r>
    </w:p>
    <w:p>
      <w:pPr>
        <w:spacing w:after="0" w:line="12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The 2025 Plan allows for the grant of restricted stock awards, with terms as generally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(in accordance with the 2025 Plan) and set forth in an award agreement. A restricted stock award may be awarded in consideration for cash, check, bank draft or money order, past services to us, or any other form of legal consideration that may be acceptable to the administrator and permissible under applicable law. Unless otherwise determined by the administrator, a participant will have voting and other rights as a stockholder of ours with respect to any shares subject to a restricted stock award. Dividend equivalents may be paid or credited with respect to any shares covered by a restricted stock award. If a participant’s service relationship with us ends for any reason, we may receive any or all of the shares of our Class A common stock held by the participant that have not vested as of the date the participant terminates service with us through a forfeiture condition or a repurchase right.</w:t>
      </w:r>
    </w:p>
    <w:p>
      <w:pPr>
        <w:spacing w:after="0" w:line="13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The 2025 Plan allows for the grant of RSUs, with terms as generally determined by the administrator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2025 Plan) and set forth in an award agreement. Unless otherwise determined by the administrator at the time of grant, an award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229" w:right="3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will be granted in consideration for a participant’s services to us or an affiliate of ours, such that the participant will not be required to make any payment to us (other than such services) with respect to the grant or vesting of the award, or the issuance of any shares through the award. If, at the time of grant, the administrator determines that any consideration must be paid by the participant upon the issuance of any shares in settlement of the award, such consideration may be paid in any form of consideration that is acceptable to the administrator and permissible under applicable law.</w:t>
      </w:r>
    </w:p>
    <w:p>
      <w:pPr>
        <w:spacing w:after="0" w:line="125"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 restricted stock unit may be settled by the issuance of cash, shares of our Class A common stock, or a combination of cash and such shares. Additionally, dividend equivalents may be paid or credited with respect to any shares covered by a restricted stock unit. Except as otherwise provided in the applicable award agreement, restricted stock units that have not vested will be forfeited once the participant’s continuous service ends for any reason.</w:t>
      </w:r>
    </w:p>
    <w:p>
      <w:pPr>
        <w:spacing w:after="0" w:line="122"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2025 Plan allows for the grant of performance-based stock and cash awards, with terms as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(in accordance with the 2025 Plan) and set forth in an award agreement. The administrator may structure awards so that the shares of our Class A common stock or cash will be issued or paid only following the achievement of certain pre-established performance goals during a designated performance period.</w:t>
      </w:r>
    </w:p>
    <w:p>
      <w:pPr>
        <w:spacing w:after="0" w:line="12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7"/>
          <w:szCs w:val="17"/>
          <w:color w:val="auto"/>
        </w:rPr>
        <w:t>The performance criteria that will be used to establish such performance goals may be based on any measure of performance selected by the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in the award agreement at the time the award is granted or in such other document setting forth the performance goals at the time the goals are established, the administrator will appropriately make adjustments in the method of calculating the attainment of performance goals as follows: (i) to exclude restructuring and/or other nonrecurring charges (ii) to exclude exchange rate effects (iii) to exclude the effects of changes to generally accepted accounting principles,</w:t>
      </w:r>
    </w:p>
    <w:p>
      <w:pPr>
        <w:spacing w:after="0" w:line="2" w:lineRule="exact"/>
        <w:rPr>
          <w:sz w:val="20"/>
          <w:szCs w:val="20"/>
          <w:color w:val="auto"/>
        </w:rPr>
      </w:pPr>
    </w:p>
    <w:p>
      <w:pPr>
        <w:ind w:firstLine="8"/>
        <w:spacing w:after="0" w:line="250" w:lineRule="auto"/>
        <w:tabs>
          <w:tab w:leader="none" w:pos="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w:t>
      </w:r>
    </w:p>
    <w:p>
      <w:pPr>
        <w:spacing w:after="0" w:line="3" w:lineRule="exact"/>
        <w:rPr>
          <w:rFonts w:ascii="Arial" w:cs="Arial" w:eastAsia="Arial" w:hAnsi="Arial"/>
          <w:sz w:val="18"/>
          <w:szCs w:val="18"/>
          <w:color w:val="auto"/>
        </w:rPr>
      </w:pPr>
    </w:p>
    <w:p>
      <w:pPr>
        <w:ind w:right="60" w:firstLine="8"/>
        <w:spacing w:after="0" w:line="258" w:lineRule="auto"/>
        <w:tabs>
          <w:tab w:leader="none" w:pos="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exclude the goodwill and intangible asset impairment charges that are required to be recorded under generally accepted accounting principles. In addition, the administrator has the discretion to reduce or eliminate the compensation or economic benefit due upon attainment of the goals. The performance goals may differ from participant to participant and from award to award.</w:t>
      </w:r>
    </w:p>
    <w:p>
      <w:pPr>
        <w:spacing w:after="0" w:line="124" w:lineRule="exact"/>
        <w:rPr>
          <w:sz w:val="20"/>
          <w:szCs w:val="20"/>
          <w:color w:val="auto"/>
        </w:rPr>
      </w:pPr>
    </w:p>
    <w:p>
      <w:pPr>
        <w:jc w:val="both"/>
        <w:ind w:right="500" w:firstLine="324"/>
        <w:spacing w:after="0" w:line="318" w:lineRule="auto"/>
        <w:rPr>
          <w:sz w:val="20"/>
          <w:szCs w:val="20"/>
          <w:color w:val="auto"/>
        </w:rPr>
      </w:pPr>
      <w:r>
        <w:rPr>
          <w:rFonts w:ascii="Arial" w:cs="Arial" w:eastAsia="Arial" w:hAnsi="Arial"/>
          <w:sz w:val="17"/>
          <w:szCs w:val="17"/>
          <w:i w:val="1"/>
          <w:iCs w:val="1"/>
          <w:color w:val="auto"/>
        </w:rPr>
        <w:t>Other Awards</w:t>
      </w:r>
      <w:r>
        <w:rPr>
          <w:rFonts w:ascii="Arial" w:cs="Arial" w:eastAsia="Arial" w:hAnsi="Arial"/>
          <w:sz w:val="17"/>
          <w:szCs w:val="17"/>
          <w:color w:val="auto"/>
        </w:rPr>
        <w:t>. The administrator may grant other awards based in whole or in part by reference to our Class A common stock.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award (or the cash equivalent) and all other terms and conditions of such awards.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 paid to any individual for service as a</w:t>
      </w:r>
    </w:p>
    <w:p>
      <w:pPr>
        <w:spacing w:after="0" w:line="27"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non-employee director with respect to any fiscal year (including awards granted and cash fees paid by us) will not exceed $ in total value, or in the event such non-employee director is first appointed or elected to our board of directors during such fiscal year, $ in</w:t>
      </w:r>
    </w:p>
    <w:p>
      <w:pPr>
        <w:spacing w:after="0" w:line="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total value (in each case, calculating the value of any such awards based on the grant date fair value of such awards for financial reporting purposes). This limitation will apply beginning with the first fiscal year that begins after the date the 2025 Plan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229" w:right="3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stock split, reverse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or recapitalization, appropriate adjustments will be made to (i) the class and maximum number of shares reserved for issuance under the 2025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awards.</w:t>
      </w:r>
    </w:p>
    <w:p>
      <w:pPr>
        <w:spacing w:after="0" w:line="125"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generally applies to awards under the 2025 Plan in the event of a corporate transaction,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in a participant’s award agreement or other written agreement with us or one of our affiliates that is approved by the administrator or unless otherwise expressly provided by the administrator at the time of grant.</w:t>
      </w:r>
    </w:p>
    <w:p>
      <w:pPr>
        <w:spacing w:after="0" w:line="11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the event of a corporate transaction, any awards outstanding under the 2025 Plan may be assumed, continued or substituted for by any surviving or acquiring corporation (or its parent company), and any reacquisition or repurchase rights held by us with respect to the award may be assigned to the successor (or its parent company). If the surviving or acquiring corporation (or its parent company) does not assume, continue or substitute for any portion of an award held by a participant whose continuous service has not terminated before the effective time of the transaction, or a current participant, the vesting (and exercisability, if applicable) of such portion of the award will be accelerated in full to a date before the effective time of the transaction (contingent upon the effectiveness of the transaction), and such portion of the award will terminate if not exercised (if applicable) at or before the effective time of the transaction, and any reacquisition or repurchase rights held by us with respect to such portion of the award will lapse (contingent upon the effectiveness of the transaction). With respect to the portion of any performance award that is not assumed, continued or substituted for, unless otherwise provided by an award agreement or other written agreement between us and the award holder, such portion of the award will accelerate at 100% of target. If the surviving or acquiring corporation (or its parent company) does not assume, continue or substitute for any portion of the award that is held by a person who is not a current participant, such portion of the award will terminate if not exercised (if applicable) before the effective time of the transaction, except that any reacquisition or repurchase rights held by us with respect to such portion of the award will not terminate and may continue to be exercised despite the transaction. The administrator is not obligated to treat all awards or portions of awards in the same manner and is not obligated to take the same actions with respect to all participants.</w:t>
      </w:r>
    </w:p>
    <w:p>
      <w:pPr>
        <w:spacing w:after="0" w:line="129"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In the event any portion of the award will terminate before the effective time of a transaction, the administrator may provide, in its sole discretion, that the holder of the award will receive a payment equal in value to the excess (if any) of (i) the value of the property the participant would have received with respect to that portion of the award over (ii) any exercise price payable by such holder in connection with that portion of the award.</w:t>
      </w:r>
    </w:p>
    <w:p>
      <w:pPr>
        <w:spacing w:after="0" w:line="12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2025 Plan, a corporate transaction is defined to include the consummation, in a single transaction or in a series of related transactions, of any one or more of the following events: (i) a sale or disposition of all or substantially all of our assets, (ii) a sale or disposition of more than 50% of our outstanding securities, (iii) a merger, consolidation or similar transaction where we do not survive the transaction, and (iv) a merger or consolidation where we do survive the transaction but the shares of our Class A common stock outstanding before such transaction are converted or exchanged into other property by virtue of the transaction, unless otherwise provided in an award agreement or other written agreement between us and the award holder that is approved by the administrator.</w:t>
      </w:r>
    </w:p>
    <w:p>
      <w:pPr>
        <w:spacing w:after="0" w:line="128"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under the 2025 Plan, awards granted under the 2025 Plan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automatic acceleration of vesting and exercisability, although this treatment may be provided for in an award agreement.</w:t>
      </w:r>
    </w:p>
    <w:p>
      <w:pPr>
        <w:spacing w:after="0" w:line="99"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Under the 2025 Plan, a change in control is defined to include: (i) the acquisition by any person or company of more than 50% of the combined voting power of our then-outstanding securities, (ii)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80"/>
          </w:cols>
          <w:pgMar w:left="320" w:top="229" w:right="39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consummated merger, consolidation or similar transaction in which our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our assets other than to an entity more than 50% of the combined voting power of which is owned by our stockholders, and (iv) an unapproved change in the majority of the board of directors.</w:t>
      </w:r>
    </w:p>
    <w:p>
      <w:pPr>
        <w:spacing w:after="0" w:line="10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stock awards under the 2025 Plan other than by will, the laws of descent and distribution,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otherwise provided under the 2025 Plan.</w:t>
      </w:r>
    </w:p>
    <w:p>
      <w:pPr>
        <w:spacing w:after="0" w:line="9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Each award granted under the 2025 Plan will be subject to reduction, cancellation, forfeiture, or recoupment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clawback policy of ours that is in effect as of the date the award is granted and any clawback policy that we are required to adopt under the listing standards of any national securities exchange or association on which our securities are listed or as is otherwise required by applicable laws. In addition, the administrator may impose such other clawback, recovery or recoupment provisions in an award agreement as the administrator determines necessary or appropriate.</w:t>
      </w:r>
    </w:p>
    <w:p>
      <w:pPr>
        <w:spacing w:after="0" w:line="125"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the 2025 Plan, 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such action does not materially impair the existing rights of any participant without such participant’s written consent. Certain material amendments also require the approval of our stockholders. No ISOs may be granted after the tenth anniversary of the date the 2025 Plan becomes effective. No awards may be granted under the 2025 Plan while it is suspended or after it is terminated.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2025 Employee Stock Purchase Plan</w:t>
      </w:r>
    </w:p>
    <w:p>
      <w:pPr>
        <w:spacing w:after="0" w:line="1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Before the completion of this offering, our board of directors intends to adopt our 2025 ESPP. The 2025 ESPP will become effective upon the effective date of the registration statement of which this prospectus forms a part. The purpose of the 2025 ESPP is to secure and retain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ordinary shares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w:t>
      </w:r>
    </w:p>
    <w:p>
      <w:pPr>
        <w:spacing w:after="0" w:line="13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Following this offering, the 2025 ESPP authorizes the issuance of shares of our Class A common stock under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granted to our employees or to employees of any of our designated affiliates. The number of shares of our Class A common stock reserved for issuance will automatically increase on the first day of each of our 2027 through 2036 fiscal years (assuming the 2025 ESPP becomes effective in our 2026 fiscal year), by the lesser of (i) % of the total number of shares of all classes of our common stock outstanding on the last day of the previous fiscal year or (ii) shares; provided that before the date of any such increase, the 2025 ESPP’s administrator may determine that such increase will be less than such amount. As of the date hereof, no shares have been purchased under the 2025 ESPP.</w:t>
      </w:r>
    </w:p>
    <w:p>
      <w:pPr>
        <w:spacing w:after="0" w:line="129"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duly authorized committee thereof, will administer our ESPP. In this summary of the 2025</w:t>
      </w:r>
      <w:r>
        <w:rPr>
          <w:rFonts w:ascii="Arial" w:cs="Arial" w:eastAsia="Arial" w:hAnsi="Arial"/>
          <w:sz w:val="18"/>
          <w:szCs w:val="18"/>
          <w:i w:val="1"/>
          <w:iCs w:val="1"/>
          <w:color w:val="auto"/>
        </w:rPr>
        <w:t xml:space="preserve"> </w:t>
      </w:r>
      <w:r>
        <w:rPr>
          <w:rFonts w:ascii="Arial" w:cs="Arial" w:eastAsia="Arial" w:hAnsi="Arial"/>
          <w:sz w:val="18"/>
          <w:szCs w:val="18"/>
          <w:color w:val="auto"/>
        </w:rPr>
        <w:t>ESPP, we sometimes refer to our board of directors or the applicable committee with the power to administer the 2025 ESPP as the administrator.</w:t>
      </w:r>
    </w:p>
    <w:p>
      <w:pPr>
        <w:spacing w:after="0" w:line="11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Subject to the limitations of the 2025 ESPP, the administrator’s powers include the authority to (i) determine how and when purchase rights under the 2025 ESPP will be granted and the provisions of each offering under the 2025 ESPP, (ii) designate which affiliates will be eligible to participate in the 2025 ESPP, (iii) construe, interpret, and settle all controversies regarding the 2025 ESPP and the purchase rights granted under the 2025 ESPP, (iv) establish, amend, and revoke rules and regulations for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229"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administration, (v) exercise such powers and perform such acts as it deems necessary or expedient to promote the best interests of ours and our affiliates, (vi) carry out the intent that the 2025 ESPP be treated as an employee stock purchase plan with respect to the Section 423 component, and (vii) adopt such rules, procedures and sub-plans as are necessary or appropriate to permit or facilitate participation in the 2025 ESPP by employees who are non-U.S. nationals or employed or located outside the United States. To the extent permitted by applicable law, our board of directors or such committee may delegate some or all of its authority under the 2025 ESPP to one or more of our officers or other persons. All determinations, interpretations, and constructions made by the administrator will not be subject to review by any person and will be final, binding and conclusive on all persons.</w:t>
      </w:r>
    </w:p>
    <w:p>
      <w:pPr>
        <w:spacing w:after="0" w:line="1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Offerings. </w:t>
      </w:r>
      <w:r>
        <w:rPr>
          <w:rFonts w:ascii="Arial" w:cs="Arial" w:eastAsia="Arial" w:hAnsi="Arial"/>
          <w:sz w:val="18"/>
          <w:szCs w:val="18"/>
          <w:color w:val="auto"/>
        </w:rPr>
        <w:t>The 2025 ESPP is implemented through a series of offerings under which eligible employees are granted purchase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shares of our Class A common stock on specified dates during such offerings. Under the 2025 ESPP, we may specify offerings with durations of not more than 27 months and may specify shorter purchase periods within each offering. Each offering will have one or more purchase dates on which shares will be purchased for employees participating in the offering. An offering under the 2025 ESPP may be terminated under certain circumstances.</w:t>
      </w:r>
    </w:p>
    <w:p>
      <w:pPr>
        <w:spacing w:after="0" w:line="1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Employees may have to satisfy one or more of the following service requirements before participating in the 2025 ESPP,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including: (i) customary employment with us or one of our affiliates for more than 20 hours per week and more than five months per calendar year or (ii) continuous employment with us or one of our affiliates for a minimum period of time (not to exceed two years). No employee may be granted rights to purchase shares under the 2025 ESPP that accrue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2025 ESPP if immediately after such rights are granted, such employee would be deemed to own capital stock and/or hold outstanding options to purchase such stock possessing 5% or more of the total combined voting power or value of all classes of capital stock of ours or of any parent or subsidiary of ours under Section 424(d) of the Code.</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Generally, all regular employees, including executive officers, employed by us or by any of our designated affiliates,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in the 2025 ESPP and to contribute, normally through payroll deductions, up to a maximum percentage of their earnings (as defined in the 2025 ESPP) or up to a set dollar amount for the purchase of shares under the 2025 ESPP.</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Exercise of Purchase Rights. </w:t>
      </w:r>
      <w:r>
        <w:rPr>
          <w:rFonts w:ascii="Arial" w:cs="Arial" w:eastAsia="Arial" w:hAnsi="Arial"/>
          <w:sz w:val="18"/>
          <w:szCs w:val="18"/>
          <w:color w:val="auto"/>
        </w:rPr>
        <w:t>On each purchase date of an offering, shares will be purchased for the accounts of employees participating</w:t>
      </w:r>
      <w:r>
        <w:rPr>
          <w:rFonts w:ascii="Arial" w:cs="Arial" w:eastAsia="Arial" w:hAnsi="Arial"/>
          <w:sz w:val="18"/>
          <w:szCs w:val="18"/>
          <w:i w:val="1"/>
          <w:iCs w:val="1"/>
          <w:color w:val="auto"/>
        </w:rPr>
        <w:t xml:space="preserve"> </w:t>
      </w:r>
      <w:r>
        <w:rPr>
          <w:rFonts w:ascii="Arial" w:cs="Arial" w:eastAsia="Arial" w:hAnsi="Arial"/>
          <w:sz w:val="18"/>
          <w:szCs w:val="18"/>
          <w:color w:val="auto"/>
        </w:rPr>
        <w:t>in the offering at a price per share that is at least the lesser of (i) 85% of the fair market value of a share of our Class A common stock on the first date of the offering or (ii) 85% of the fair market value of a share of our Class A common stock on the date of purchase. A participant may purchase up to the maximum number of shares permitted by the 2025 ESPP and the terms of the offering. The administrator will have the discretion to structure an offering so that if the fair market value of a share of our Class A common stock on the first trading day of a new purchase period within that offering does not exceed the fair market value of a share of Class A common stock on the first day of that offering, then (i) that offering will terminate immediately, and (ii) the participants in such terminated offering will be automatically enrolled in a new offering beginning on that trading day. Participants may end their participation at any time during an offering and will be paid their accrued contributions that have not yet been used to purchase shares. Participation ends automatically upon termination of employment with us.</w:t>
      </w:r>
    </w:p>
    <w:p>
      <w:pPr>
        <w:spacing w:after="0" w:line="131" w:lineRule="exact"/>
        <w:rPr>
          <w:sz w:val="20"/>
          <w:szCs w:val="20"/>
          <w:color w:val="auto"/>
        </w:rPr>
      </w:pPr>
    </w:p>
    <w:p>
      <w:pPr>
        <w:ind w:right="540" w:firstLine="324"/>
        <w:spacing w:after="0" w:line="259"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that there occurs a change in our capital structure through such actions as a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reorganization, recapitalization, reincorporation, stock dividend, dividend in property other than cash, large nonrecurring cash dividend, liquidating dividend, combination of shares, exchange of shares, change in corporate structure, or similar transaction, the administrator will make appropriate adjustments to: (i) the number of shares reserved under the 2025 ESPP, (ii) the maximum number of shares by which the share reserve may increase automatically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229" w:right="3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year, (iii) the number of shares and purchase price of all outstanding purchase rights, and (iv) the number of shares that are subject to purchase limits under ongoing offerings.</w:t>
      </w:r>
    </w:p>
    <w:p>
      <w:pPr>
        <w:spacing w:after="0" w:line="9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certain significant corporate transactions, including the consummation, in a single transaction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in a series of related transactions, of any one or more of the following events: (i) a sale of all or substantially all of our assets, (ii) a sale or disposition of more than 50% of our outstanding securities, (iii) a merger or consolidation where we do not survive the transaction, and (iv)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2025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within ten business days before such corporate transaction, and such purchase rights will terminate immediately after such purchase.</w:t>
      </w:r>
    </w:p>
    <w:p>
      <w:pPr>
        <w:spacing w:after="0" w:line="127"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A participant will not be permitted to transfer contributions credited to such participant’s account or rights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ESPP (other than by will, the laws of descent and distribution or as otherwise provided under our ESPP).</w:t>
      </w:r>
    </w:p>
    <w:p>
      <w:pPr>
        <w:spacing w:after="0" w:line="99"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i w:val="1"/>
          <w:iCs w:val="1"/>
          <w:color w:val="auto"/>
        </w:rPr>
        <w:t xml:space="preserve">ESPP Amendment or Termination. </w:t>
      </w:r>
      <w:r>
        <w:rPr>
          <w:rFonts w:ascii="Arial" w:cs="Arial" w:eastAsia="Arial" w:hAnsi="Arial"/>
          <w:sz w:val="18"/>
          <w:szCs w:val="18"/>
          <w:color w:val="auto"/>
        </w:rPr>
        <w:t>The administrator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71"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Our amended and restated certificate of incorporation that will become effective in connection with this offering contains provisions that will limit the liability of our directors and officers for monetary damages to the fullest extent permitted by the DGCL. Consequently, our directors and officers will not be personally liable to us or our stockholders for monetary damages for any breach of fiduciary duties as directors or officers, except liability for:</w:t>
      </w:r>
    </w:p>
    <w:p>
      <w:pPr>
        <w:spacing w:after="0" w:line="122"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us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respect to directors, unlawful payments of dividends or unlawful stock repurchases or redemptions as provided in Section 174 of the DGCL;</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respect to officers, any action by or in the right of the corporation.</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amended and restated certificate of incorporation and our restated bylaws that will become effective in connection with this offering will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w:t>
      </w:r>
    </w:p>
    <w:p>
      <w:pPr>
        <w:spacing w:after="0" w:line="12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320" w:top="229" w:right="3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17"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We believe that these provisions in our amended and restated certificate of incorporation and indemnification agreements are necessary to attract and retain qualified persons such as directors, officers, and key employees. We also maintain directors’ and officers’ liability insurance.</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restated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25" w:lineRule="exact"/>
        <w:rPr>
          <w:sz w:val="20"/>
          <w:szCs w:val="20"/>
          <w:color w:val="auto"/>
        </w:rPr>
      </w:pPr>
    </w:p>
    <w:p>
      <w:pPr>
        <w:jc w:val="both"/>
        <w:ind w:right="560" w:firstLine="324"/>
        <w:spacing w:after="0" w:line="268"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229" w:right="3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740" w:firstLine="2749"/>
        <w:spacing w:after="0" w:line="438" w:lineRule="auto"/>
        <w:rPr>
          <w:sz w:val="20"/>
          <w:szCs w:val="20"/>
          <w:color w:val="auto"/>
        </w:rPr>
      </w:pPr>
      <w:r>
        <w:rPr>
          <w:rFonts w:ascii="Arial" w:cs="Arial" w:eastAsia="Arial" w:hAnsi="Arial"/>
          <w:sz w:val="18"/>
          <w:szCs w:val="18"/>
          <w:b w:val="1"/>
          <w:bCs w:val="1"/>
          <w:color w:val="auto"/>
        </w:rPr>
        <w:t>CERTAIN RELATIONSHIPS AND RELATED PARTY TRANSACTIONS Series G and Series G-1 Redeemable Convertible Preferred Stock Financing</w:t>
      </w:r>
    </w:p>
    <w:p>
      <w:pPr>
        <w:spacing w:after="0" w:line="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Between July and September 2022, we sold an aggregate of 8,010,958 shares of our Series G redeemable convertible preferred stock and 4,325,909 shares of our Series G-1 redeemable convertible preferred stock, at a purchase price of $12.4829 per share for an aggregate purchase price of approximately $154.0 million. Each share of our Series G and Series G-1 redeemable convertible preferred stock will convert automatically into one share of our Class A common stock upon the completion of this offering.</w:t>
      </w:r>
    </w:p>
    <w:p>
      <w:pPr>
        <w:spacing w:after="0" w:line="122"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following table summarizes the Series G and Series G-1 redeemable convertible preferred stock purchased by entities affiliated with certain of our directors and holders of more than 5% of our outstanding capital stock:</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 Series G</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 Series G-1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Redeemable</w:t>
            </w:r>
          </w:p>
        </w:tc>
        <w:tc>
          <w:tcPr>
            <w:tcW w:w="16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Redeemable</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6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Convertible Preferred</w:t>
            </w:r>
          </w:p>
        </w:tc>
        <w:tc>
          <w:tcPr>
            <w:tcW w:w="16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97"/>
        </w:trPr>
        <w:tc>
          <w:tcPr>
            <w:tcW w:w="634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Andreessen Horowitz</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1,201,643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14,999,989</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Lightspeed Venture Partners</w:t>
            </w:r>
            <w:r>
              <w:rPr>
                <w:rFonts w:ascii="Arial" w:cs="Arial" w:eastAsia="Arial" w:hAnsi="Arial"/>
                <w:sz w:val="23"/>
                <w:szCs w:val="23"/>
                <w:color w:val="auto"/>
                <w:vertAlign w:val="superscript"/>
              </w:rPr>
              <w:t>(2)</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1,201,640</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14,999,952</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Zeev Ventures</w:t>
            </w:r>
            <w:r>
              <w:rPr>
                <w:rFonts w:ascii="Arial" w:cs="Arial" w:eastAsia="Arial" w:hAnsi="Arial"/>
                <w:sz w:val="23"/>
                <w:szCs w:val="23"/>
                <w:color w:val="auto"/>
                <w:vertAlign w:val="superscript"/>
              </w:rPr>
              <w:t>(3)</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4,999,988</w:t>
            </w:r>
          </w:p>
        </w:tc>
        <w:tc>
          <w:tcPr>
            <w:tcW w:w="0" w:type="dxa"/>
            <w:vAlign w:val="bottom"/>
          </w:tcPr>
          <w:p>
            <w:pPr>
              <w:spacing w:after="0"/>
              <w:rPr>
                <w:sz w:val="1"/>
                <w:szCs w:val="1"/>
                <w:color w:val="auto"/>
              </w:rPr>
            </w:pPr>
          </w:p>
        </w:tc>
      </w:tr>
      <w:tr>
        <w:trPr>
          <w:trHeight w:val="311"/>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Entities affiliated with Premji Invest</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8,010,958</w:t>
            </w:r>
          </w:p>
        </w:tc>
        <w:tc>
          <w:tcPr>
            <w:tcW w:w="100" w:type="dxa"/>
            <w:vAlign w:val="bottom"/>
          </w:tcPr>
          <w:p>
            <w:pPr>
              <w:spacing w:after="0"/>
              <w:rPr>
                <w:sz w:val="24"/>
                <w:szCs w:val="24"/>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99,999,988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p>
    <w:p>
      <w:pPr>
        <w:jc w:val="both"/>
        <w:ind w:left="340" w:right="300" w:hanging="332"/>
        <w:spacing w:after="0" w:line="252" w:lineRule="auto"/>
        <w:tabs>
          <w:tab w:leader="none" w:pos="3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1,201,643 shares purchased by Andreessen Horowitz LSV Fund III, L.P., as nominee. Andreessen Horowitz and its affiliates beneficially own more than 5% of our outstanding capital stock. Ben Horowitz, a member of our board of directors, is a General Partner at Andreessen Horowitz.</w:t>
      </w:r>
    </w:p>
    <w:p>
      <w:pPr>
        <w:spacing w:after="0" w:line="1" w:lineRule="exact"/>
        <w:rPr>
          <w:rFonts w:ascii="Arial" w:cs="Arial" w:eastAsia="Arial" w:hAnsi="Arial"/>
          <w:sz w:val="16"/>
          <w:szCs w:val="16"/>
          <w:color w:val="auto"/>
        </w:rPr>
      </w:pPr>
    </w:p>
    <w:p>
      <w:pPr>
        <w:ind w:left="340" w:right="20" w:hanging="332"/>
        <w:spacing w:after="0" w:line="255" w:lineRule="auto"/>
        <w:tabs>
          <w:tab w:leader="none" w:pos="3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(i) 600,821 shares purchased by Lightspeed Strategic Partners I, L.P., (ii) 200,273 shares purchased by Lightspeed Opportunity Fund, L.P., (iii) 200,273 shares purchased by Lightspeed Venture Partners Select II, L.P., and (iv) 200,273 shares purchased by Lightspeed Venture Partners Select</w:t>
      </w:r>
    </w:p>
    <w:p>
      <w:pPr>
        <w:spacing w:after="0" w:line="1" w:lineRule="exact"/>
        <w:rPr>
          <w:sz w:val="20"/>
          <w:szCs w:val="20"/>
          <w:color w:val="auto"/>
        </w:rPr>
      </w:pPr>
    </w:p>
    <w:p>
      <w:pPr>
        <w:ind w:left="340"/>
        <w:spacing w:after="0" w:line="249" w:lineRule="auto"/>
        <w:rPr>
          <w:sz w:val="20"/>
          <w:szCs w:val="20"/>
          <w:color w:val="auto"/>
        </w:rPr>
      </w:pPr>
      <w:r>
        <w:rPr>
          <w:rFonts w:ascii="Arial" w:cs="Arial" w:eastAsia="Arial" w:hAnsi="Arial"/>
          <w:sz w:val="16"/>
          <w:szCs w:val="16"/>
          <w:color w:val="auto"/>
        </w:rPr>
        <w:t>III, L.P. Lightspeed Venture Partners and its affiliates beneficially own more than 5% of our outstanding capital stock. Arif Janmohamed, a member of our board of directors, is a Partner at Lightspeed Venture Partners.</w:t>
      </w:r>
    </w:p>
    <w:p>
      <w:pPr>
        <w:ind w:left="340" w:right="400" w:hanging="332"/>
        <w:spacing w:after="0" w:line="255" w:lineRule="auto"/>
        <w:tabs>
          <w:tab w:leader="none" w:pos="33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400,547 shares purchased by Zeev Ventures VIII, LP. Zeev Ventures and its affiliates beneficially own more than 5% of our outstanding capital stock. Oren Zeev, a member of our board of directors, is a Managing Director of Zeev Ventures.</w:t>
      </w:r>
    </w:p>
    <w:p>
      <w:pPr>
        <w:ind w:left="340" w:right="20" w:hanging="332"/>
        <w:spacing w:after="0" w:line="283" w:lineRule="auto"/>
        <w:tabs>
          <w:tab w:leader="none" w:pos="33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8,010,958 shares purchased by an entity affiliated with Premji Invest. Sandesh Patnam, a member of our board of directors, is the Managing Partner of Premji Invest.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Simple Agreements for Future Equity and Common Stock Warrants</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February 2025, an entity affiliated with Premji Invest purchased $100.0 million principal amount of SAFEs and was issued warrants to purchase up to approximately 0.29% of our fully diluted capitalization as of the initial public filing of the registration statement of which this prospectus forms a part, at an exercise price of $0.01 per share. In addition, Sandesh Patnam purchased $600,000 principal amount of SAFEs and was issued warrants to purchase 0.0017% of our fully diluted capitalization as of the initial public filing of the registration statement of which this prospectus forms a part, at an exercise price of $ 0.01 per share. The SAFEs accrue interest at an annual rate of 12%. The principal amount of the SAFEs, including accrued interest, will automatically convert in connection with the closing of this offering. Mr. Patnam, a member of our board of directors, is the Managing Partner of Premji Invest, which is a holder of more than 5% of our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229"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Transactions</w:t>
      </w:r>
    </w:p>
    <w:p>
      <w:pPr>
        <w:spacing w:after="0" w:line="171"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We waived our right of first refusal and transfer restrictions, and the requisite stockholders waived their right of first refusal and right of co-sale in connection with the following stock transfers:</w:t>
      </w:r>
    </w:p>
    <w:p>
      <w:pPr>
        <w:spacing w:after="0" w:line="99" w:lineRule="exact"/>
        <w:rPr>
          <w:sz w:val="20"/>
          <w:szCs w:val="20"/>
          <w:color w:val="auto"/>
        </w:rPr>
      </w:pPr>
    </w:p>
    <w:p>
      <w:pPr>
        <w:ind w:left="660" w:right="120" w:hanging="328"/>
        <w:spacing w:after="0" w:line="268"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May 2025, Ilan Twig, our Chief Technology Officer and co-founder and a member of our board of directors, entered into stock transfer agreements with an existing investor pursuant to which he sold and transferred 238,095 shares of common stock at a price of $7.00 per share, for proceeds of approximately $1.7 million.</w:t>
      </w:r>
    </w:p>
    <w:p>
      <w:pPr>
        <w:spacing w:after="0" w:line="116" w:lineRule="exact"/>
        <w:rPr>
          <w:rFonts w:ascii="Arial" w:cs="Arial" w:eastAsia="Arial" w:hAnsi="Arial"/>
          <w:sz w:val="18"/>
          <w:szCs w:val="18"/>
          <w:color w:val="auto"/>
        </w:rPr>
      </w:pPr>
    </w:p>
    <w:p>
      <w:pPr>
        <w:ind w:left="660" w:right="140" w:hanging="328"/>
        <w:spacing w:after="0" w:line="291" w:lineRule="auto"/>
        <w:tabs>
          <w:tab w:leader="none" w:pos="6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May 2025, certain trusts affiliated with Ariel Cohen, our Chief Executive Officer and co-founder and chairperson of our board of directors, entered into stock transfer agreements with an existing investor pursuant to which such trusts sold and transferred, in the aggregate, 238,095 shares of common stock at a price of $7.00 per share, for aggregate proceeds of approximately $1.7 million.</w:t>
      </w:r>
    </w:p>
    <w:p>
      <w:pPr>
        <w:spacing w:after="0" w:line="98" w:lineRule="exact"/>
        <w:rPr>
          <w:rFonts w:ascii="Arial" w:cs="Arial" w:eastAsia="Arial" w:hAnsi="Arial"/>
          <w:sz w:val="17"/>
          <w:szCs w:val="17"/>
          <w:color w:val="auto"/>
        </w:rPr>
      </w:pPr>
    </w:p>
    <w:p>
      <w:pPr>
        <w:ind w:left="660" w:right="60" w:hanging="328"/>
        <w:spacing w:after="0" w:line="268"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April 2023, an entity affiliated with Andreessen Horowitz, a holder of more than 5% of our outstanding capital stock, entered into a stock transfer agreement with an investor pursuant to which Andreessen Horowitz purchased 603,920 shares of our Series A Preferred Stock at a purchase price of $8.00 per share, for an aggregate purchase price of approximately $4.8 million.</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January 2023, Ariel Cohen entered into a stock transfer agreement with an existing investor pursuant to which Mr. Cohen sold and transferred 53,406 shares of common stock at a price of $9.3621 per share, for aggregate proceeds of approximately $500,000.</w:t>
      </w:r>
    </w:p>
    <w:p>
      <w:pPr>
        <w:spacing w:after="0" w:line="98" w:lineRule="exact"/>
        <w:rPr>
          <w:rFonts w:ascii="Arial" w:cs="Arial" w:eastAsia="Arial" w:hAnsi="Arial"/>
          <w:sz w:val="18"/>
          <w:szCs w:val="18"/>
          <w:color w:val="auto"/>
        </w:rPr>
      </w:pPr>
    </w:p>
    <w:p>
      <w:pPr>
        <w:jc w:val="both"/>
        <w:ind w:left="660" w:right="380" w:hanging="328"/>
        <w:spacing w:after="0" w:line="318" w:lineRule="auto"/>
        <w:tabs>
          <w:tab w:leader="none" w:pos="6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January 2023, Ilan Twig entered into a stock transfer agreement with an existing investor pursuant to which Mr. Twig sold and transferred 53,406 shares of common stock at a price of $9.3621 per share, for aggregate proceeds of approximately $500,000.</w:t>
      </w:r>
    </w:p>
    <w:p>
      <w:pPr>
        <w:spacing w:after="0" w:line="75" w:lineRule="exact"/>
        <w:rPr>
          <w:rFonts w:ascii="Arial" w:cs="Arial" w:eastAsia="Arial" w:hAnsi="Arial"/>
          <w:sz w:val="17"/>
          <w:szCs w:val="17"/>
          <w:color w:val="auto"/>
        </w:rPr>
      </w:pPr>
    </w:p>
    <w:p>
      <w:pPr>
        <w:ind w:left="660" w:right="180" w:hanging="328"/>
        <w:spacing w:after="0" w:line="318" w:lineRule="auto"/>
        <w:tabs>
          <w:tab w:leader="none" w:pos="6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November 2022, Ariel Cohen entered into a stock transfer agreement with a new investor pursuant to which Mr. Cohen sold and transferred 80,110 shares of common stock at a price of $9.3621 per share, for aggregate proceeds of approximately $750,000.</w:t>
      </w:r>
    </w:p>
    <w:p>
      <w:pPr>
        <w:spacing w:after="0" w:line="75" w:lineRule="exact"/>
        <w:rPr>
          <w:rFonts w:ascii="Arial" w:cs="Arial" w:eastAsia="Arial" w:hAnsi="Arial"/>
          <w:sz w:val="17"/>
          <w:szCs w:val="17"/>
          <w:color w:val="auto"/>
        </w:rPr>
      </w:pPr>
    </w:p>
    <w:p>
      <w:pPr>
        <w:ind w:left="660" w:right="400" w:hanging="328"/>
        <w:spacing w:after="0" w:line="318" w:lineRule="auto"/>
        <w:tabs>
          <w:tab w:leader="none" w:pos="6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November 2022, Ilan Twig entered into a stock transfer agreement with new investors pursuant to which Mr. Twig sold and transferred 80,109 shares of common stock at a price of $9.3621 per share, for aggregate proceeds of approximately $750,000.</w:t>
      </w:r>
    </w:p>
    <w:p>
      <w:pPr>
        <w:spacing w:after="0" w:line="75" w:lineRule="exact"/>
        <w:rPr>
          <w:rFonts w:ascii="Arial" w:cs="Arial" w:eastAsia="Arial" w:hAnsi="Arial"/>
          <w:sz w:val="17"/>
          <w:szCs w:val="17"/>
          <w:color w:val="auto"/>
        </w:rPr>
      </w:pPr>
    </w:p>
    <w:p>
      <w:pPr>
        <w:ind w:left="660" w:right="100" w:hanging="328"/>
        <w:spacing w:after="0" w:line="262"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November 2022, entities affiliated with Zeev Ventures, a holder of more than 5% of our outstanding capital stock, entered into stock transfer agreements with an existing investor and certain new investors pursuant to which Zeev Ventures sold and transferred 320,441 shares of our Series C Preferred Stock at a purchase price of $9.3621 per share and 640,882 shares of our Series B Preferred Stock at a purchase price of $9.3621 per share, for aggregate proceeds of approximately $9.0 million.</w:t>
      </w:r>
    </w:p>
    <w:p>
      <w:pPr>
        <w:spacing w:after="0" w:line="122" w:lineRule="exact"/>
        <w:rPr>
          <w:rFonts w:ascii="Arial" w:cs="Arial" w:eastAsia="Arial" w:hAnsi="Arial"/>
          <w:sz w:val="18"/>
          <w:szCs w:val="18"/>
          <w:color w:val="auto"/>
        </w:rPr>
      </w:pPr>
    </w:p>
    <w:p>
      <w:pPr>
        <w:jc w:val="both"/>
        <w:ind w:left="660" w:right="380" w:hanging="328"/>
        <w:spacing w:after="0" w:line="268"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March 2022, an entity affiliated with Zeev Ventures entered into a stock transfer agreement with an investor pursuant to which Zeev Ventures purchased 290,888 shares of our Series Seed Preferred Stock at a purchase price of $10.7825 per share, for an aggregate purchase price of approximately $3.1 million.</w:t>
      </w:r>
    </w:p>
    <w:p>
      <w:pPr>
        <w:spacing w:after="0" w:line="116" w:lineRule="exact"/>
        <w:rPr>
          <w:rFonts w:ascii="Arial" w:cs="Arial" w:eastAsia="Arial" w:hAnsi="Arial"/>
          <w:sz w:val="18"/>
          <w:szCs w:val="18"/>
          <w:color w:val="auto"/>
        </w:rPr>
      </w:pPr>
    </w:p>
    <w:p>
      <w:pPr>
        <w:jc w:val="both"/>
        <w:ind w:left="660" w:right="40" w:hanging="328"/>
        <w:spacing w:after="0" w:line="268"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February 2022, entities affiliated with Zeev Ventures entered into a stock transfer agreement with a shareholder pursuant to which Zeev Ventures purchased 181,153 shares of common stock at a purchase price of $9.70 per share, for an aggregate purchase price of approximately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229" w:right="37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Employment Relationships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brother-in-law of Clara Liang, one of our directors, was employed by us until October 2022 as our Chief Information Security Officer. His total compensation for fiscal year 2023 was approximately $310,770. The compensation of Ms. Liang’s brother-in-law was determined in accordance with the Company’s compensation practices applicable to employees with comparable qualifications and responsibilities and holding similar positions. He received benefits available to all our employees, including participation in various employee health and welfare benefit plans, and he was eligible for equity awards on the same general terms and conditions as applicable to employees in similar positions who do not have such family relationships. Ms. Liang joined our board of directors in September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enter into an exchange agreement with our co-founders, Messrs. Cohen and Twig, effective as of the effectiveness of the</w:t>
      </w:r>
    </w:p>
    <w:p>
      <w:pPr>
        <w:spacing w:after="0" w:line="2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registration statement of which this prospectus forms a part, pursuant to which shares of our Class A common stock held by such co-founders and certain related entities prior to the effectiveness of the registration statement of which this prospectus forms a part will automatically be exchanged for an equivalent number of shares of our Class B common stock immediately prior to the completion of this offering. In addition, following the completion of this offering, and pursuant to Equity Exchange Right Agreements to be entered into between us and each of our co-founders, our co-founders shall have a right (but not an obligation), to require us to exchange any shares of Class A common stock received upon the vesting and settlement of RSUs related to shares of Class A common stock or upon the exercise of stock options to purchase shares of Class A common stock for an equivalent number of shares of Class B common stock. These equity exchange rights apply only to equity awards granted to our co-founders prior to the effectiveness of the filing of our amended and restated certificate of</w:t>
      </w:r>
    </w:p>
    <w:p>
      <w:pPr>
        <w:spacing w:after="0" w:line="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incorporation, which includes shares of our Class A common stock subject to RSUs held by our co-founders or issuable upon the exercise of stock options to purchase shares of Class A common stock that may be exchanged, upon settlement, for an equivalent number of shares of our Class B common stock following this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are party to an amended and restated investors’ rights agreement, or our IRA, which provides, among other things, that certain holders of our capital stock, including entities affiliated with Andreessen Horowitz, Lightspeed Venture Partners, and Zeev Ventures, which each hold more than 5% of our outstanding capital stock, have the right to demand that we file a registration statement or request that their shares of our capital stock be included on a registration statement that we are otherwise filing. See the section titled “Description of Capital Stock—Registration Rights” for more information regarding these registration rights.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7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Pursuant to our Voting Agreement, certain holders of our capital stock have agreed to vote their shares on certain matters, including with respect to the election of members of our board of directors. See the section titled “Management—Board of Directors” for more information regarding the election of members of our board of directors pursuant to our Voting Agreement. Holders of our capital stock, including entities affiliated with Andreessen Horowitz, Lightspeed Venture Partners and Zeev Ventures, which each hold more than 5% of our outstanding capital stock, as well as Ariel Cohen, the chairperson of our board of directors and Chief Executive Officer, and Ilan Twig, a member of our board of directors and Chief Technology Officer, are parties to our Voting Agreement. Our Voting Agreement will terminate upon the completion of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1"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At the time of this offering, we will adopt a policy that our executive officers, directors, nominees for election as a director, beneficial owners of more than 5% of any class of our common stock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229" w:right="3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members of the immediate family of any of the foregoing persons are not permitted to enter into a related person transaction that would be required to be disclosed pursuant to Item 404(a) of Regulation S-K without the approval or ratification of our audit committee or another independent body of our board of directors. In reviewing any related person transaction, our audit committee or another independent body of our board of directors will consider all relevant facts and circumstances, including (a) the risks, costs, and benefits to us, (b) the impact on a director’s independence where applicable, (c) the availability of comparable services or products and (d) the terms as compared to terms from unrelated third parties. The audit committee or other independent body of our board of directors will approve only those related party transactions that are in, or are not inconsistent with, our interests and the interests of our stockholders, as determined in the good faith exercise of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60"/>
          </w:cols>
          <w:pgMar w:left="320" w:top="229" w:right="41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AND SELLING STOCKHOLDERS</w:t>
      </w:r>
    </w:p>
    <w:p>
      <w:pPr>
        <w:spacing w:after="0" w:line="171" w:lineRule="exact"/>
        <w:rPr>
          <w:sz w:val="20"/>
          <w:szCs w:val="20"/>
          <w:color w:val="auto"/>
        </w:rPr>
      </w:pPr>
    </w:p>
    <w:p>
      <w:pPr>
        <w:jc w:val="center"/>
        <w:ind w:right="-239"/>
        <w:spacing w:after="0"/>
        <w:tabs>
          <w:tab w:leader="none" w:pos="440" w:val="left"/>
        </w:tabs>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w:t>
      </w:r>
      <w:r>
        <w:rPr>
          <w:sz w:val="20"/>
          <w:szCs w:val="20"/>
          <w:color w:val="auto"/>
        </w:rPr>
        <w:tab/>
      </w:r>
      <w:r>
        <w:rPr>
          <w:rFonts w:ascii="Arial" w:cs="Arial" w:eastAsia="Arial" w:hAnsi="Arial"/>
          <w:sz w:val="17"/>
          <w:szCs w:val="17"/>
          <w:color w:val="auto"/>
        </w:rPr>
        <w:t>, 2025 and as</w:t>
      </w:r>
    </w:p>
    <w:p>
      <w:pPr>
        <w:spacing w:after="0" w:line="27"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color w:val="auto"/>
        </w:rPr>
        <w:t>adjusted to reflect the sale of our Class A common stock in this offering assuming no exercise of the underwriters’ option to purchase additional shares, for:</w:t>
      </w:r>
    </w:p>
    <w:p>
      <w:pPr>
        <w:spacing w:after="0" w:line="117"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the outstanding shares of our Class A or Class B common stock;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selling stockholder.</w:t>
      </w:r>
    </w:p>
    <w:p>
      <w:pPr>
        <w:spacing w:after="0" w:line="171" w:lineRule="exact"/>
        <w:rPr>
          <w:sz w:val="20"/>
          <w:szCs w:val="20"/>
          <w:color w:val="auto"/>
        </w:rPr>
      </w:pPr>
    </w:p>
    <w:p>
      <w:pPr>
        <w:jc w:val="both"/>
        <w:ind w:right="200" w:firstLine="324"/>
        <w:spacing w:after="0" w:line="262"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22" w:lineRule="exact"/>
        <w:rPr>
          <w:sz w:val="20"/>
          <w:szCs w:val="20"/>
          <w:color w:val="auto"/>
        </w:rPr>
      </w:pPr>
    </w:p>
    <w:p>
      <w:pPr>
        <w:ind w:left="340"/>
        <w:spacing w:after="0"/>
        <w:tabs>
          <w:tab w:leader="none" w:pos="7600" w:val="left"/>
        </w:tabs>
        <w:rPr>
          <w:sz w:val="20"/>
          <w:szCs w:val="20"/>
          <w:color w:val="auto"/>
        </w:rPr>
      </w:pPr>
      <w:r>
        <w:rPr>
          <w:rFonts w:ascii="Arial" w:cs="Arial" w:eastAsia="Arial" w:hAnsi="Arial"/>
          <w:sz w:val="18"/>
          <w:szCs w:val="18"/>
          <w:color w:val="auto"/>
        </w:rPr>
        <w:t>Applicable percentage ownership of our common stock before this offering is based on</w:t>
      </w:r>
      <w:r>
        <w:rPr>
          <w:sz w:val="20"/>
          <w:szCs w:val="20"/>
          <w:color w:val="auto"/>
        </w:rPr>
        <w:tab/>
      </w:r>
      <w:r>
        <w:rPr>
          <w:rFonts w:ascii="Arial" w:cs="Arial" w:eastAsia="Arial" w:hAnsi="Arial"/>
          <w:sz w:val="17"/>
          <w:szCs w:val="17"/>
          <w:color w:val="auto"/>
        </w:rPr>
        <w:t>shares of our Class A common stock</w:t>
      </w:r>
    </w:p>
    <w:p>
      <w:pPr>
        <w:spacing w:after="0" w:line="27" w:lineRule="exact"/>
        <w:rPr>
          <w:sz w:val="20"/>
          <w:szCs w:val="20"/>
          <w:color w:val="auto"/>
        </w:rPr>
      </w:pPr>
    </w:p>
    <w:p>
      <w:pPr>
        <w:spacing w:after="0"/>
        <w:tabs>
          <w:tab w:leader="none" w:pos="680" w:val="left"/>
          <w:tab w:leader="none" w:pos="66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shares of our Class B common stock outstanding, in each case, as of</w:t>
      </w:r>
      <w:r>
        <w:rPr>
          <w:sz w:val="20"/>
          <w:szCs w:val="20"/>
          <w:color w:val="auto"/>
        </w:rPr>
        <w:tab/>
      </w:r>
      <w:r>
        <w:rPr>
          <w:rFonts w:ascii="Arial" w:cs="Arial" w:eastAsia="Arial" w:hAnsi="Arial"/>
          <w:sz w:val="17"/>
          <w:szCs w:val="17"/>
          <w:color w:val="auto"/>
        </w:rPr>
        <w:t>, 2025, and assumes the occurrence of the Capital Stock</w:t>
      </w:r>
    </w:p>
    <w:p>
      <w:pPr>
        <w:spacing w:after="0" w:line="9" w:lineRule="exact"/>
        <w:rPr>
          <w:sz w:val="20"/>
          <w:szCs w:val="20"/>
          <w:color w:val="auto"/>
        </w:rPr>
      </w:pPr>
    </w:p>
    <w:p>
      <w:pPr>
        <w:spacing w:after="0"/>
        <w:tabs>
          <w:tab w:leader="none" w:pos="9560" w:val="left"/>
        </w:tabs>
        <w:rPr>
          <w:sz w:val="20"/>
          <w:szCs w:val="20"/>
          <w:color w:val="auto"/>
        </w:rPr>
      </w:pPr>
      <w:r>
        <w:rPr>
          <w:rFonts w:ascii="Arial" w:cs="Arial" w:eastAsia="Arial" w:hAnsi="Arial"/>
          <w:sz w:val="18"/>
          <w:szCs w:val="18"/>
          <w:color w:val="auto"/>
        </w:rPr>
        <w:t>Conversion, the Note Conversion and RSU Net Settlement. For purposes of the table below, we have assumed that</w:t>
      </w:r>
      <w:r>
        <w:rPr>
          <w:sz w:val="20"/>
          <w:szCs w:val="20"/>
          <w:color w:val="auto"/>
        </w:rPr>
        <w:tab/>
      </w:r>
      <w:r>
        <w:rPr>
          <w:rFonts w:ascii="Arial" w:cs="Arial" w:eastAsia="Arial" w:hAnsi="Arial"/>
          <w:sz w:val="18"/>
          <w:szCs w:val="18"/>
          <w:color w:val="auto"/>
        </w:rPr>
        <w:t>shares of Class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will be issued in this offering.</w:t>
      </w:r>
    </w:p>
    <w:p>
      <w:pPr>
        <w:spacing w:after="0" w:line="153"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computing the number of shares of common stock beneficially owned by a person and the percentage ownership of that person, we deemed to be outstanding all shares of common stock subject to options and RSUs held by that person or entity that are currently exercisable or subject to settlement or that will become exercisable or subject to settlement within 60 days of , 2025, including the</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performance-based vesting condition, which will be satisfied upon the effectiveness of the registration statement of which this prospectus forms a part, and after giving effect to the RSU Net Settlement, assuming the applicable estimated tax withholding rate set forth above. In addition, we have assumed the exchange, pursuant to the Equity Exchange Rights, of all shares of Class A common stock receivable upon</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exercise of stock options held by our co-founders, and that are exercisable within 60 days of . We did not deem these shares outstanding, however, for the purpose of computing the percentage ownership of any other person. In addition, the actual share withholding amounts and related tax withholding rates will fluctuate based on, among other things, the actual initial public offering price per share in this offering and actual withholding rates. As a result, the number of shares beneficially owned by any holder included in the table below may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229" w:right="4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Unless otherwise indicated, the address of each beneficial owner in the table below is c/o Navan, Inc., 3045 Park Boulevard, Palo Alto, California 94306.</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Name of Beneficial Owner</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Named Executive Officers and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Ariel Cohen</w:t>
      </w:r>
      <w:r>
        <w:rPr>
          <w:rFonts w:ascii="Arial" w:cs="Arial" w:eastAsia="Arial" w:hAnsi="Arial"/>
          <w:sz w:val="18"/>
          <w:szCs w:val="18"/>
          <w:color w:val="auto"/>
          <w:vertAlign w:val="superscript"/>
        </w:rPr>
        <w:t>(1)</w:t>
      </w:r>
    </w:p>
    <w:p>
      <w:pPr>
        <w:ind w:left="20"/>
        <w:spacing w:after="0" w:line="234" w:lineRule="auto"/>
        <w:rPr>
          <w:sz w:val="20"/>
          <w:szCs w:val="20"/>
          <w:color w:val="auto"/>
        </w:rPr>
      </w:pPr>
      <w:r>
        <w:rPr>
          <w:rFonts w:ascii="Arial" w:cs="Arial" w:eastAsia="Arial" w:hAnsi="Arial"/>
          <w:sz w:val="14"/>
          <w:szCs w:val="14"/>
          <w:color w:val="auto"/>
        </w:rPr>
        <w:t>Ilan Twig</w:t>
      </w:r>
      <w:r>
        <w:rPr>
          <w:rFonts w:ascii="Arial" w:cs="Arial" w:eastAsia="Arial" w:hAnsi="Arial"/>
          <w:sz w:val="18"/>
          <w:szCs w:val="18"/>
          <w:color w:val="auto"/>
          <w:vertAlign w:val="superscript"/>
        </w:rPr>
        <w:t>(2)</w:t>
      </w:r>
    </w:p>
    <w:p>
      <w:pPr>
        <w:ind w:left="20"/>
        <w:spacing w:after="0" w:line="235" w:lineRule="auto"/>
        <w:rPr>
          <w:sz w:val="20"/>
          <w:szCs w:val="20"/>
          <w:color w:val="auto"/>
        </w:rPr>
      </w:pPr>
      <w:r>
        <w:rPr>
          <w:rFonts w:ascii="Arial" w:cs="Arial" w:eastAsia="Arial" w:hAnsi="Arial"/>
          <w:sz w:val="14"/>
          <w:szCs w:val="14"/>
          <w:color w:val="auto"/>
        </w:rPr>
        <w:t>Michael Sindicich</w:t>
      </w:r>
      <w:r>
        <w:rPr>
          <w:rFonts w:ascii="Arial" w:cs="Arial" w:eastAsia="Arial" w:hAnsi="Arial"/>
          <w:sz w:val="18"/>
          <w:szCs w:val="18"/>
          <w:color w:val="auto"/>
          <w:vertAlign w:val="superscript"/>
        </w:rPr>
        <w:t>(3)</w:t>
      </w:r>
    </w:p>
    <w:p>
      <w:pPr>
        <w:ind w:left="20"/>
        <w:spacing w:after="0" w:line="235" w:lineRule="auto"/>
        <w:rPr>
          <w:sz w:val="20"/>
          <w:szCs w:val="20"/>
          <w:color w:val="auto"/>
        </w:rPr>
      </w:pPr>
      <w:r>
        <w:rPr>
          <w:rFonts w:ascii="Arial" w:cs="Arial" w:eastAsia="Arial" w:hAnsi="Arial"/>
          <w:sz w:val="14"/>
          <w:szCs w:val="14"/>
          <w:color w:val="auto"/>
        </w:rPr>
        <w:t>Ben Horowitz</w:t>
      </w:r>
      <w:r>
        <w:rPr>
          <w:rFonts w:ascii="Arial" w:cs="Arial" w:eastAsia="Arial" w:hAnsi="Arial"/>
          <w:sz w:val="18"/>
          <w:szCs w:val="18"/>
          <w:color w:val="auto"/>
          <w:vertAlign w:val="superscript"/>
        </w:rPr>
        <w:t>(4)</w:t>
      </w:r>
    </w:p>
    <w:p>
      <w:pPr>
        <w:ind w:left="20"/>
        <w:spacing w:after="0" w:line="235" w:lineRule="auto"/>
        <w:rPr>
          <w:sz w:val="20"/>
          <w:szCs w:val="20"/>
          <w:color w:val="auto"/>
        </w:rPr>
      </w:pPr>
      <w:r>
        <w:rPr>
          <w:rFonts w:ascii="Arial" w:cs="Arial" w:eastAsia="Arial" w:hAnsi="Arial"/>
          <w:sz w:val="14"/>
          <w:szCs w:val="14"/>
          <w:color w:val="auto"/>
        </w:rPr>
        <w:t>Arif Janmohamed</w:t>
      </w:r>
      <w:r>
        <w:rPr>
          <w:rFonts w:ascii="Arial" w:cs="Arial" w:eastAsia="Arial" w:hAnsi="Arial"/>
          <w:sz w:val="18"/>
          <w:szCs w:val="18"/>
          <w:color w:val="auto"/>
          <w:vertAlign w:val="superscript"/>
        </w:rPr>
        <w:t>(5)</w:t>
      </w:r>
    </w:p>
    <w:p>
      <w:pPr>
        <w:ind w:left="20"/>
        <w:spacing w:after="0" w:line="235" w:lineRule="auto"/>
        <w:rPr>
          <w:sz w:val="20"/>
          <w:szCs w:val="20"/>
          <w:color w:val="auto"/>
        </w:rPr>
      </w:pPr>
      <w:r>
        <w:rPr>
          <w:rFonts w:ascii="Arial" w:cs="Arial" w:eastAsia="Arial" w:hAnsi="Arial"/>
          <w:sz w:val="14"/>
          <w:szCs w:val="14"/>
          <w:color w:val="auto"/>
        </w:rPr>
        <w:t>Sandesh Patnam</w:t>
      </w:r>
      <w:r>
        <w:rPr>
          <w:rFonts w:ascii="Arial" w:cs="Arial" w:eastAsia="Arial" w:hAnsi="Arial"/>
          <w:sz w:val="18"/>
          <w:szCs w:val="18"/>
          <w:color w:val="auto"/>
          <w:vertAlign w:val="superscript"/>
        </w:rPr>
        <w:t>(6)</w:t>
      </w:r>
    </w:p>
    <w:p>
      <w:pPr>
        <w:ind w:left="20"/>
        <w:spacing w:after="0" w:line="234" w:lineRule="auto"/>
        <w:rPr>
          <w:sz w:val="20"/>
          <w:szCs w:val="20"/>
          <w:color w:val="auto"/>
        </w:rPr>
      </w:pPr>
      <w:r>
        <w:rPr>
          <w:rFonts w:ascii="Arial" w:cs="Arial" w:eastAsia="Arial" w:hAnsi="Arial"/>
          <w:sz w:val="14"/>
          <w:szCs w:val="14"/>
          <w:color w:val="auto"/>
        </w:rPr>
        <w:t>Oren Zeev</w:t>
      </w:r>
      <w:r>
        <w:rPr>
          <w:rFonts w:ascii="Arial" w:cs="Arial" w:eastAsia="Arial" w:hAnsi="Arial"/>
          <w:sz w:val="18"/>
          <w:szCs w:val="18"/>
          <w:color w:val="auto"/>
          <w:vertAlign w:val="superscript"/>
        </w:rPr>
        <w:t>(7)</w:t>
      </w:r>
    </w:p>
    <w:p>
      <w:pPr>
        <w:ind w:left="20"/>
        <w:spacing w:after="0" w:line="235" w:lineRule="auto"/>
        <w:rPr>
          <w:sz w:val="20"/>
          <w:szCs w:val="20"/>
          <w:color w:val="auto"/>
        </w:rPr>
      </w:pPr>
      <w:r>
        <w:rPr>
          <w:rFonts w:ascii="Arial" w:cs="Arial" w:eastAsia="Arial" w:hAnsi="Arial"/>
          <w:sz w:val="14"/>
          <w:szCs w:val="14"/>
          <w:color w:val="auto"/>
        </w:rPr>
        <w:t>Clara Liang</w:t>
      </w:r>
      <w:r>
        <w:rPr>
          <w:rFonts w:ascii="Arial" w:cs="Arial" w:eastAsia="Arial" w:hAnsi="Arial"/>
          <w:sz w:val="18"/>
          <w:szCs w:val="18"/>
          <w:color w:val="auto"/>
          <w:vertAlign w:val="superscript"/>
        </w:rPr>
        <w:t>(8)</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Michael Kourey</w:t>
      </w:r>
      <w:r>
        <w:rPr>
          <w:rFonts w:ascii="Arial" w:cs="Arial" w:eastAsia="Arial" w:hAnsi="Arial"/>
          <w:sz w:val="18"/>
          <w:szCs w:val="18"/>
          <w:color w:val="auto"/>
          <w:vertAlign w:val="superscript"/>
        </w:rPr>
        <w:t>(9)</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Anré Williams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All executive officers and</w:t>
      </w:r>
    </w:p>
    <w:p>
      <w:pPr>
        <w:spacing w:after="0" w:line="2" w:lineRule="exact"/>
        <w:rPr>
          <w:sz w:val="20"/>
          <w:szCs w:val="20"/>
          <w:color w:val="auto"/>
        </w:rPr>
      </w:pPr>
    </w:p>
    <w:p>
      <w:pPr>
        <w:ind w:left="180" w:right="480"/>
        <w:spacing w:after="0" w:line="231" w:lineRule="auto"/>
        <w:rPr>
          <w:sz w:val="20"/>
          <w:szCs w:val="20"/>
          <w:color w:val="auto"/>
        </w:rPr>
      </w:pPr>
      <w:r>
        <w:rPr>
          <w:rFonts w:ascii="Arial" w:cs="Arial" w:eastAsia="Arial" w:hAnsi="Arial"/>
          <w:sz w:val="14"/>
          <w:szCs w:val="14"/>
          <w:color w:val="auto"/>
        </w:rPr>
        <w:t>directors as a group (11 persons)</w:t>
      </w:r>
      <w:r>
        <w:rPr>
          <w:rFonts w:ascii="Arial" w:cs="Arial" w:eastAsia="Arial" w:hAnsi="Arial"/>
          <w:sz w:val="9"/>
          <w:szCs w:val="9"/>
          <w:color w:val="auto"/>
        </w:rPr>
        <w:t>(10)</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5% or Greater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Stockholders:</w:t>
      </w:r>
    </w:p>
    <w:p>
      <w:pPr>
        <w:spacing w:after="0" w:line="21" w:lineRule="exact"/>
        <w:rPr>
          <w:sz w:val="20"/>
          <w:szCs w:val="20"/>
          <w:color w:val="auto"/>
        </w:rPr>
      </w:pPr>
    </w:p>
    <w:p>
      <w:pPr>
        <w:ind w:left="180" w:right="60" w:hanging="161"/>
        <w:spacing w:after="0" w:line="233" w:lineRule="auto"/>
        <w:rPr>
          <w:sz w:val="20"/>
          <w:szCs w:val="20"/>
          <w:color w:val="auto"/>
        </w:rPr>
      </w:pPr>
      <w:r>
        <w:rPr>
          <w:rFonts w:ascii="Arial" w:cs="Arial" w:eastAsia="Arial" w:hAnsi="Arial"/>
          <w:sz w:val="14"/>
          <w:szCs w:val="14"/>
          <w:color w:val="auto"/>
        </w:rPr>
        <w:t>Entities affiliated with Lightspeed Venture Partners</w:t>
      </w:r>
      <w:r>
        <w:rPr>
          <w:rFonts w:ascii="Arial" w:cs="Arial" w:eastAsia="Arial" w:hAnsi="Arial"/>
          <w:sz w:val="18"/>
          <w:szCs w:val="18"/>
          <w:color w:val="auto"/>
          <w:vertAlign w:val="superscript"/>
        </w:rPr>
        <w:t>(11)</w:t>
      </w:r>
    </w:p>
    <w:p>
      <w:pPr>
        <w:spacing w:after="0" w:line="1" w:lineRule="exact"/>
        <w:rPr>
          <w:sz w:val="20"/>
          <w:szCs w:val="20"/>
          <w:color w:val="auto"/>
        </w:rPr>
      </w:pPr>
    </w:p>
    <w:p>
      <w:pPr>
        <w:ind w:left="180" w:hanging="161"/>
        <w:spacing w:after="0" w:line="228" w:lineRule="auto"/>
        <w:rPr>
          <w:sz w:val="20"/>
          <w:szCs w:val="20"/>
          <w:color w:val="auto"/>
        </w:rPr>
      </w:pPr>
      <w:r>
        <w:rPr>
          <w:rFonts w:ascii="Arial" w:cs="Arial" w:eastAsia="Arial" w:hAnsi="Arial"/>
          <w:sz w:val="14"/>
          <w:szCs w:val="14"/>
          <w:color w:val="auto"/>
        </w:rPr>
        <w:t>Entities affiliated with Andreessen Horowitz</w:t>
      </w:r>
      <w:r>
        <w:rPr>
          <w:rFonts w:ascii="Arial" w:cs="Arial" w:eastAsia="Arial" w:hAnsi="Arial"/>
          <w:sz w:val="18"/>
          <w:szCs w:val="18"/>
          <w:color w:val="auto"/>
          <w:vertAlign w:val="superscript"/>
        </w:rPr>
        <w:t>(12)</w:t>
      </w:r>
    </w:p>
    <w:p>
      <w:pPr>
        <w:spacing w:after="0" w:line="1" w:lineRule="exact"/>
        <w:rPr>
          <w:sz w:val="20"/>
          <w:szCs w:val="20"/>
          <w:color w:val="auto"/>
        </w:rPr>
      </w:pPr>
    </w:p>
    <w:p>
      <w:pPr>
        <w:ind w:left="180" w:right="460" w:hanging="161"/>
        <w:spacing w:after="0" w:line="255" w:lineRule="auto"/>
        <w:rPr>
          <w:sz w:val="20"/>
          <w:szCs w:val="20"/>
          <w:color w:val="auto"/>
        </w:rPr>
      </w:pPr>
      <w:r>
        <w:rPr>
          <w:rFonts w:ascii="Arial" w:cs="Arial" w:eastAsia="Arial" w:hAnsi="Arial"/>
          <w:sz w:val="14"/>
          <w:szCs w:val="14"/>
          <w:color w:val="auto"/>
        </w:rPr>
        <w:t>Entities affiliated with Zeev Ventures</w:t>
      </w:r>
      <w:r>
        <w:rPr>
          <w:rFonts w:ascii="Arial" w:cs="Arial" w:eastAsia="Arial" w:hAnsi="Arial"/>
          <w:sz w:val="18"/>
          <w:szCs w:val="18"/>
          <w:color w:val="auto"/>
          <w:vertAlign w:val="superscript"/>
        </w:rPr>
        <w:t>(13)</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480" w:type="dxa"/>
            <w:vAlign w:val="bottom"/>
            <w:gridSpan w:val="3"/>
          </w:tcPr>
          <w:p>
            <w:pPr>
              <w:ind w:left="600"/>
              <w:spacing w:after="0"/>
              <w:rPr>
                <w:sz w:val="20"/>
                <w:szCs w:val="20"/>
                <w:color w:val="auto"/>
              </w:rPr>
            </w:pPr>
            <w:r>
              <w:rPr>
                <w:rFonts w:ascii="Arial" w:cs="Arial" w:eastAsia="Arial" w:hAnsi="Arial"/>
                <w:sz w:val="13"/>
                <w:szCs w:val="13"/>
                <w:b w:val="1"/>
                <w:bCs w:val="1"/>
                <w:color w:val="auto"/>
              </w:rPr>
              <w:t>Percentage of Shares</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Percentage of Shares</w:t>
            </w:r>
          </w:p>
        </w:tc>
        <w:tc>
          <w:tcPr>
            <w:tcW w:w="248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w w:val="98"/>
              </w:rPr>
              <w:t>Percentage of Total Voting Power After</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8"/>
              </w:rPr>
              <w:t>Beneficially Owned Before the Offering</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Beneficially Owned After the Offering</w:t>
            </w:r>
          </w:p>
        </w:tc>
        <w:tc>
          <w:tcPr>
            <w:tcW w:w="10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3"/>
                <w:szCs w:val="13"/>
                <w:b w:val="1"/>
                <w:bCs w:val="1"/>
                <w:color w:val="auto"/>
              </w:rPr>
              <w:t>the Offering**</w:t>
            </w:r>
          </w:p>
        </w:tc>
        <w:tc>
          <w:tcPr>
            <w:tcW w:w="0" w:type="dxa"/>
            <w:vAlign w:val="bottom"/>
          </w:tcPr>
          <w:p>
            <w:pPr>
              <w:spacing w:after="0"/>
              <w:rPr>
                <w:sz w:val="1"/>
                <w:szCs w:val="1"/>
                <w:color w:val="auto"/>
              </w:rPr>
            </w:pPr>
          </w:p>
        </w:tc>
      </w:tr>
      <w:tr>
        <w:trPr>
          <w:trHeight w:val="148"/>
        </w:trPr>
        <w:tc>
          <w:tcPr>
            <w:tcW w:w="12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Class A Common</w:t>
            </w: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Class B Common</w:t>
            </w:r>
          </w:p>
        </w:tc>
        <w:tc>
          <w:tcPr>
            <w:tcW w:w="100" w:type="dxa"/>
            <w:vAlign w:val="bottom"/>
          </w:tcPr>
          <w:p>
            <w:pPr>
              <w:spacing w:after="0"/>
              <w:rPr>
                <w:sz w:val="12"/>
                <w:szCs w:val="12"/>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Shares of Class A</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Class A Common</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Class B Common</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Class A Common</w:t>
            </w:r>
          </w:p>
        </w:tc>
        <w:tc>
          <w:tcPr>
            <w:tcW w:w="120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Class B Common</w:t>
            </w:r>
          </w:p>
        </w:tc>
        <w:tc>
          <w:tcPr>
            <w:tcW w:w="0" w:type="dxa"/>
            <w:vAlign w:val="bottom"/>
          </w:tcPr>
          <w:p>
            <w:pPr>
              <w:spacing w:after="0"/>
              <w:rPr>
                <w:sz w:val="1"/>
                <w:szCs w:val="1"/>
                <w:color w:val="auto"/>
              </w:rPr>
            </w:pPr>
          </w:p>
        </w:tc>
      </w:tr>
      <w:tr>
        <w:trPr>
          <w:trHeight w:val="122"/>
        </w:trPr>
        <w:tc>
          <w:tcPr>
            <w:tcW w:w="128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Common Stock</w:t>
            </w:r>
          </w:p>
        </w:tc>
        <w:tc>
          <w:tcPr>
            <w:tcW w:w="130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Being Offered</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342900</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600075</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857250</wp:posOffset>
            </wp:positionV>
            <wp:extent cx="71323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1114425</wp:posOffset>
            </wp:positionV>
            <wp:extent cx="71323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1371600</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1808480</wp:posOffset>
            </wp:positionV>
            <wp:extent cx="713232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2245995</wp:posOffset>
            </wp:positionV>
            <wp:extent cx="713232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-7620</wp:posOffset>
            </wp:positionV>
            <wp:extent cx="71323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4319" w:lineRule="exact"/>
        <w:rPr>
          <w:sz w:val="20"/>
          <w:szCs w:val="20"/>
          <w:color w:val="auto"/>
        </w:rPr>
      </w:pPr>
    </w:p>
    <w:p>
      <w:pPr>
        <w:sectPr>
          <w:pgSz w:w="11900" w:h="16838" w:orient="portrait"/>
          <w:cols w:equalWidth="0" w:num="2">
            <w:col w:w="2180" w:space="120"/>
            <w:col w:w="8940"/>
          </w:cols>
          <w:pgMar w:left="320" w:top="229"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Represents beneficial ownership of less than one percent of the shares of our common stock.</w:t>
      </w:r>
    </w:p>
    <w:p>
      <w:pPr>
        <w:spacing w:after="0" w:line="5" w:lineRule="exact"/>
        <w:rPr>
          <w:sz w:val="20"/>
          <w:szCs w:val="20"/>
          <w:color w:val="auto"/>
        </w:rPr>
      </w:pPr>
    </w:p>
    <w:p>
      <w:pPr>
        <w:ind w:left="320" w:hanging="312"/>
        <w:spacing w:after="0"/>
        <w:tabs>
          <w:tab w:leader="none" w:pos="3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our Class A common stock and Class B common stock, voting as a single class. Each share of</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8960" w:type="dxa"/>
            <w:vAlign w:val="bottom"/>
            <w:gridSpan w:val="6"/>
          </w:tcPr>
          <w:p>
            <w:pPr>
              <w:ind w:left="80"/>
              <w:spacing w:after="0"/>
              <w:rPr>
                <w:sz w:val="20"/>
                <w:szCs w:val="20"/>
                <w:color w:val="auto"/>
              </w:rPr>
            </w:pPr>
            <w:r>
              <w:rPr>
                <w:rFonts w:ascii="Arial" w:cs="Arial" w:eastAsia="Arial" w:hAnsi="Arial"/>
                <w:sz w:val="16"/>
                <w:szCs w:val="16"/>
                <w:color w:val="auto"/>
              </w:rPr>
              <w:t>Class A common stock will be entitled to one vote per share, and each share of Class B common stock will be entitled to</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votes per share. The</w:t>
            </w:r>
          </w:p>
        </w:tc>
      </w:tr>
      <w:tr>
        <w:trPr>
          <w:trHeight w:val="203"/>
        </w:trPr>
        <w:tc>
          <w:tcPr>
            <w:tcW w:w="260" w:type="dxa"/>
            <w:vAlign w:val="bottom"/>
          </w:tcPr>
          <w:p>
            <w:pPr>
              <w:spacing w:after="0"/>
              <w:rPr>
                <w:sz w:val="17"/>
                <w:szCs w:val="17"/>
                <w:color w:val="auto"/>
              </w:rPr>
            </w:pPr>
          </w:p>
        </w:tc>
        <w:tc>
          <w:tcPr>
            <w:tcW w:w="10500" w:type="dxa"/>
            <w:vAlign w:val="bottom"/>
            <w:gridSpan w:val="7"/>
          </w:tcPr>
          <w:p>
            <w:pPr>
              <w:ind w:left="80"/>
              <w:spacing w:after="0"/>
              <w:rPr>
                <w:sz w:val="20"/>
                <w:szCs w:val="20"/>
                <w:color w:val="auto"/>
              </w:rPr>
            </w:pPr>
            <w:r>
              <w:rPr>
                <w:rFonts w:ascii="Arial" w:cs="Arial" w:eastAsia="Arial" w:hAnsi="Arial"/>
                <w:sz w:val="16"/>
                <w:szCs w:val="16"/>
                <w:color w:val="auto"/>
              </w:rPr>
              <w:t>Class A common stock and Class B common stock will vote together on all matters (including the election of directors) submitted to a vote of</w:t>
            </w:r>
          </w:p>
        </w:tc>
        <w:tc>
          <w:tcPr>
            <w:tcW w:w="340" w:type="dxa"/>
            <w:vAlign w:val="bottom"/>
          </w:tcPr>
          <w:p>
            <w:pPr>
              <w:spacing w:after="0"/>
              <w:rPr>
                <w:sz w:val="17"/>
                <w:szCs w:val="17"/>
                <w:color w:val="auto"/>
              </w:rPr>
            </w:pPr>
          </w:p>
        </w:tc>
      </w:tr>
      <w:tr>
        <w:trPr>
          <w:trHeight w:val="189"/>
        </w:trPr>
        <w:tc>
          <w:tcPr>
            <w:tcW w:w="260" w:type="dxa"/>
            <w:vAlign w:val="bottom"/>
          </w:tcPr>
          <w:p>
            <w:pPr>
              <w:spacing w:after="0"/>
              <w:rPr>
                <w:sz w:val="16"/>
                <w:szCs w:val="16"/>
                <w:color w:val="auto"/>
              </w:rPr>
            </w:pPr>
          </w:p>
        </w:tc>
        <w:tc>
          <w:tcPr>
            <w:tcW w:w="8960" w:type="dxa"/>
            <w:vAlign w:val="bottom"/>
            <w:gridSpan w:val="6"/>
          </w:tcPr>
          <w:p>
            <w:pPr>
              <w:ind w:left="80"/>
              <w:spacing w:after="0"/>
              <w:rPr>
                <w:sz w:val="20"/>
                <w:szCs w:val="20"/>
                <w:color w:val="auto"/>
              </w:rPr>
            </w:pPr>
            <w:r>
              <w:rPr>
                <w:rFonts w:ascii="Arial" w:cs="Arial" w:eastAsia="Arial" w:hAnsi="Arial"/>
                <w:sz w:val="16"/>
                <w:szCs w:val="16"/>
                <w:color w:val="auto"/>
              </w:rPr>
              <w:t>stockholders, except under limited circumstances described in the section titled “Description of Capital Stock.”</w:t>
            </w: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9"/>
        </w:trPr>
        <w:tc>
          <w:tcPr>
            <w:tcW w:w="260" w:type="dxa"/>
            <w:vAlign w:val="bottom"/>
          </w:tcPr>
          <w:p>
            <w:pPr>
              <w:jc w:val="right"/>
              <w:spacing w:after="0"/>
              <w:rPr>
                <w:sz w:val="20"/>
                <w:szCs w:val="20"/>
                <w:color w:val="auto"/>
              </w:rPr>
            </w:pPr>
            <w:r>
              <w:rPr>
                <w:rFonts w:ascii="Arial" w:cs="Arial" w:eastAsia="Arial" w:hAnsi="Arial"/>
                <w:sz w:val="16"/>
                <w:szCs w:val="16"/>
                <w:color w:val="auto"/>
                <w:w w:val="91"/>
              </w:rPr>
              <w:t>(1)</w:t>
            </w: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Consists of (i)</w:t>
            </w:r>
          </w:p>
        </w:tc>
        <w:tc>
          <w:tcPr>
            <w:tcW w:w="9320" w:type="dxa"/>
            <w:vAlign w:val="bottom"/>
            <w:gridSpan w:val="5"/>
          </w:tcPr>
          <w:p>
            <w:pPr>
              <w:ind w:left="320"/>
              <w:spacing w:after="0"/>
              <w:rPr>
                <w:sz w:val="20"/>
                <w:szCs w:val="20"/>
                <w:color w:val="auto"/>
              </w:rPr>
            </w:pPr>
            <w:r>
              <w:rPr>
                <w:rFonts w:ascii="Arial" w:cs="Arial" w:eastAsia="Arial" w:hAnsi="Arial"/>
                <w:sz w:val="16"/>
                <w:szCs w:val="16"/>
                <w:color w:val="auto"/>
              </w:rPr>
              <w:t>shares of Class B common stock held by Ariel Mordechai Cohen, as Trustee of the Ariel Mordechai Cohen Living Trust, dated</w:t>
            </w:r>
          </w:p>
        </w:tc>
        <w:tc>
          <w:tcPr>
            <w:tcW w:w="340" w:type="dxa"/>
            <w:vAlign w:val="bottom"/>
          </w:tcPr>
          <w:p>
            <w:pPr>
              <w:spacing w:after="0"/>
              <w:rPr>
                <w:sz w:val="16"/>
                <w:szCs w:val="16"/>
                <w:color w:val="auto"/>
              </w:rPr>
            </w:pPr>
          </w:p>
        </w:tc>
      </w:tr>
      <w:tr>
        <w:trPr>
          <w:trHeight w:val="203"/>
        </w:trPr>
        <w:tc>
          <w:tcPr>
            <w:tcW w:w="26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8/22/2024, of which Mr. Cohen is the trustee, (ii)</w:t>
            </w:r>
          </w:p>
        </w:tc>
        <w:tc>
          <w:tcPr>
            <w:tcW w:w="6340" w:type="dxa"/>
            <w:vAlign w:val="bottom"/>
            <w:gridSpan w:val="3"/>
          </w:tcPr>
          <w:p>
            <w:pPr>
              <w:ind w:left="20"/>
              <w:spacing w:after="0"/>
              <w:rPr>
                <w:sz w:val="20"/>
                <w:szCs w:val="20"/>
                <w:color w:val="auto"/>
              </w:rPr>
            </w:pPr>
            <w:r>
              <w:rPr>
                <w:rFonts w:ascii="Arial" w:cs="Arial" w:eastAsia="Arial" w:hAnsi="Arial"/>
                <w:sz w:val="16"/>
                <w:szCs w:val="16"/>
                <w:color w:val="auto"/>
              </w:rPr>
              <w:t>shares underlying stock options to purchase shares of Class A common stock that are</w:t>
            </w:r>
          </w:p>
        </w:tc>
        <w:tc>
          <w:tcPr>
            <w:tcW w:w="340" w:type="dxa"/>
            <w:vAlign w:val="bottom"/>
          </w:tcPr>
          <w:p>
            <w:pPr>
              <w:spacing w:after="0"/>
              <w:rPr>
                <w:sz w:val="17"/>
                <w:szCs w:val="17"/>
                <w:color w:val="auto"/>
              </w:rPr>
            </w:pPr>
          </w:p>
        </w:tc>
      </w:tr>
      <w:tr>
        <w:trPr>
          <w:trHeight w:val="189"/>
        </w:trPr>
        <w:tc>
          <w:tcPr>
            <w:tcW w:w="260" w:type="dxa"/>
            <w:vAlign w:val="bottom"/>
          </w:tcPr>
          <w:p>
            <w:pPr>
              <w:spacing w:after="0"/>
              <w:rPr>
                <w:sz w:val="16"/>
                <w:szCs w:val="16"/>
                <w:color w:val="auto"/>
              </w:rPr>
            </w:pPr>
          </w:p>
        </w:tc>
        <w:tc>
          <w:tcPr>
            <w:tcW w:w="10500" w:type="dxa"/>
            <w:vAlign w:val="bottom"/>
            <w:gridSpan w:val="7"/>
          </w:tcPr>
          <w:p>
            <w:pPr>
              <w:ind w:left="80"/>
              <w:spacing w:after="0"/>
              <w:rPr>
                <w:sz w:val="20"/>
                <w:szCs w:val="20"/>
                <w:color w:val="auto"/>
              </w:rPr>
            </w:pPr>
            <w:r>
              <w:rPr>
                <w:rFonts w:ascii="Arial" w:cs="Arial" w:eastAsia="Arial" w:hAnsi="Arial"/>
                <w:sz w:val="16"/>
                <w:szCs w:val="16"/>
                <w:color w:val="auto"/>
              </w:rPr>
              <w:t>exchangeable for shares of Class B common stock pursuant to the Equity Exchange Rights and that are exercisable within 60 days of</w:t>
            </w:r>
          </w:p>
        </w:tc>
        <w:tc>
          <w:tcPr>
            <w:tcW w:w="340" w:type="dxa"/>
            <w:vAlign w:val="bottom"/>
          </w:tcPr>
          <w:p>
            <w:pPr>
              <w:jc w:val="right"/>
              <w:ind w:right="249"/>
              <w:spacing w:after="0"/>
              <w:rPr>
                <w:sz w:val="20"/>
                <w:szCs w:val="20"/>
                <w:color w:val="auto"/>
              </w:rPr>
            </w:pPr>
            <w:r>
              <w:rPr>
                <w:rFonts w:ascii="Arial" w:cs="Arial" w:eastAsia="Arial" w:hAnsi="Arial"/>
                <w:sz w:val="10"/>
                <w:szCs w:val="10"/>
                <w:color w:val="auto"/>
                <w:w w:val="70"/>
              </w:rPr>
              <w:t>,</w:t>
            </w:r>
          </w:p>
        </w:tc>
      </w:tr>
      <w:tr>
        <w:trPr>
          <w:trHeight w:val="203"/>
        </w:trPr>
        <w:tc>
          <w:tcPr>
            <w:tcW w:w="26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color w:val="auto"/>
              </w:rPr>
              <w:t>2025, and (iii)</w:t>
            </w:r>
          </w:p>
        </w:tc>
        <w:tc>
          <w:tcPr>
            <w:tcW w:w="3400" w:type="dxa"/>
            <w:vAlign w:val="bottom"/>
            <w:gridSpan w:val="3"/>
          </w:tcPr>
          <w:p>
            <w:pPr>
              <w:ind w:left="460"/>
              <w:spacing w:after="0"/>
              <w:rPr>
                <w:sz w:val="20"/>
                <w:szCs w:val="20"/>
                <w:color w:val="auto"/>
              </w:rPr>
            </w:pPr>
            <w:r>
              <w:rPr>
                <w:rFonts w:ascii="Arial" w:cs="Arial" w:eastAsia="Arial" w:hAnsi="Arial"/>
                <w:sz w:val="16"/>
                <w:szCs w:val="16"/>
                <w:color w:val="auto"/>
              </w:rPr>
              <w:t>shares of Class B common stock held by</w:t>
            </w:r>
          </w:p>
        </w:tc>
        <w:tc>
          <w:tcPr>
            <w:tcW w:w="6260" w:type="dxa"/>
            <w:vAlign w:val="bottom"/>
            <w:gridSpan w:val="3"/>
          </w:tcPr>
          <w:p>
            <w:pPr>
              <w:jc w:val="right"/>
              <w:ind w:right="49"/>
              <w:spacing w:after="0"/>
              <w:rPr>
                <w:sz w:val="20"/>
                <w:szCs w:val="20"/>
                <w:color w:val="auto"/>
              </w:rPr>
            </w:pPr>
            <w:r>
              <w:rPr>
                <w:rFonts w:ascii="Arial" w:cs="Arial" w:eastAsia="Arial" w:hAnsi="Arial"/>
                <w:sz w:val="16"/>
                <w:szCs w:val="16"/>
                <w:color w:val="auto"/>
              </w:rPr>
              <w:t>. Mr. Cohen’s former spouse, has granted Mr. Cohen a proxy to vote the shares of</w:t>
            </w:r>
          </w:p>
        </w:tc>
      </w:tr>
      <w:tr>
        <w:trPr>
          <w:trHeight w:val="189"/>
        </w:trPr>
        <w:tc>
          <w:tcPr>
            <w:tcW w:w="260" w:type="dxa"/>
            <w:vAlign w:val="bottom"/>
          </w:tcPr>
          <w:p>
            <w:pPr>
              <w:spacing w:after="0"/>
              <w:rPr>
                <w:sz w:val="16"/>
                <w:szCs w:val="16"/>
                <w:color w:val="auto"/>
              </w:rPr>
            </w:pPr>
          </w:p>
        </w:tc>
        <w:tc>
          <w:tcPr>
            <w:tcW w:w="8960" w:type="dxa"/>
            <w:vAlign w:val="bottom"/>
            <w:gridSpan w:val="6"/>
          </w:tcPr>
          <w:p>
            <w:pPr>
              <w:ind w:left="80"/>
              <w:spacing w:after="0"/>
              <w:rPr>
                <w:sz w:val="20"/>
                <w:szCs w:val="20"/>
                <w:color w:val="auto"/>
              </w:rPr>
            </w:pPr>
            <w:r>
              <w:rPr>
                <w:rFonts w:ascii="Arial" w:cs="Arial" w:eastAsia="Arial" w:hAnsi="Arial"/>
                <w:sz w:val="16"/>
                <w:szCs w:val="16"/>
                <w:color w:val="auto"/>
              </w:rPr>
              <w:t>Class A common stock held of record by her and her affiliated trust.</w:t>
            </w: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9"/>
        </w:trPr>
        <w:tc>
          <w:tcPr>
            <w:tcW w:w="260" w:type="dxa"/>
            <w:vAlign w:val="bottom"/>
          </w:tcPr>
          <w:p>
            <w:pPr>
              <w:jc w:val="right"/>
              <w:spacing w:after="0"/>
              <w:rPr>
                <w:sz w:val="20"/>
                <w:szCs w:val="20"/>
                <w:color w:val="auto"/>
              </w:rPr>
            </w:pPr>
            <w:r>
              <w:rPr>
                <w:rFonts w:ascii="Arial" w:cs="Arial" w:eastAsia="Arial" w:hAnsi="Arial"/>
                <w:sz w:val="16"/>
                <w:szCs w:val="16"/>
                <w:color w:val="auto"/>
                <w:w w:val="91"/>
              </w:rPr>
              <w:t>(2)</w:t>
            </w: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Consists of (i)</w:t>
            </w:r>
          </w:p>
        </w:tc>
        <w:tc>
          <w:tcPr>
            <w:tcW w:w="2980" w:type="dxa"/>
            <w:vAlign w:val="bottom"/>
            <w:gridSpan w:val="2"/>
          </w:tcPr>
          <w:p>
            <w:pPr>
              <w:ind w:left="320"/>
              <w:spacing w:after="0"/>
              <w:rPr>
                <w:sz w:val="20"/>
                <w:szCs w:val="20"/>
                <w:color w:val="auto"/>
              </w:rPr>
            </w:pPr>
            <w:r>
              <w:rPr>
                <w:rFonts w:ascii="Arial" w:cs="Arial" w:eastAsia="Arial" w:hAnsi="Arial"/>
                <w:sz w:val="16"/>
                <w:szCs w:val="16"/>
                <w:color w:val="auto"/>
              </w:rPr>
              <w:t>shares of Class B common stock, (ii)</w:t>
            </w:r>
          </w:p>
        </w:tc>
        <w:tc>
          <w:tcPr>
            <w:tcW w:w="420" w:type="dxa"/>
            <w:vAlign w:val="bottom"/>
          </w:tcPr>
          <w:p>
            <w:pPr>
              <w:spacing w:after="0"/>
              <w:rPr>
                <w:sz w:val="16"/>
                <w:szCs w:val="16"/>
                <w:color w:val="auto"/>
              </w:rPr>
            </w:pPr>
          </w:p>
        </w:tc>
        <w:tc>
          <w:tcPr>
            <w:tcW w:w="6260" w:type="dxa"/>
            <w:vAlign w:val="bottom"/>
            <w:gridSpan w:val="3"/>
          </w:tcPr>
          <w:p>
            <w:pPr>
              <w:jc w:val="right"/>
              <w:spacing w:after="0"/>
              <w:rPr>
                <w:sz w:val="20"/>
                <w:szCs w:val="20"/>
                <w:color w:val="auto"/>
              </w:rPr>
            </w:pPr>
            <w:r>
              <w:rPr>
                <w:rFonts w:ascii="Arial" w:cs="Arial" w:eastAsia="Arial" w:hAnsi="Arial"/>
                <w:sz w:val="16"/>
                <w:szCs w:val="16"/>
                <w:color w:val="auto"/>
              </w:rPr>
              <w:t>shares of Class B common stock held by The Ilan Twig Grantor Retained Annuity Trust,</w:t>
            </w:r>
          </w:p>
        </w:tc>
      </w:tr>
      <w:tr>
        <w:trPr>
          <w:trHeight w:val="203"/>
        </w:trPr>
        <w:tc>
          <w:tcPr>
            <w:tcW w:w="26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6"/>
                <w:szCs w:val="16"/>
                <w:color w:val="auto"/>
              </w:rPr>
              <w:t>of which Mr. Twig is the trustee, (iii)</w:t>
            </w:r>
          </w:p>
        </w:tc>
        <w:tc>
          <w:tcPr>
            <w:tcW w:w="8080" w:type="dxa"/>
            <w:vAlign w:val="bottom"/>
            <w:gridSpan w:val="5"/>
          </w:tcPr>
          <w:p>
            <w:pPr>
              <w:jc w:val="right"/>
              <w:ind w:right="169"/>
              <w:spacing w:after="0"/>
              <w:rPr>
                <w:sz w:val="20"/>
                <w:szCs w:val="20"/>
                <w:color w:val="auto"/>
              </w:rPr>
            </w:pPr>
            <w:r>
              <w:rPr>
                <w:rFonts w:ascii="Arial" w:cs="Arial" w:eastAsia="Arial" w:hAnsi="Arial"/>
                <w:sz w:val="16"/>
                <w:szCs w:val="16"/>
                <w:color w:val="auto"/>
              </w:rPr>
              <w:t>shares underlying stock options to purchase shares of Class A common stock that are exchangeable for</w:t>
            </w:r>
          </w:p>
        </w:tc>
      </w:tr>
      <w:tr>
        <w:trPr>
          <w:trHeight w:val="189"/>
        </w:trPr>
        <w:tc>
          <w:tcPr>
            <w:tcW w:w="260" w:type="dxa"/>
            <w:vAlign w:val="bottom"/>
          </w:tcPr>
          <w:p>
            <w:pPr>
              <w:spacing w:after="0"/>
              <w:rPr>
                <w:sz w:val="16"/>
                <w:szCs w:val="16"/>
                <w:color w:val="auto"/>
              </w:rPr>
            </w:pPr>
          </w:p>
        </w:tc>
        <w:tc>
          <w:tcPr>
            <w:tcW w:w="8960" w:type="dxa"/>
            <w:vAlign w:val="bottom"/>
            <w:gridSpan w:val="6"/>
          </w:tcPr>
          <w:p>
            <w:pPr>
              <w:ind w:left="80"/>
              <w:spacing w:after="0"/>
              <w:rPr>
                <w:sz w:val="20"/>
                <w:szCs w:val="20"/>
                <w:color w:val="auto"/>
              </w:rPr>
            </w:pPr>
            <w:r>
              <w:rPr>
                <w:rFonts w:ascii="Arial" w:cs="Arial" w:eastAsia="Arial" w:hAnsi="Arial"/>
                <w:sz w:val="16"/>
                <w:szCs w:val="16"/>
                <w:color w:val="auto"/>
              </w:rPr>
              <w:t>shares of Class B common stock pursuant to the Equity Exchange Rights and that are exercisable within 60 days of</w:t>
            </w:r>
          </w:p>
        </w:tc>
        <w:tc>
          <w:tcPr>
            <w:tcW w:w="1540" w:type="dxa"/>
            <w:vAlign w:val="bottom"/>
          </w:tcPr>
          <w:p>
            <w:pPr>
              <w:ind w:left="280"/>
              <w:spacing w:after="0"/>
              <w:rPr>
                <w:sz w:val="20"/>
                <w:szCs w:val="20"/>
                <w:color w:val="auto"/>
              </w:rPr>
            </w:pPr>
            <w:r>
              <w:rPr>
                <w:rFonts w:ascii="Arial" w:cs="Arial" w:eastAsia="Arial" w:hAnsi="Arial"/>
                <w:sz w:val="16"/>
                <w:szCs w:val="16"/>
                <w:color w:val="auto"/>
              </w:rPr>
              <w:t>, 2025, and</w:t>
            </w:r>
          </w:p>
        </w:tc>
        <w:tc>
          <w:tcPr>
            <w:tcW w:w="340" w:type="dxa"/>
            <w:vAlign w:val="bottom"/>
          </w:tcPr>
          <w:p>
            <w:pPr>
              <w:spacing w:after="0"/>
              <w:rPr>
                <w:sz w:val="16"/>
                <w:szCs w:val="16"/>
                <w:color w:val="auto"/>
              </w:rPr>
            </w:pPr>
          </w:p>
        </w:tc>
      </w:tr>
      <w:tr>
        <w:trPr>
          <w:trHeight w:val="203"/>
        </w:trPr>
        <w:tc>
          <w:tcPr>
            <w:tcW w:w="26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6"/>
                <w:szCs w:val="16"/>
                <w:color w:val="auto"/>
              </w:rPr>
              <w:t>(iv)</w:t>
            </w:r>
          </w:p>
        </w:tc>
        <w:tc>
          <w:tcPr>
            <w:tcW w:w="3620" w:type="dxa"/>
            <w:vAlign w:val="bottom"/>
            <w:gridSpan w:val="3"/>
          </w:tcPr>
          <w:p>
            <w:pPr>
              <w:jc w:val="right"/>
              <w:ind w:right="359"/>
              <w:spacing w:after="0"/>
              <w:rPr>
                <w:sz w:val="20"/>
                <w:szCs w:val="20"/>
                <w:color w:val="auto"/>
              </w:rPr>
            </w:pPr>
            <w:r>
              <w:rPr>
                <w:rFonts w:ascii="Arial" w:cs="Arial" w:eastAsia="Arial" w:hAnsi="Arial"/>
                <w:sz w:val="16"/>
                <w:szCs w:val="16"/>
                <w:color w:val="auto"/>
              </w:rPr>
              <w:t>shares of Class B common stock held by</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4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89"/>
        </w:trPr>
        <w:tc>
          <w:tcPr>
            <w:tcW w:w="260" w:type="dxa"/>
            <w:vAlign w:val="bottom"/>
          </w:tcPr>
          <w:p>
            <w:pPr>
              <w:jc w:val="right"/>
              <w:spacing w:after="0"/>
              <w:rPr>
                <w:sz w:val="20"/>
                <w:szCs w:val="20"/>
                <w:color w:val="auto"/>
              </w:rPr>
            </w:pPr>
            <w:r>
              <w:rPr>
                <w:rFonts w:ascii="Arial" w:cs="Arial" w:eastAsia="Arial" w:hAnsi="Arial"/>
                <w:sz w:val="16"/>
                <w:szCs w:val="16"/>
                <w:color w:val="auto"/>
                <w:w w:val="91"/>
              </w:rPr>
              <w:t>(3)</w:t>
            </w: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Consists of (i)</w:t>
            </w:r>
          </w:p>
        </w:tc>
        <w:tc>
          <w:tcPr>
            <w:tcW w:w="3400" w:type="dxa"/>
            <w:vAlign w:val="bottom"/>
            <w:gridSpan w:val="3"/>
          </w:tcPr>
          <w:p>
            <w:pPr>
              <w:ind w:left="320"/>
              <w:spacing w:after="0"/>
              <w:rPr>
                <w:sz w:val="20"/>
                <w:szCs w:val="20"/>
                <w:color w:val="auto"/>
              </w:rPr>
            </w:pPr>
            <w:r>
              <w:rPr>
                <w:rFonts w:ascii="Arial" w:cs="Arial" w:eastAsia="Arial" w:hAnsi="Arial"/>
                <w:sz w:val="16"/>
                <w:szCs w:val="16"/>
                <w:color w:val="auto"/>
              </w:rPr>
              <w:t>shares of Class A common stock, and (ii)</w:t>
            </w:r>
          </w:p>
        </w:tc>
        <w:tc>
          <w:tcPr>
            <w:tcW w:w="6260" w:type="dxa"/>
            <w:vAlign w:val="bottom"/>
            <w:gridSpan w:val="3"/>
          </w:tcPr>
          <w:p>
            <w:pPr>
              <w:jc w:val="right"/>
              <w:spacing w:after="0"/>
              <w:rPr>
                <w:sz w:val="20"/>
                <w:szCs w:val="20"/>
                <w:color w:val="auto"/>
              </w:rPr>
            </w:pPr>
            <w:r>
              <w:rPr>
                <w:rFonts w:ascii="Arial" w:cs="Arial" w:eastAsia="Arial" w:hAnsi="Arial"/>
                <w:sz w:val="16"/>
                <w:szCs w:val="16"/>
                <w:color w:val="auto"/>
              </w:rPr>
              <w:t>shares underlying stock options to purchase shares of Class A common stock that</w:t>
            </w:r>
          </w:p>
        </w:tc>
      </w:tr>
      <w:tr>
        <w:trPr>
          <w:trHeight w:val="189"/>
        </w:trPr>
        <w:tc>
          <w:tcPr>
            <w:tcW w:w="260" w:type="dxa"/>
            <w:vAlign w:val="bottom"/>
          </w:tcPr>
          <w:p>
            <w:pPr>
              <w:spacing w:after="0"/>
              <w:rPr>
                <w:sz w:val="16"/>
                <w:szCs w:val="16"/>
                <w:color w:val="auto"/>
              </w:rPr>
            </w:pPr>
          </w:p>
        </w:tc>
        <w:tc>
          <w:tcPr>
            <w:tcW w:w="2760" w:type="dxa"/>
            <w:vAlign w:val="bottom"/>
            <w:gridSpan w:val="3"/>
          </w:tcPr>
          <w:p>
            <w:pPr>
              <w:ind w:left="80"/>
              <w:spacing w:after="0"/>
              <w:rPr>
                <w:sz w:val="20"/>
                <w:szCs w:val="20"/>
                <w:color w:val="auto"/>
              </w:rPr>
            </w:pPr>
            <w:r>
              <w:rPr>
                <w:rFonts w:ascii="Arial" w:cs="Arial" w:eastAsia="Arial" w:hAnsi="Arial"/>
                <w:sz w:val="16"/>
                <w:szCs w:val="16"/>
                <w:color w:val="auto"/>
              </w:rPr>
              <w:t>are exercisable within 60 days of</w:t>
            </w:r>
          </w:p>
        </w:tc>
        <w:tc>
          <w:tcPr>
            <w:tcW w:w="1400" w:type="dxa"/>
            <w:vAlign w:val="bottom"/>
          </w:tcPr>
          <w:p>
            <w:pPr>
              <w:jc w:val="right"/>
              <w:ind w:right="659"/>
              <w:spacing w:after="0"/>
              <w:rPr>
                <w:sz w:val="20"/>
                <w:szCs w:val="20"/>
                <w:color w:val="auto"/>
              </w:rPr>
            </w:pPr>
            <w:r>
              <w:rPr>
                <w:rFonts w:ascii="Arial" w:cs="Arial" w:eastAsia="Arial" w:hAnsi="Arial"/>
                <w:sz w:val="16"/>
                <w:szCs w:val="16"/>
                <w:color w:val="auto"/>
              </w:rPr>
              <w:t>, 2025.</w:t>
            </w:r>
          </w:p>
        </w:tc>
        <w:tc>
          <w:tcPr>
            <w:tcW w:w="4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5"/>
        </w:trPr>
        <w:tc>
          <w:tcPr>
            <w:tcW w:w="260" w:type="dxa"/>
            <w:vAlign w:val="bottom"/>
          </w:tcPr>
          <w:p>
            <w:pPr>
              <w:jc w:val="right"/>
              <w:spacing w:after="0"/>
              <w:rPr>
                <w:sz w:val="20"/>
                <w:szCs w:val="20"/>
                <w:color w:val="auto"/>
              </w:rPr>
            </w:pPr>
            <w:r>
              <w:rPr>
                <w:rFonts w:ascii="Arial" w:cs="Arial" w:eastAsia="Arial" w:hAnsi="Arial"/>
                <w:sz w:val="16"/>
                <w:szCs w:val="16"/>
                <w:color w:val="auto"/>
                <w:w w:val="91"/>
              </w:rPr>
              <w:t>(4)</w:t>
            </w: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Consists of</w:t>
            </w:r>
          </w:p>
        </w:tc>
        <w:tc>
          <w:tcPr>
            <w:tcW w:w="9660" w:type="dxa"/>
            <w:vAlign w:val="bottom"/>
            <w:gridSpan w:val="6"/>
          </w:tcPr>
          <w:p>
            <w:pPr>
              <w:jc w:val="right"/>
              <w:spacing w:after="0"/>
              <w:rPr>
                <w:sz w:val="20"/>
                <w:szCs w:val="20"/>
                <w:color w:val="auto"/>
              </w:rPr>
            </w:pPr>
            <w:r>
              <w:rPr>
                <w:rFonts w:ascii="Arial" w:cs="Arial" w:eastAsia="Arial" w:hAnsi="Arial"/>
                <w:sz w:val="16"/>
                <w:szCs w:val="16"/>
                <w:color w:val="auto"/>
              </w:rPr>
              <w:t>shares of Class A common stock held by entities affiliated with Andreessen Horowitz, as reflected in footnote 11, below. Mr. Horowitz,</w:t>
            </w:r>
          </w:p>
        </w:tc>
      </w:tr>
    </w:tbl>
    <w:p>
      <w:pPr>
        <w:jc w:val="both"/>
        <w:ind w:left="340" w:right="120"/>
        <w:spacing w:after="0" w:line="258" w:lineRule="auto"/>
        <w:rPr>
          <w:sz w:val="20"/>
          <w:szCs w:val="20"/>
          <w:color w:val="auto"/>
        </w:rPr>
      </w:pPr>
      <w:r>
        <w:rPr>
          <w:rFonts w:ascii="Arial" w:cs="Arial" w:eastAsia="Arial" w:hAnsi="Arial"/>
          <w:sz w:val="16"/>
          <w:szCs w:val="16"/>
          <w:color w:val="auto"/>
        </w:rPr>
        <w:t>a member of our board of directors, is a general partner of Andreessen Horowitz, and therefore, may be deemed to share voting and investment power with regard to the shares held directly by Andreessen Horowitz. The address for Mr. Horowitz is c/o Andreessen Horowitz, 2865 Sand Hill Road, Suite 101, Menlo Park, CA 94025.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229" w:right="339" w:bottom="1440" w:gutter="0" w:footer="0" w:header="0"/>
          <w:type w:val="continuous"/>
        </w:sectPr>
      </w:pPr>
    </w:p>
    <w:bookmarkStart w:id="183" w:name="page184"/>
    <w:bookmarkEnd w:id="1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right="80" w:hanging="323"/>
        <w:spacing w:after="0" w:line="259" w:lineRule="auto"/>
        <w:rPr>
          <w:sz w:val="20"/>
          <w:szCs w:val="20"/>
          <w:color w:val="auto"/>
        </w:rPr>
      </w:pPr>
      <w:r>
        <w:rPr>
          <w:rFonts w:ascii="Arial" w:cs="Arial" w:eastAsia="Arial" w:hAnsi="Arial"/>
          <w:sz w:val="16"/>
          <w:szCs w:val="16"/>
          <w:color w:val="auto"/>
        </w:rPr>
        <w:t>(5) Consists of</w:t>
      </w:r>
      <w:r>
        <w:rPr>
          <w:sz w:val="20"/>
          <w:szCs w:val="20"/>
          <w:color w:val="auto"/>
        </w:rPr>
        <w:t xml:space="preserve"> </w:t>
      </w:r>
      <w:r>
        <w:rPr>
          <w:rFonts w:ascii="Arial" w:cs="Arial" w:eastAsia="Arial" w:hAnsi="Arial"/>
          <w:sz w:val="16"/>
          <w:szCs w:val="16"/>
          <w:color w:val="auto"/>
        </w:rPr>
        <w:t>shares of Class A common stock held by entities affiliated with Lightspeed Venture Partners, as reflected in footnote 10, below. Mr. Janmohamed, a member of our board of directors, is a partner of Lightspeed Venture Partners, and therefore, may be deemed to share voting and investment power with regard to certain of the shares held directly by Lightspeed Venture Partners. The address for Mr. Janmohamed is c/o Lightspeed Venture Partners, 2200 Sand Hill Road, Menlo Park, CA 94025.</w:t>
      </w:r>
    </w:p>
    <w:tbl>
      <w:tblPr>
        <w:tblLayout w:type="fixed"/>
        <w:tblInd w:w="0" w:type="dxa"/>
        <w:tblCellMar>
          <w:top w:w="0" w:type="dxa"/>
          <w:left w:w="0" w:type="dxa"/>
          <w:bottom w:w="0" w:type="dxa"/>
          <w:right w:w="0" w:type="dxa"/>
        </w:tblCellMar>
      </w:tblPr>
      <w:tr>
        <w:trPr>
          <w:trHeight w:val="178"/>
        </w:trPr>
        <w:tc>
          <w:tcPr>
            <w:tcW w:w="260" w:type="dxa"/>
            <w:vAlign w:val="bottom"/>
          </w:tcPr>
          <w:p>
            <w:pPr>
              <w:jc w:val="right"/>
              <w:spacing w:after="0" w:line="178" w:lineRule="exact"/>
              <w:rPr>
                <w:sz w:val="20"/>
                <w:szCs w:val="20"/>
                <w:color w:val="auto"/>
              </w:rPr>
            </w:pPr>
            <w:r>
              <w:rPr>
                <w:rFonts w:ascii="Arial" w:cs="Arial" w:eastAsia="Arial" w:hAnsi="Arial"/>
                <w:sz w:val="16"/>
                <w:szCs w:val="16"/>
                <w:color w:val="auto"/>
                <w:w w:val="91"/>
              </w:rPr>
              <w:t>(6)</w:t>
            </w:r>
          </w:p>
        </w:tc>
        <w:tc>
          <w:tcPr>
            <w:tcW w:w="1180" w:type="dxa"/>
            <w:vAlign w:val="bottom"/>
          </w:tcPr>
          <w:p>
            <w:pPr>
              <w:ind w:left="60"/>
              <w:spacing w:after="0" w:line="178" w:lineRule="exact"/>
              <w:rPr>
                <w:sz w:val="20"/>
                <w:szCs w:val="20"/>
                <w:color w:val="auto"/>
              </w:rPr>
            </w:pPr>
            <w:r>
              <w:rPr>
                <w:rFonts w:ascii="Arial" w:cs="Arial" w:eastAsia="Arial" w:hAnsi="Arial"/>
                <w:sz w:val="16"/>
                <w:szCs w:val="16"/>
                <w:color w:val="auto"/>
              </w:rPr>
              <w:t>Consists of</w:t>
            </w:r>
          </w:p>
        </w:tc>
        <w:tc>
          <w:tcPr>
            <w:tcW w:w="9780" w:type="dxa"/>
            <w:vAlign w:val="bottom"/>
            <w:gridSpan w:val="2"/>
          </w:tcPr>
          <w:p>
            <w:pPr>
              <w:ind w:left="140"/>
              <w:spacing w:after="0" w:line="178" w:lineRule="exact"/>
              <w:rPr>
                <w:sz w:val="20"/>
                <w:szCs w:val="20"/>
                <w:color w:val="auto"/>
              </w:rPr>
            </w:pPr>
            <w:r>
              <w:rPr>
                <w:rFonts w:ascii="Arial" w:cs="Arial" w:eastAsia="Arial" w:hAnsi="Arial"/>
                <w:sz w:val="16"/>
                <w:szCs w:val="16"/>
                <w:color w:val="auto"/>
              </w:rPr>
              <w:t>shares of Class A common stock held by entities affiliated with Premji Invest. Mr. Patnam, who is a member of our board of directors, is</w:t>
            </w:r>
          </w:p>
        </w:tc>
      </w:tr>
      <w:tr>
        <w:trPr>
          <w:trHeight w:val="189"/>
        </w:trPr>
        <w:tc>
          <w:tcPr>
            <w:tcW w:w="260" w:type="dxa"/>
            <w:vAlign w:val="bottom"/>
          </w:tcPr>
          <w:p>
            <w:pPr>
              <w:spacing w:after="0"/>
              <w:rPr>
                <w:sz w:val="16"/>
                <w:szCs w:val="16"/>
                <w:color w:val="auto"/>
              </w:rPr>
            </w:pPr>
          </w:p>
        </w:tc>
        <w:tc>
          <w:tcPr>
            <w:tcW w:w="10960" w:type="dxa"/>
            <w:vAlign w:val="bottom"/>
            <w:gridSpan w:val="3"/>
          </w:tcPr>
          <w:p>
            <w:pPr>
              <w:ind w:left="80"/>
              <w:spacing w:after="0"/>
              <w:rPr>
                <w:sz w:val="20"/>
                <w:szCs w:val="20"/>
                <w:color w:val="auto"/>
              </w:rPr>
            </w:pPr>
            <w:r>
              <w:rPr>
                <w:rFonts w:ascii="Arial" w:cs="Arial" w:eastAsia="Arial" w:hAnsi="Arial"/>
                <w:sz w:val="16"/>
                <w:szCs w:val="16"/>
                <w:color w:val="auto"/>
              </w:rPr>
              <w:t>the managing partner of Premji Invest and therefore, may be deemed to share voting and investment power with regard to the shares held by Premji</w:t>
            </w:r>
          </w:p>
        </w:tc>
      </w:tr>
      <w:tr>
        <w:trPr>
          <w:trHeight w:val="203"/>
        </w:trPr>
        <w:tc>
          <w:tcPr>
            <w:tcW w:w="260" w:type="dxa"/>
            <w:vAlign w:val="bottom"/>
          </w:tcPr>
          <w:p>
            <w:pPr>
              <w:spacing w:after="0"/>
              <w:rPr>
                <w:sz w:val="17"/>
                <w:szCs w:val="17"/>
                <w:color w:val="auto"/>
              </w:rPr>
            </w:pPr>
          </w:p>
        </w:tc>
        <w:tc>
          <w:tcPr>
            <w:tcW w:w="10960" w:type="dxa"/>
            <w:vAlign w:val="bottom"/>
            <w:gridSpan w:val="3"/>
          </w:tcPr>
          <w:p>
            <w:pPr>
              <w:ind w:left="80"/>
              <w:spacing w:after="0"/>
              <w:rPr>
                <w:sz w:val="20"/>
                <w:szCs w:val="20"/>
                <w:color w:val="auto"/>
              </w:rPr>
            </w:pPr>
            <w:r>
              <w:rPr>
                <w:rFonts w:ascii="Arial" w:cs="Arial" w:eastAsia="Arial" w:hAnsi="Arial"/>
                <w:sz w:val="16"/>
                <w:szCs w:val="16"/>
                <w:color w:val="auto"/>
              </w:rPr>
              <w:t>Invest. The address for Premji Invest is 2180 Sand Hill Road, Suite 100, Menlo Park, CA 94025.</w:t>
            </w:r>
          </w:p>
        </w:tc>
      </w:tr>
      <w:tr>
        <w:trPr>
          <w:trHeight w:val="205"/>
        </w:trPr>
        <w:tc>
          <w:tcPr>
            <w:tcW w:w="260" w:type="dxa"/>
            <w:vAlign w:val="bottom"/>
          </w:tcPr>
          <w:p>
            <w:pPr>
              <w:jc w:val="right"/>
              <w:spacing w:after="0"/>
              <w:rPr>
                <w:sz w:val="20"/>
                <w:szCs w:val="20"/>
                <w:color w:val="auto"/>
              </w:rPr>
            </w:pPr>
            <w:r>
              <w:rPr>
                <w:rFonts w:ascii="Arial" w:cs="Arial" w:eastAsia="Arial" w:hAnsi="Arial"/>
                <w:sz w:val="16"/>
                <w:szCs w:val="16"/>
                <w:color w:val="auto"/>
                <w:w w:val="91"/>
              </w:rPr>
              <w:t>(7)</w:t>
            </w:r>
          </w:p>
        </w:tc>
        <w:tc>
          <w:tcPr>
            <w:tcW w:w="1180" w:type="dxa"/>
            <w:vAlign w:val="bottom"/>
          </w:tcPr>
          <w:p>
            <w:pPr>
              <w:ind w:left="60"/>
              <w:spacing w:after="0"/>
              <w:rPr>
                <w:sz w:val="20"/>
                <w:szCs w:val="20"/>
                <w:color w:val="auto"/>
              </w:rPr>
            </w:pPr>
            <w:r>
              <w:rPr>
                <w:rFonts w:ascii="Arial" w:cs="Arial" w:eastAsia="Arial" w:hAnsi="Arial"/>
                <w:sz w:val="16"/>
                <w:szCs w:val="16"/>
                <w:color w:val="auto"/>
              </w:rPr>
              <w:t>Consists of (i)</w:t>
            </w:r>
          </w:p>
        </w:tc>
        <w:tc>
          <w:tcPr>
            <w:tcW w:w="3580" w:type="dxa"/>
            <w:vAlign w:val="bottom"/>
          </w:tcPr>
          <w:p>
            <w:pPr>
              <w:ind w:left="320"/>
              <w:spacing w:after="0"/>
              <w:rPr>
                <w:sz w:val="20"/>
                <w:szCs w:val="20"/>
                <w:color w:val="auto"/>
              </w:rPr>
            </w:pPr>
            <w:r>
              <w:rPr>
                <w:rFonts w:ascii="Arial" w:cs="Arial" w:eastAsia="Arial" w:hAnsi="Arial"/>
                <w:sz w:val="16"/>
                <w:szCs w:val="16"/>
                <w:color w:val="auto"/>
              </w:rPr>
              <w:t>shares of Class A common stock, and (ii)</w:t>
            </w:r>
          </w:p>
        </w:tc>
        <w:tc>
          <w:tcPr>
            <w:tcW w:w="6200" w:type="dxa"/>
            <w:vAlign w:val="bottom"/>
          </w:tcPr>
          <w:p>
            <w:pPr>
              <w:ind w:left="320"/>
              <w:spacing w:after="0"/>
              <w:rPr>
                <w:sz w:val="20"/>
                <w:szCs w:val="20"/>
                <w:color w:val="auto"/>
              </w:rPr>
            </w:pPr>
            <w:r>
              <w:rPr>
                <w:rFonts w:ascii="Arial" w:cs="Arial" w:eastAsia="Arial" w:hAnsi="Arial"/>
                <w:sz w:val="16"/>
                <w:szCs w:val="16"/>
                <w:color w:val="auto"/>
              </w:rPr>
              <w:t>shares of Class A common stock held by entities affiliated with Zeev Ventures, as</w:t>
            </w:r>
          </w:p>
        </w:tc>
      </w:tr>
    </w:tbl>
    <w:p>
      <w:pPr>
        <w:ind w:left="340" w:right="120"/>
        <w:spacing w:after="0" w:line="252" w:lineRule="auto"/>
        <w:rPr>
          <w:sz w:val="20"/>
          <w:szCs w:val="20"/>
          <w:color w:val="auto"/>
        </w:rPr>
      </w:pPr>
      <w:r>
        <w:rPr>
          <w:rFonts w:ascii="Arial" w:cs="Arial" w:eastAsia="Arial" w:hAnsi="Arial"/>
          <w:sz w:val="16"/>
          <w:szCs w:val="16"/>
          <w:color w:val="auto"/>
        </w:rPr>
        <w:t>reflected in footnote 12, below. Oren Zeev, a member of our board of directors, is the sole general partner of Zeev Ventures, and therefore, may be deemed to have voting and investment power with regard to the shares held directly by Zeev Ventures. The address for Mr. Zeev is c/o Zeev Ventures, 555 Bryant Street, Suite 811, Palo Alto, CA 94301.</w:t>
      </w:r>
    </w:p>
    <w:p>
      <w:pPr>
        <w:spacing w:after="0" w:line="1" w:lineRule="exact"/>
        <w:rPr>
          <w:sz w:val="20"/>
          <w:szCs w:val="20"/>
          <w:color w:val="auto"/>
        </w:rPr>
      </w:pPr>
    </w:p>
    <w:p>
      <w:pPr>
        <w:spacing w:after="0"/>
        <w:tabs>
          <w:tab w:leader="none" w:pos="1740" w:val="left"/>
          <w:tab w:leader="none" w:pos="5180" w:val="left"/>
        </w:tabs>
        <w:rPr>
          <w:sz w:val="20"/>
          <w:szCs w:val="20"/>
          <w:color w:val="auto"/>
        </w:rPr>
      </w:pPr>
      <w:r>
        <w:rPr>
          <w:rFonts w:ascii="Arial" w:cs="Arial" w:eastAsia="Arial" w:hAnsi="Arial"/>
          <w:sz w:val="16"/>
          <w:szCs w:val="16"/>
          <w:color w:val="auto"/>
        </w:rPr>
        <w:t>(8) Consists of (i)</w:t>
      </w:r>
      <w:r>
        <w:rPr>
          <w:sz w:val="20"/>
          <w:szCs w:val="20"/>
          <w:color w:val="auto"/>
        </w:rPr>
        <w:tab/>
      </w:r>
      <w:r>
        <w:rPr>
          <w:rFonts w:ascii="Arial" w:cs="Arial" w:eastAsia="Arial" w:hAnsi="Arial"/>
          <w:sz w:val="16"/>
          <w:szCs w:val="16"/>
          <w:color w:val="auto"/>
        </w:rPr>
        <w:t>shares of Class A common stock, and (ii)</w:t>
      </w:r>
      <w:r>
        <w:rPr>
          <w:sz w:val="20"/>
          <w:szCs w:val="20"/>
          <w:color w:val="auto"/>
        </w:rPr>
        <w:tab/>
      </w:r>
      <w:r>
        <w:rPr>
          <w:rFonts w:ascii="Arial" w:cs="Arial" w:eastAsia="Arial" w:hAnsi="Arial"/>
          <w:sz w:val="16"/>
          <w:szCs w:val="16"/>
          <w:color w:val="auto"/>
        </w:rPr>
        <w:t>shares underlying stock options to purchase shares of Class A common stock that</w:t>
      </w:r>
    </w:p>
    <w:p>
      <w:pPr>
        <w:spacing w:after="0" w:line="15" w:lineRule="exact"/>
        <w:rPr>
          <w:sz w:val="20"/>
          <w:szCs w:val="20"/>
          <w:color w:val="auto"/>
        </w:rPr>
      </w:pPr>
    </w:p>
    <w:p>
      <w:pPr>
        <w:ind w:left="340"/>
        <w:spacing w:after="0"/>
        <w:tabs>
          <w:tab w:leader="none" w:pos="3160" w:val="left"/>
        </w:tabs>
        <w:rPr>
          <w:sz w:val="20"/>
          <w:szCs w:val="20"/>
          <w:color w:val="auto"/>
        </w:rPr>
      </w:pPr>
      <w:r>
        <w:rPr>
          <w:rFonts w:ascii="Arial" w:cs="Arial" w:eastAsia="Arial" w:hAnsi="Arial"/>
          <w:sz w:val="16"/>
          <w:szCs w:val="16"/>
          <w:color w:val="auto"/>
        </w:rPr>
        <w:t>are exercisable within 60 days of</w:t>
      </w:r>
      <w:r>
        <w:rPr>
          <w:sz w:val="20"/>
          <w:szCs w:val="20"/>
          <w:color w:val="auto"/>
        </w:rPr>
        <w:tab/>
      </w:r>
      <w:r>
        <w:rPr>
          <w:rFonts w:ascii="Arial" w:cs="Arial" w:eastAsia="Arial" w:hAnsi="Arial"/>
          <w:sz w:val="16"/>
          <w:szCs w:val="16"/>
          <w:color w:val="auto"/>
        </w:rPr>
        <w:t>, 2025.</w:t>
      </w:r>
    </w:p>
    <w:p>
      <w:pPr>
        <w:spacing w:after="0" w:line="9" w:lineRule="exact"/>
        <w:rPr>
          <w:sz w:val="20"/>
          <w:szCs w:val="20"/>
          <w:color w:val="auto"/>
        </w:rPr>
      </w:pPr>
    </w:p>
    <w:p>
      <w:pPr>
        <w:ind w:left="340" w:right="280" w:hanging="332"/>
        <w:spacing w:after="0" w:line="252" w:lineRule="auto"/>
        <w:tabs>
          <w:tab w:leader="none" w:pos="33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Consists of shares issuable upon settlement of RSUs for which the service-based condition has been satisfied and for which the performance-based condition will be satisfied in connection with this offering.</w:t>
      </w:r>
    </w:p>
    <w:p>
      <w:pPr>
        <w:sectPr>
          <w:pgSz w:w="11900" w:h="16838" w:orient="portrait"/>
          <w:cols w:equalWidth="0" w:num="1">
            <w:col w:w="11220"/>
          </w:cols>
          <w:pgMar w:left="320" w:top="229" w:right="359" w:bottom="1440" w:gutter="0" w:footer="0" w:header="0"/>
        </w:sectPr>
      </w:pPr>
    </w:p>
    <w:p>
      <w:pPr>
        <w:spacing w:after="0" w:line="1" w:lineRule="exact"/>
        <w:rPr>
          <w:sz w:val="20"/>
          <w:szCs w:val="20"/>
          <w:color w:val="auto"/>
        </w:rPr>
      </w:pPr>
    </w:p>
    <w:p>
      <w:pPr>
        <w:spacing w:after="0"/>
        <w:tabs>
          <w:tab w:leader="none" w:pos="1740" w:val="left"/>
          <w:tab w:leader="none" w:pos="4920" w:val="left"/>
        </w:tabs>
        <w:rPr>
          <w:sz w:val="20"/>
          <w:szCs w:val="20"/>
          <w:color w:val="auto"/>
        </w:rPr>
      </w:pPr>
      <w:r>
        <w:rPr>
          <w:rFonts w:ascii="Arial" w:cs="Arial" w:eastAsia="Arial" w:hAnsi="Arial"/>
          <w:sz w:val="16"/>
          <w:szCs w:val="16"/>
          <w:color w:val="auto"/>
        </w:rPr>
        <w:t>(10) Consists of (i)</w:t>
      </w:r>
      <w:r>
        <w:rPr>
          <w:sz w:val="20"/>
          <w:szCs w:val="20"/>
          <w:color w:val="auto"/>
        </w:rPr>
        <w:tab/>
      </w:r>
      <w:r>
        <w:rPr>
          <w:rFonts w:ascii="Arial" w:cs="Arial" w:eastAsia="Arial" w:hAnsi="Arial"/>
          <w:sz w:val="16"/>
          <w:szCs w:val="16"/>
          <w:color w:val="auto"/>
        </w:rPr>
        <w:t>shares of Class A common stock, (ii)</w:t>
      </w:r>
      <w:r>
        <w:rPr>
          <w:sz w:val="20"/>
          <w:szCs w:val="20"/>
          <w:color w:val="auto"/>
        </w:rPr>
        <w:tab/>
      </w:r>
      <w:r>
        <w:rPr>
          <w:rFonts w:ascii="Arial" w:cs="Arial" w:eastAsia="Arial" w:hAnsi="Arial"/>
          <w:sz w:val="16"/>
          <w:szCs w:val="16"/>
          <w:color w:val="auto"/>
        </w:rPr>
        <w:t>shares of Class B common stock, (iii)</w:t>
      </w:r>
    </w:p>
    <w:p>
      <w:pPr>
        <w:spacing w:after="0" w:line="9" w:lineRule="exact"/>
        <w:rPr>
          <w:sz w:val="20"/>
          <w:szCs w:val="20"/>
          <w:color w:val="auto"/>
        </w:rPr>
      </w:pPr>
    </w:p>
    <w:p>
      <w:pPr>
        <w:ind w:left="340"/>
        <w:spacing w:after="0"/>
        <w:tabs>
          <w:tab w:leader="none" w:pos="6760" w:val="left"/>
        </w:tabs>
        <w:rPr>
          <w:sz w:val="20"/>
          <w:szCs w:val="20"/>
          <w:color w:val="auto"/>
        </w:rPr>
      </w:pPr>
      <w:r>
        <w:rPr>
          <w:rFonts w:ascii="Arial" w:cs="Arial" w:eastAsia="Arial" w:hAnsi="Arial"/>
          <w:sz w:val="16"/>
          <w:szCs w:val="16"/>
          <w:color w:val="auto"/>
        </w:rPr>
        <w:t>purchase shares of Class A common stock that are exercisable within 60 days of</w:t>
      </w:r>
      <w:r>
        <w:rPr>
          <w:sz w:val="20"/>
          <w:szCs w:val="20"/>
          <w:color w:val="auto"/>
        </w:rPr>
        <w:tab/>
      </w:r>
      <w:r>
        <w:rPr>
          <w:rFonts w:ascii="Arial" w:cs="Arial" w:eastAsia="Arial" w:hAnsi="Arial"/>
          <w:sz w:val="16"/>
          <w:szCs w:val="16"/>
          <w:color w:val="auto"/>
        </w:rPr>
        <w:t>, 2025, and (iv)</w:t>
      </w:r>
    </w:p>
    <w:p>
      <w:pPr>
        <w:spacing w:after="0" w:line="20" w:lineRule="exact"/>
        <w:rPr>
          <w:sz w:val="20"/>
          <w:szCs w:val="20"/>
          <w:color w:val="auto"/>
        </w:rPr>
      </w:pPr>
      <w:r>
        <w:rPr>
          <w:sz w:val="20"/>
          <w:szCs w:val="20"/>
          <w:color w:val="auto"/>
        </w:rPr>
        <w:br w:type="column"/>
      </w:r>
    </w:p>
    <w:p>
      <w:pPr>
        <w:ind w:right="140" w:hanging="270"/>
        <w:spacing w:after="0" w:line="255" w:lineRule="auto"/>
        <w:rPr>
          <w:sz w:val="20"/>
          <w:szCs w:val="20"/>
          <w:color w:val="auto"/>
        </w:rPr>
      </w:pPr>
      <w:r>
        <w:rPr>
          <w:rFonts w:ascii="Arial" w:cs="Arial" w:eastAsia="Arial" w:hAnsi="Arial"/>
          <w:sz w:val="16"/>
          <w:szCs w:val="16"/>
          <w:color w:val="auto"/>
        </w:rPr>
        <w:t>shares underlying stock options to shares underlying stock options to</w:t>
      </w:r>
    </w:p>
    <w:p>
      <w:pPr>
        <w:spacing w:after="0" w:line="1" w:lineRule="exact"/>
        <w:rPr>
          <w:sz w:val="20"/>
          <w:szCs w:val="20"/>
          <w:color w:val="auto"/>
        </w:rPr>
      </w:pPr>
    </w:p>
    <w:p>
      <w:pPr>
        <w:sectPr>
          <w:pgSz w:w="11900" w:h="16838" w:orient="portrait"/>
          <w:cols w:equalWidth="0" w:num="2">
            <w:col w:w="7920" w:space="720"/>
            <w:col w:w="2580"/>
          </w:cols>
          <w:pgMar w:left="320" w:top="229" w:right="3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purchase shares of Class A common stock that are exchangeable for shares of Class B common stock pursuant to the Equity Exchange Rights and that</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2680" w:type="dxa"/>
            <w:vAlign w:val="bottom"/>
          </w:tcPr>
          <w:p>
            <w:pPr>
              <w:spacing w:after="0"/>
              <w:rPr>
                <w:sz w:val="20"/>
                <w:szCs w:val="20"/>
                <w:color w:val="auto"/>
              </w:rPr>
            </w:pPr>
            <w:r>
              <w:rPr>
                <w:rFonts w:ascii="Arial" w:cs="Arial" w:eastAsia="Arial" w:hAnsi="Arial"/>
                <w:sz w:val="16"/>
                <w:szCs w:val="16"/>
                <w:color w:val="auto"/>
              </w:rPr>
              <w:t>are exercisable within 60 days of</w:t>
            </w:r>
          </w:p>
        </w:tc>
        <w:tc>
          <w:tcPr>
            <w:tcW w:w="840" w:type="dxa"/>
            <w:vAlign w:val="bottom"/>
          </w:tcPr>
          <w:p>
            <w:pPr>
              <w:jc w:val="right"/>
              <w:spacing w:after="0"/>
              <w:rPr>
                <w:sz w:val="20"/>
                <w:szCs w:val="20"/>
                <w:color w:val="auto"/>
              </w:rPr>
            </w:pPr>
            <w:r>
              <w:rPr>
                <w:rFonts w:ascii="Arial" w:cs="Arial" w:eastAsia="Arial" w:hAnsi="Arial"/>
                <w:sz w:val="16"/>
                <w:szCs w:val="16"/>
                <w:color w:val="auto"/>
              </w:rPr>
              <w:t>, 2025.</w:t>
            </w:r>
          </w:p>
        </w:tc>
      </w:tr>
    </w:tbl>
    <w:p>
      <w:pPr>
        <w:ind w:left="340" w:hanging="332"/>
        <w:spacing w:after="0" w:line="253" w:lineRule="auto"/>
        <w:tabs>
          <w:tab w:leader="none" w:pos="31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Consists of (i) shares of Class A common stock held by Lightspeed Venture Partners X, L.P., or Lightspeed X, (ii) shares of Class A common stock held by Lightspeed Affiliates X, L.P., or Lightspeed Affiliates X, (iii) shares of Class A common stock held by Lightspeed Opportunity Fund, L.P., or Lightspeed Opportunity, (iv) shares of Class A common stock held by Lightspeed Strategic Partners I, L.P., or Lightspeed Strategic Partners, (v) shares of Class A common stock held by Lightspeed Venture Partners Select II, L.P., or Lightspeed Select II, and (vi) shares of Class A common stock held by Lightspeed Venture Partners Select III, L.P., or Lightspeed Select III. Lightspeed Ultimate General Partner X, Ltd., or LUGP X, serves as the sole general partner of Lightspeed General Partner X, L.P. which serves as the sole general partner of Lightspeed X and Lightspeed Affiliates X. Lightspeed Ultimate General Partner Opportunity Fund, Ltd., or LUGP Opportunity Fund, serves as the sole general partner of Lightspeed General Partner Opportunity Fund, L.P., which serves as the sole general partner of Lightspeed Opportunity. Lightspeed Strategic Partners Ultimate General Partner I, L.L.C., or LSP UGP, serves as the sole general partner of Lightspeed Strategic Partners General Partner I L.P., which serves as the sole general partner of Lightspeed Strategic Partners. Lightspeed Ultimate General Partner Select II, Ltd., or LUGP Select II, serves as the sole general partner of Lightspeed General Partner Select II, L.P., which serves as the sole general partner of Lightspeed Select II. Lightspeed Ultimate General Partner Select III, Ltd., or LUGP Select III, serves as the sole general partner of Lightspeed General Partner Select III, L.P., which serves as the sole general partner of Lightspeed Select III. Barry Eggers, Ravi Mhatre, and Peter Nieh are the directors of LUGP X, LUGP Select II, and LUGP Select III and share voting and dispositive power over the securities held by Lightspeed X, Lightspeed Affiliates X, Lightspeed Select II, and Lightspeed Select III, respectively. Arif Janmohamed, who is a member of our board of directors, and Mr. Mhatre are the directors of LUGP Opportunity Fund and the managers of LSP UGP and share voting and dispositive power over the securities held by Lightspeed Opportunity and Lightspeed Strategic Partners, respectively. The address of each of the aforementioned entities is 2200 Sand Hill Road, Menlo Park, CA 94025.</w:t>
      </w:r>
    </w:p>
    <w:p>
      <w:pPr>
        <w:spacing w:after="0" w:line="10" w:lineRule="exact"/>
        <w:rPr>
          <w:rFonts w:ascii="Arial" w:cs="Arial" w:eastAsia="Arial" w:hAnsi="Arial"/>
          <w:sz w:val="16"/>
          <w:szCs w:val="16"/>
          <w:color w:val="auto"/>
        </w:rPr>
      </w:pPr>
    </w:p>
    <w:p>
      <w:pPr>
        <w:jc w:val="both"/>
        <w:ind w:left="340" w:right="240" w:hanging="332"/>
        <w:spacing w:after="0" w:line="252" w:lineRule="auto"/>
        <w:tabs>
          <w:tab w:leader="none" w:pos="33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Consists of (i)shares of Class A common stock held by Andreessen Horowitz LSV Fund I, L.P., or AH LSV Fund I, for itself and as nominee for Andreessen Horowitz LSV Fund I-B, L.P., or AH LSV Fund I-B, and Andreessen Horowitz LSV Fund I-Q, L.P., or AH LSV Fund I-Q, and together with</w:t>
      </w:r>
    </w:p>
    <w:p>
      <w:pPr>
        <w:spacing w:after="0" w:line="1" w:lineRule="exact"/>
        <w:rPr>
          <w:sz w:val="20"/>
          <w:szCs w:val="20"/>
          <w:color w:val="auto"/>
        </w:rPr>
      </w:pPr>
    </w:p>
    <w:p>
      <w:pPr>
        <w:ind w:left="340" w:right="20"/>
        <w:spacing w:after="0" w:line="255" w:lineRule="auto"/>
        <w:rPr>
          <w:sz w:val="20"/>
          <w:szCs w:val="20"/>
          <w:color w:val="auto"/>
        </w:rPr>
      </w:pPr>
      <w:r>
        <w:rPr>
          <w:rFonts w:ascii="Arial" w:cs="Arial" w:eastAsia="Arial" w:hAnsi="Arial"/>
          <w:sz w:val="16"/>
          <w:szCs w:val="16"/>
          <w:color w:val="auto"/>
        </w:rPr>
        <w:t>AH LSV Fund I and AH LSV Fund I-B, the AH LSV Fund I Entities, (ii) shares of Class A common stock held by Andreessen Horowitz LSV Fund II, L.P., or AH LSV Fund II, for itself and as nominee for Andreessen Horowitz LSV Fund II-B, L.P., or AH LSV Fund II-B, and Andreessen Horowitz LSV</w:t>
      </w:r>
    </w:p>
    <w:p>
      <w:pPr>
        <w:spacing w:after="0" w:line="1" w:lineRule="exact"/>
        <w:rPr>
          <w:sz w:val="20"/>
          <w:szCs w:val="20"/>
          <w:color w:val="auto"/>
        </w:rPr>
      </w:pPr>
    </w:p>
    <w:p>
      <w:pPr>
        <w:ind w:left="340" w:right="20"/>
        <w:spacing w:after="0" w:line="194" w:lineRule="exact"/>
        <w:rPr>
          <w:sz w:val="20"/>
          <w:szCs w:val="20"/>
          <w:color w:val="auto"/>
        </w:rPr>
      </w:pPr>
      <w:r>
        <w:rPr>
          <w:rFonts w:ascii="Arial" w:cs="Arial" w:eastAsia="Arial" w:hAnsi="Arial"/>
          <w:sz w:val="16"/>
          <w:szCs w:val="16"/>
          <w:color w:val="auto"/>
        </w:rPr>
        <w:t>Fund II-Q, L.P., or AH LSV Fund II-Q, and together with AH LSV Fund II and AH LSV Fund II-B, the AH LSV Fund II Entities, (iii) shares of Class A common stock held by Andreessen Horowitz LSV Fund III, L.P., or AH LSV Fund III, for itself and as nominee for Andreessen Horowitz LSV Fund III-B, L.P., or AH LSV Fund III-B, AH 2022 Annual Fund, L.P., or AH 2022 Annual Fund, AH 2022 Annual Fund</w:t>
      </w:r>
      <w:r>
        <w:rPr>
          <w:rFonts w:ascii="MS PGothic" w:cs="MS PGothic" w:eastAsia="MS PGothic" w:hAnsi="MS PGothic"/>
          <w:sz w:val="16"/>
          <w:szCs w:val="16"/>
          <w:color w:val="auto"/>
        </w:rPr>
        <w:t>‑</w:t>
      </w:r>
      <w:r>
        <w:rPr>
          <w:rFonts w:ascii="Arial" w:cs="Arial" w:eastAsia="Arial" w:hAnsi="Arial"/>
          <w:sz w:val="16"/>
          <w:szCs w:val="16"/>
          <w:color w:val="auto"/>
        </w:rPr>
        <w:t>B, L.P., or AH 2022 Annual Fund-B, and AH 2022 Annual Fund</w:t>
      </w:r>
      <w:r>
        <w:rPr>
          <w:rFonts w:ascii="MS PGothic" w:cs="MS PGothic" w:eastAsia="MS PGothic" w:hAnsi="MS PGothic"/>
          <w:sz w:val="16"/>
          <w:szCs w:val="16"/>
          <w:color w:val="auto"/>
        </w:rPr>
        <w:t>‑</w:t>
      </w:r>
      <w:r>
        <w:rPr>
          <w:rFonts w:ascii="Arial" w:cs="Arial" w:eastAsia="Arial" w:hAnsi="Arial"/>
          <w:sz w:val="16"/>
          <w:szCs w:val="16"/>
          <w:color w:val="auto"/>
        </w:rPr>
        <w:t>QC, L.P., or AH 2022 Annual Fund-QC, and together with AH LSV Fund III, AH LSV Fund III-B, AH 2022 Annual Fund, and AH 2022</w:t>
      </w:r>
    </w:p>
    <w:p>
      <w:pPr>
        <w:spacing w:after="0" w:line="1" w:lineRule="exact"/>
        <w:rPr>
          <w:sz w:val="20"/>
          <w:szCs w:val="20"/>
          <w:color w:val="auto"/>
        </w:rPr>
      </w:pPr>
    </w:p>
    <w:p>
      <w:pPr>
        <w:ind w:left="340" w:right="40"/>
        <w:spacing w:after="0" w:line="264" w:lineRule="auto"/>
        <w:rPr>
          <w:sz w:val="20"/>
          <w:szCs w:val="20"/>
          <w:color w:val="auto"/>
        </w:rPr>
      </w:pPr>
      <w:r>
        <w:rPr>
          <w:rFonts w:ascii="Arial" w:cs="Arial" w:eastAsia="Arial" w:hAnsi="Arial"/>
          <w:sz w:val="16"/>
          <w:szCs w:val="16"/>
          <w:color w:val="auto"/>
        </w:rPr>
        <w:t>Annual Fund-B, the AH LSV Fund III Entities, (iv) shares of Class A common stock held by Andreessen Horowitz Fund V, L.P., or AH Fund V, for itself and as nominee for Andreessen Horowitz Fund V-A, L.P., or AH Fund V-A, Andreessen Horowitz Fund V-B, L.P., or AH Fund V-B, and Andreessen Horowitz Fund V-Q, L.P., or AH Fund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229" w:right="35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340" w:right="20"/>
        <w:spacing w:after="0" w:line="259" w:lineRule="auto"/>
        <w:rPr>
          <w:sz w:val="20"/>
          <w:szCs w:val="20"/>
          <w:color w:val="auto"/>
        </w:rPr>
      </w:pPr>
      <w:r>
        <w:rPr>
          <w:rFonts w:ascii="Arial" w:cs="Arial" w:eastAsia="Arial" w:hAnsi="Arial"/>
          <w:sz w:val="16"/>
          <w:szCs w:val="16"/>
          <w:color w:val="auto"/>
        </w:rPr>
        <w:t>Q, and together with AH Fund V, AH Fund V-A and AH Fund V-B, the AH Fund V Entities, (v) shares of Class A common stock held by AH Parallel Fund V, L.P., or AH Parallel Fund V, for itself and as nominee for AH Parallel Fund V-A, L.P., or AH Parallel Fund V-A, AH Parallel Fund V-B, L.P., or AH Parallel Fund V-B, and AH Parallel Fund V-Q, L.P., or AH Parallel Fund V-Q, and together with AH Parallel Fund V, AH Parallel Fund V-A and AH</w:t>
      </w:r>
    </w:p>
    <w:p>
      <w:pPr>
        <w:spacing w:after="0" w:line="1" w:lineRule="exact"/>
        <w:rPr>
          <w:sz w:val="20"/>
          <w:szCs w:val="20"/>
          <w:color w:val="auto"/>
        </w:rPr>
      </w:pPr>
    </w:p>
    <w:p>
      <w:pPr>
        <w:ind w:left="340"/>
        <w:spacing w:after="0" w:line="253" w:lineRule="auto"/>
        <w:rPr>
          <w:sz w:val="20"/>
          <w:szCs w:val="20"/>
          <w:color w:val="auto"/>
        </w:rPr>
      </w:pPr>
      <w:r>
        <w:rPr>
          <w:rFonts w:ascii="Arial" w:cs="Arial" w:eastAsia="Arial" w:hAnsi="Arial"/>
          <w:sz w:val="16"/>
          <w:szCs w:val="16"/>
          <w:color w:val="auto"/>
        </w:rPr>
        <w:t>Parallel Fund V-B, the AH Parallel Fund V Entities, and (vi) shares of Class A common stock held by CLF Partners, LP, or CLF. AH Equity Partners LSV I, L.L.C., or AH EP LSV I, the general partner of the AH LSV Fund I Entities, may be deemed to have sole voting and dispositive power over the securities held by the AH LSV Fund I Entities. AH Equity Partners LSV II, L.L.C., or AH EP LSV II, the general partner of the AH LSV Fund II Entities, may be deemed to have sole voting and dispositive power over the securities held by the AH LSV Fund II Entities. AH Equity Partners LSV III, L.L.C., or AH EP LSV III, the general partner of the AH LSV Fund III Entities, may be deemed to have sole voting and dispositive power over the securities held by the AH LSV Fund III Entities. AH Equity Partners V, L.L.C., or AH EP V, the general partner of the AH Fund V Entities, may be deemed to have sole voting and dispositive power over the securities held by the AH Fund V Entities. AH Equity Partners V (Parallel), L.L.C., or AH EP V Parallel, the general partner of the AH Parallel Fund V Entities, may be deemed to have sole voting and dispositive power over the securities held by the AH Parallel Fund V Entities. AH EP V, the general partner of CLF, may be deemed to have sole voting and dispositive power over the securities held by CLF. The managing members of each of AH EP LSV I, AH EP LSV II, AH EP LSV III, AH EP V, and AH EP V Parallel are Marc Andreessen and Benjamin Horowitz. Each of Messrs. Andreessen and Horowitz may be deemed to hold shared voting and dispositive power with respect to the securities held by each of the AH LSV Fund I Entities, AH LSV Fund II Entities, AH LSV Fund III Entities, AH Fund V Entities, AH Parallel Fund V Entities, and CLF. The address of each</w:t>
      </w:r>
    </w:p>
    <w:p>
      <w:pPr>
        <w:sectPr>
          <w:pgSz w:w="11900" w:h="16838" w:orient="portrait"/>
          <w:cols w:equalWidth="0" w:num="1">
            <w:col w:w="11220"/>
          </w:cols>
          <w:pgMar w:left="320" w:top="229" w:right="359" w:bottom="1440" w:gutter="0" w:footer="0" w:header="0"/>
        </w:sectPr>
      </w:pPr>
    </w:p>
    <w:p>
      <w:pPr>
        <w:spacing w:after="0" w:line="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the aforementioned entities is 2865 Sand Hill Road, Suite 101, Menlo Park, CA 94025.</w:t>
      </w:r>
    </w:p>
    <w:p>
      <w:pPr>
        <w:spacing w:after="0" w:line="9" w:lineRule="exact"/>
        <w:rPr>
          <w:sz w:val="20"/>
          <w:szCs w:val="20"/>
          <w:color w:val="auto"/>
        </w:rPr>
      </w:pPr>
    </w:p>
    <w:p>
      <w:pPr>
        <w:spacing w:after="0"/>
        <w:tabs>
          <w:tab w:leader="none" w:pos="1880" w:val="left"/>
        </w:tabs>
        <w:rPr>
          <w:sz w:val="20"/>
          <w:szCs w:val="20"/>
          <w:color w:val="auto"/>
        </w:rPr>
      </w:pPr>
      <w:r>
        <w:rPr>
          <w:rFonts w:ascii="Arial" w:cs="Arial" w:eastAsia="Arial" w:hAnsi="Arial"/>
          <w:sz w:val="16"/>
          <w:szCs w:val="16"/>
          <w:color w:val="auto"/>
        </w:rPr>
        <w:t>(13) Consists of (i)</w:t>
      </w:r>
      <w:r>
        <w:rPr>
          <w:sz w:val="20"/>
          <w:szCs w:val="20"/>
          <w:color w:val="auto"/>
        </w:rPr>
        <w:tab/>
      </w:r>
      <w:r>
        <w:rPr>
          <w:rFonts w:ascii="Arial" w:cs="Arial" w:eastAsia="Arial" w:hAnsi="Arial"/>
          <w:sz w:val="16"/>
          <w:szCs w:val="16"/>
          <w:color w:val="auto"/>
        </w:rPr>
        <w:t>shares of Class A common stock held by Zeev Opportunity Fund I, LP, or Zeev I, (ii)</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held</w:t>
      </w:r>
    </w:p>
    <w:p>
      <w:pPr>
        <w:spacing w:after="0" w:line="30" w:lineRule="exact"/>
        <w:rPr>
          <w:sz w:val="20"/>
          <w:szCs w:val="20"/>
          <w:color w:val="auto"/>
        </w:rPr>
      </w:pPr>
    </w:p>
    <w:p>
      <w:pPr>
        <w:sectPr>
          <w:pgSz w:w="11900" w:h="16838" w:orient="portrait"/>
          <w:cols w:equalWidth="0" w:num="2">
            <w:col w:w="7880" w:space="580"/>
            <w:col w:w="2760"/>
          </w:cols>
          <w:pgMar w:left="320" w:top="229" w:right="359" w:bottom="1440" w:gutter="0" w:footer="0" w:header="0"/>
          <w:type w:val="continuous"/>
        </w:sectPr>
      </w:pPr>
    </w:p>
    <w:p>
      <w:pPr>
        <w:ind w:left="340"/>
        <w:spacing w:after="0"/>
        <w:tabs>
          <w:tab w:leader="none" w:pos="3640" w:val="left"/>
          <w:tab w:leader="none" w:pos="10060" w:val="left"/>
        </w:tabs>
        <w:rPr>
          <w:sz w:val="20"/>
          <w:szCs w:val="20"/>
          <w:color w:val="auto"/>
        </w:rPr>
      </w:pPr>
      <w:r>
        <w:rPr>
          <w:rFonts w:ascii="Arial" w:cs="Arial" w:eastAsia="Arial" w:hAnsi="Arial"/>
          <w:sz w:val="16"/>
          <w:szCs w:val="16"/>
          <w:color w:val="auto"/>
        </w:rPr>
        <w:t>by Zeev Ventures II, LP, or Zeev II, (iii)</w:t>
      </w:r>
      <w:r>
        <w:rPr>
          <w:sz w:val="20"/>
          <w:szCs w:val="20"/>
          <w:color w:val="auto"/>
        </w:rPr>
        <w:tab/>
      </w:r>
      <w:r>
        <w:rPr>
          <w:rFonts w:ascii="Arial" w:cs="Arial" w:eastAsia="Arial" w:hAnsi="Arial"/>
          <w:sz w:val="16"/>
          <w:szCs w:val="16"/>
          <w:color w:val="auto"/>
        </w:rPr>
        <w:t>shares of Class A common stock held by Zeev Ventures II-A, LP, or Zeev II-A, (iv)</w:t>
      </w:r>
      <w:r>
        <w:rPr>
          <w:sz w:val="20"/>
          <w:szCs w:val="20"/>
          <w:color w:val="auto"/>
        </w:rPr>
        <w:tab/>
      </w:r>
      <w:r>
        <w:rPr>
          <w:rFonts w:ascii="Arial" w:cs="Arial" w:eastAsia="Arial" w:hAnsi="Arial"/>
          <w:sz w:val="16"/>
          <w:szCs w:val="16"/>
          <w:color w:val="auto"/>
        </w:rPr>
        <w:t>shares of Class</w:t>
      </w:r>
    </w:p>
    <w:p>
      <w:pPr>
        <w:spacing w:after="0" w:line="9" w:lineRule="exact"/>
        <w:rPr>
          <w:sz w:val="20"/>
          <w:szCs w:val="20"/>
          <w:color w:val="auto"/>
        </w:rPr>
      </w:pPr>
    </w:p>
    <w:p>
      <w:pPr>
        <w:ind w:left="340"/>
        <w:spacing w:after="0"/>
        <w:tabs>
          <w:tab w:leader="none" w:pos="5300" w:val="left"/>
        </w:tabs>
        <w:rPr>
          <w:sz w:val="20"/>
          <w:szCs w:val="20"/>
          <w:color w:val="auto"/>
        </w:rPr>
      </w:pPr>
      <w:r>
        <w:rPr>
          <w:rFonts w:ascii="Arial" w:cs="Arial" w:eastAsia="Arial" w:hAnsi="Arial"/>
          <w:sz w:val="16"/>
          <w:szCs w:val="16"/>
          <w:color w:val="auto"/>
        </w:rPr>
        <w:t>A common stock held by Zeev Ventures III, LP, or Zeev III, (v)</w:t>
      </w:r>
      <w:r>
        <w:rPr>
          <w:sz w:val="20"/>
          <w:szCs w:val="20"/>
          <w:color w:val="auto"/>
        </w:rPr>
        <w:tab/>
      </w:r>
      <w:r>
        <w:rPr>
          <w:rFonts w:ascii="Arial" w:cs="Arial" w:eastAsia="Arial" w:hAnsi="Arial"/>
          <w:sz w:val="16"/>
          <w:szCs w:val="16"/>
          <w:color w:val="auto"/>
        </w:rPr>
        <w:t>shares of Class A common stock held by Zeev Ventures IV, LP, or Zeev IV,</w:t>
      </w:r>
    </w:p>
    <w:p>
      <w:pPr>
        <w:spacing w:after="0" w:line="5" w:lineRule="exact"/>
        <w:rPr>
          <w:sz w:val="20"/>
          <w:szCs w:val="20"/>
          <w:color w:val="auto"/>
        </w:rPr>
      </w:pPr>
    </w:p>
    <w:p>
      <w:pPr>
        <w:ind w:left="340"/>
        <w:spacing w:after="0"/>
        <w:tabs>
          <w:tab w:leader="none" w:pos="1120" w:val="left"/>
          <w:tab w:leader="none" w:pos="7260" w:val="left"/>
        </w:tabs>
        <w:rPr>
          <w:sz w:val="20"/>
          <w:szCs w:val="20"/>
          <w:color w:val="auto"/>
        </w:rPr>
      </w:pPr>
      <w:r>
        <w:rPr>
          <w:rFonts w:ascii="Arial" w:cs="Arial" w:eastAsia="Arial" w:hAnsi="Arial"/>
          <w:sz w:val="16"/>
          <w:szCs w:val="16"/>
          <w:color w:val="auto"/>
        </w:rPr>
        <w:t>(vi)</w:t>
      </w:r>
      <w:r>
        <w:rPr>
          <w:sz w:val="20"/>
          <w:szCs w:val="20"/>
          <w:color w:val="auto"/>
        </w:rPr>
        <w:tab/>
      </w:r>
      <w:r>
        <w:rPr>
          <w:rFonts w:ascii="Arial" w:cs="Arial" w:eastAsia="Arial" w:hAnsi="Arial"/>
          <w:sz w:val="16"/>
          <w:szCs w:val="16"/>
          <w:color w:val="auto"/>
        </w:rPr>
        <w:t>shares of Class A common stock held by Zeev Ventures V, LP, or Zeev V, (vii)</w:t>
      </w:r>
      <w:r>
        <w:rPr>
          <w:sz w:val="20"/>
          <w:szCs w:val="20"/>
          <w:color w:val="auto"/>
        </w:rPr>
        <w:tab/>
      </w:r>
      <w:r>
        <w:rPr>
          <w:rFonts w:ascii="Arial" w:cs="Arial" w:eastAsia="Arial" w:hAnsi="Arial"/>
          <w:sz w:val="16"/>
          <w:szCs w:val="16"/>
          <w:color w:val="auto"/>
        </w:rPr>
        <w:t>shares of Class A common stock directly held by Zeev</w:t>
      </w:r>
    </w:p>
    <w:p>
      <w:pPr>
        <w:spacing w:after="0" w:line="15" w:lineRule="exact"/>
        <w:rPr>
          <w:sz w:val="20"/>
          <w:szCs w:val="20"/>
          <w:color w:val="auto"/>
        </w:rPr>
      </w:pPr>
    </w:p>
    <w:p>
      <w:pPr>
        <w:ind w:left="340"/>
        <w:spacing w:after="0"/>
        <w:tabs>
          <w:tab w:leader="none" w:pos="3220" w:val="left"/>
          <w:tab w:leader="none" w:pos="10400" w:val="left"/>
        </w:tabs>
        <w:rPr>
          <w:sz w:val="20"/>
          <w:szCs w:val="20"/>
          <w:color w:val="auto"/>
        </w:rPr>
      </w:pPr>
      <w:r>
        <w:rPr>
          <w:rFonts w:ascii="Arial" w:cs="Arial" w:eastAsia="Arial" w:hAnsi="Arial"/>
          <w:sz w:val="16"/>
          <w:szCs w:val="16"/>
          <w:color w:val="auto"/>
        </w:rPr>
        <w:t>Ventures VI, LP, or Zeev VI, (viii)</w:t>
      </w:r>
      <w:r>
        <w:rPr>
          <w:sz w:val="20"/>
          <w:szCs w:val="20"/>
          <w:color w:val="auto"/>
        </w:rPr>
        <w:tab/>
      </w:r>
      <w:r>
        <w:rPr>
          <w:rFonts w:ascii="Arial" w:cs="Arial" w:eastAsia="Arial" w:hAnsi="Arial"/>
          <w:sz w:val="16"/>
          <w:szCs w:val="16"/>
          <w:color w:val="auto"/>
        </w:rPr>
        <w:t>shares of Class A common stock directly held by Zeev Ventures VII, LP, or Zeev VII, and (ix)</w:t>
      </w:r>
      <w:r>
        <w:rPr>
          <w:sz w:val="20"/>
          <w:szCs w:val="20"/>
          <w:color w:val="auto"/>
        </w:rPr>
        <w:tab/>
      </w:r>
      <w:r>
        <w:rPr>
          <w:rFonts w:ascii="Arial" w:cs="Arial" w:eastAsia="Arial" w:hAnsi="Arial"/>
          <w:sz w:val="16"/>
          <w:szCs w:val="16"/>
          <w:color w:val="auto"/>
        </w:rPr>
        <w:t>shares</w:t>
      </w:r>
    </w:p>
    <w:p>
      <w:pPr>
        <w:sectPr>
          <w:pgSz w:w="11900" w:h="16838" w:orient="portrait"/>
          <w:cols w:equalWidth="0" w:num="1">
            <w:col w:w="11220"/>
          </w:cols>
          <w:pgMar w:left="320" w:top="229" w:right="359" w:bottom="1440" w:gutter="0" w:footer="0" w:header="0"/>
          <w:type w:val="continuous"/>
        </w:sectPr>
      </w:pPr>
    </w:p>
    <w:p>
      <w:pPr>
        <w:spacing w:after="0" w:line="19" w:lineRule="exact"/>
        <w:rPr>
          <w:sz w:val="20"/>
          <w:szCs w:val="20"/>
          <w:color w:val="auto"/>
        </w:rPr>
      </w:pPr>
    </w:p>
    <w:p>
      <w:pPr>
        <w:ind w:left="340" w:right="100"/>
        <w:spacing w:after="0" w:line="252" w:lineRule="auto"/>
        <w:rPr>
          <w:sz w:val="20"/>
          <w:szCs w:val="20"/>
          <w:color w:val="auto"/>
        </w:rPr>
      </w:pPr>
      <w:r>
        <w:rPr>
          <w:rFonts w:ascii="Arial" w:cs="Arial" w:eastAsia="Arial" w:hAnsi="Arial"/>
          <w:sz w:val="16"/>
          <w:szCs w:val="16"/>
          <w:color w:val="auto"/>
        </w:rPr>
        <w:t>of Class A common stock directly held by Zeev Ventures VIII, LP., or Zeev VIII. Zeev Opportunity Management I, LLC, or Zeev I GP, is the general partner of Zeev I. Zeev Ventures Management II, L.L.C., or Zeev II GP, is the general partner of Zeev II and Zeev II-A. Zeev Ventures Management III, L.L.C., or Zeev III GP, is the general partner of Zeev III. Zeev Ventures Management IV, L.L.C., or Zeev IV GP, is the general partner of Zeev IV. Zeev Ventures Management V, L.L.C., or Zeev V GP, is the general partner of Zeev V. Zeev Ventures Management VI, L.L.C., or Zeev VI GP, is the general partner of Zeev VI. Zeev Ventures Management VII, L.L.C., or Zeev VII GP, is the general partner of Zeev VII. Zeev Ventures Management VIII, L.L.C., or Zeev VIII GP, is the general partner of Zeev VIII. Oren Zeev, a member of our board of directors, is the managing director of each of Zeev I GP, Zeev</w:t>
      </w:r>
    </w:p>
    <w:p>
      <w:pPr>
        <w:spacing w:after="0" w:line="2" w:lineRule="exact"/>
        <w:rPr>
          <w:sz w:val="20"/>
          <w:szCs w:val="20"/>
          <w:color w:val="auto"/>
        </w:rPr>
      </w:pPr>
    </w:p>
    <w:p>
      <w:pPr>
        <w:jc w:val="both"/>
        <w:ind w:left="340" w:hanging="8"/>
        <w:spacing w:after="0" w:line="258" w:lineRule="auto"/>
        <w:tabs>
          <w:tab w:leader="none" w:pos="47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GP, Zeev III GP, Zeev IV GP, Zeev V GP, Zeev VI GP, Zeev VII GP, and Zeev VIII GP, or collectively, the Zeev GP Entities, and, as such, Mr. Zeev may be deemed to share voting and investment power with regard to the securities held by the Zeev GP Entities. The address of each of the aforementioned entities is 555 Bryant Street, Suite 811, Palo Alto, CA 94301.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229" w:right="35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173" w:lineRule="exact"/>
        <w:rPr>
          <w:sz w:val="20"/>
          <w:szCs w:val="20"/>
          <w:color w:val="auto"/>
        </w:rPr>
      </w:pPr>
    </w:p>
    <w:p>
      <w:pPr>
        <w:ind w:right="220" w:firstLine="324"/>
        <w:spacing w:after="0" w:line="267" w:lineRule="auto"/>
        <w:rPr>
          <w:sz w:val="20"/>
          <w:szCs w:val="20"/>
          <w:color w:val="auto"/>
        </w:rPr>
      </w:pPr>
      <w:r>
        <w:rPr>
          <w:rFonts w:ascii="Arial" w:cs="Arial" w:eastAsia="Arial" w:hAnsi="Arial"/>
          <w:sz w:val="18"/>
          <w:szCs w:val="18"/>
          <w:i w:val="1"/>
          <w:iCs w:val="1"/>
          <w:color w:val="auto"/>
        </w:rPr>
        <w:t>The following description is a summary of the material terms of our material indebtedness. We refer you to the credit agreements, security documents and other loan documents governing our material indebtedness, copies of which are filed as exhibits to the registration statement of which this prospectus forms a part.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March 14, 2025, we, Reed &amp; Mackay Travel Inc. and Reed &amp; Mackay Travel Limited, as co-borrowers, entered into a credit agreement, or the ABL Facility Agreement, with Citibank, N.A., as administrative agent and collateral agent, the guarantors party thereto, and the lenders and issuing banks party thereto, which provides for a maximum aggregate revolving credit commitment of $100 million, which, together with the ABL Facility Agreement, we refer to as the ABL Facility. Commitments pursuant to the ABL Facility may be increased by an additional $75 million, pursuant to the exercise of uncommitted incremental provisions through which existing and new lenders may, at their option, agree to provide additional financing. The proceeds of the ABL Facility may be used for working capital and general corporate purposes (including the financing of acquisitions and investments). The ABL Facility includes a $10.0 million letter of credit sub-facility.</w:t>
      </w:r>
    </w:p>
    <w:p>
      <w:pPr>
        <w:spacing w:after="0" w:line="129" w:lineRule="exact"/>
        <w:rPr>
          <w:sz w:val="20"/>
          <w:szCs w:val="20"/>
          <w:color w:val="auto"/>
        </w:rPr>
      </w:pPr>
    </w:p>
    <w:p>
      <w:pPr>
        <w:ind w:left="340"/>
        <w:spacing w:after="0"/>
        <w:tabs>
          <w:tab w:leader="none" w:pos="1220" w:val="left"/>
          <w:tab w:leader="none" w:pos="734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2025, the aggregate amount outstanding under the ABL Facility was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terms of the ABL Facility Agreement are described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6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Amounts borrowed under the ABL Facility are subject to an interest rate per annum equal to, at our option, either (i) for base rate loans, an applicable margin of 1.50% plus a base rate (subject to a 1.00% floor) by reference to the highest of (A) the prime rate, (B) the federal funds effective rate plus 0.50%, and (C) the one month term Secured Overnight Financing Rate, or SOFR, plus 1.00% plus a 0.10% SOFR adjustment or (ii) for term benchmark loans, an applicable margin of 2.50% plus the term SOFR (subject to a 0.00% floor) for a one, three or six month interest period.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unused portion of the ABL Facility accrues unused commitment fees at a rate per annum equal to 0.25%.</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Voluntary Repayments</w:t>
      </w:r>
    </w:p>
    <w:p>
      <w:pPr>
        <w:spacing w:after="0" w:line="169"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color w:val="auto"/>
        </w:rPr>
        <w:t>We may voluntarily prepay outstanding loans under the ABL Facility at any time without premium or penalty, other than customary “breakage” costs.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Maturity Date</w:t>
      </w:r>
    </w:p>
    <w:p>
      <w:pPr>
        <w:spacing w:after="0" w:line="169"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The ABL Facility has a springing maturity concept, whereby indebtedness thereunder is due on the earlier of March 14, 2028 or the occurrence of certain conversion or maturity dates of our other outstanding debt instruments.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6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obligations under the ABL Facility are required to be unconditionally guaranteed by our subsidiaries subject to certain exceptions for materiality, domicile and nature of subsidiary. Subsidiary guarantors of the ABL Facility generally include our direct and indirect wholly owned domestic subsidiaries and certain subsidiaries formed in the United Kingdom.</w:t>
      </w:r>
    </w:p>
    <w:p>
      <w:pPr>
        <w:sectPr>
          <w:pgSz w:w="11900" w:h="16838" w:orient="portrait"/>
          <w:cols w:equalWidth="0" w:num="1">
            <w:col w:w="11220"/>
          </w:cols>
          <w:pgMar w:left="320" w:top="229" w:right="359" w:bottom="1440" w:gutter="0" w:footer="0" w:header="0"/>
        </w:sectPr>
      </w:pP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 2025, Reed &amp; Mackay Holdings Limited and Navan Labs UK Limited were the only subsidiary guarantors of the ABL</w:t>
      </w:r>
    </w:p>
    <w:p>
      <w:pPr>
        <w:spacing w:after="0" w:line="445" w:lineRule="exact"/>
        <w:rPr>
          <w:sz w:val="20"/>
          <w:szCs w:val="20"/>
          <w:color w:val="auto"/>
        </w:rPr>
      </w:pPr>
    </w:p>
    <w:p>
      <w:pPr>
        <w:sectPr>
          <w:pgSz w:w="11900" w:h="16838" w:orient="portrait"/>
          <w:cols w:equalWidth="0" w:num="2">
            <w:col w:w="1180" w:space="720"/>
            <w:col w:w="9320"/>
          </w:cols>
          <w:pgMar w:left="320" w:top="22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220"/>
          </w:cols>
          <w:pgMar w:left="320" w:top="229" w:right="359" w:bottom="1440" w:gutter="0" w:footer="0" w:header="0"/>
          <w:type w:val="continuous"/>
        </w:sectPr>
      </w:pPr>
    </w:p>
    <w:bookmarkStart w:id="186" w:name="page187"/>
    <w:bookmarkEnd w:id="1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obligations under the ABL Facility are secured by a first-priority lien on the Company’s and the guarantors’ ABL priority collateral (generally, working capital assets such as accounts receivable and inventory), and a second-priority lien on the remaining collateral, in each case subject to the terms of an intercreditor agreement between the ABL Facility agent and the Vista Facility agent.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required to comply with certain financial covenants under our ABL Facility, which are described below.</w:t>
      </w:r>
    </w:p>
    <w:p>
      <w:pPr>
        <w:spacing w:after="0" w:line="17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i w:val="1"/>
          <w:iCs w:val="1"/>
          <w:color w:val="auto"/>
        </w:rPr>
        <w:t>Minimum Liquidity</w:t>
      </w:r>
      <w:r>
        <w:rPr>
          <w:rFonts w:ascii="Arial" w:cs="Arial" w:eastAsia="Arial" w:hAnsi="Arial"/>
          <w:sz w:val="18"/>
          <w:szCs w:val="18"/>
          <w:color w:val="auto"/>
        </w:rPr>
        <w:t>. Until the Covenant Transition Date (as defined below), we are required to maintain compliance with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covenant in an amount equal to the sum of the Excess Cash Burn (as defined below) of the loan parties and their subsidiaries for the preceding four quarter period, measured quarterly as of the last day of each fiscal quarter for which financial statements have been required to be delivered pursuant to the ABL Facility Agreement.</w:t>
      </w:r>
    </w:p>
    <w:p>
      <w:pPr>
        <w:spacing w:after="0" w:line="12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“Covenant Transition Date” means the last day of the fiscal quarter for which we have delivered a compliance certificate pursuant to the ABL Facility Agreement demonstrating that for such period and the immediately prior consecutive fiscal quarter, we have achieved a consolidated fixed charge coverage ratio of at least 1:00 to 1:00.</w:t>
      </w:r>
    </w:p>
    <w:p>
      <w:pPr>
        <w:spacing w:after="0" w:line="11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“Excess Cash Burn” means for any period, on a consolidated basis in accordance with GAAP, the sum of (a) EBITDA for such period, minus (b) all unfinanced capital expenditures paid or payable (including capitalized software expenses), minus (c) all scheduled principal payments on long-term indebtedness (including payments in respect of capital leases) paid or payable, minus (d) all cash interest expense and all fees for the use of money or the availability of money, including commitment, facility and like fees and charges upon indebtedness (including indebtedness under the ABL Facility) paid or payable, without duplication, during such period, minus (e) all cash tax expense paid or payable, without duplication, during such period, minus (f) all dividends, redemptions, repurchases or other distributions paid or payable, without duplication, in cash during such period.</w:t>
      </w:r>
    </w:p>
    <w:p>
      <w:pPr>
        <w:spacing w:after="0" w:line="12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i w:val="1"/>
          <w:iCs w:val="1"/>
          <w:color w:val="auto"/>
        </w:rPr>
        <w:t xml:space="preserve">Consolidated Fixed Charge Coverage Ratio. </w:t>
      </w:r>
      <w:r>
        <w:rPr>
          <w:rFonts w:ascii="Arial" w:cs="Arial" w:eastAsia="Arial" w:hAnsi="Arial"/>
          <w:sz w:val="18"/>
          <w:szCs w:val="18"/>
          <w:color w:val="auto"/>
        </w:rPr>
        <w:t>At any time that a Covenant Trigger Event (as defined below) has occurred until cured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the terms of the ABL Facility Agreement, we are required to maintain a consolidated fixed charge coverage ratio, calculated as of the last day of the four fiscal quarter period ending on the last day of each fiscal quarter most recently ended prior to the occurrence of such Covenant Trigger Event, of at least 1:00 to 1:00.</w:t>
      </w:r>
    </w:p>
    <w:p>
      <w:pPr>
        <w:spacing w:after="0" w:line="12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“Covenant Trigger Event” means the occurrence at any time of the failure to have excess availability in an amount of at least the greater of (i) $5,000,000 and (ii) 10% of the line cap (defined as the lesser of the aggregate commitments and available borrowing base).</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Other Covenants and Events of Default</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ABL Facility includes customary covenants and events of default for agreements of this type, including various reporting, affirmative and negative covenants. With respect to negative covenants, the ABL Facility contains a number of other covenants that, among other things and subject to certain exceptions, restrict our ability to incur additional indebtedness (including capital leases), create liens, consolidate, merge, or undertake other corporate reorganizations, dispose of assets (including the equity interests of subsidiaries), make certain restricted payments, engage in transactions with affiliates, make loans, acquisitions and other investments, and enter into certain burdensome agreements.</w:t>
      </w:r>
    </w:p>
    <w:p>
      <w:pPr>
        <w:spacing w:after="0" w:line="128"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The ABL Facility contains customary events of default, including payment defaults, failure to perform or observe covenants, cross-defaults with certain other indebtedness, a change of control, and certain bankruptcy events,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229" w:right="3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 Facility</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February 24, 2025, Navan, as borrower, entered into a credit agreement, or the Term Loan Credit Agreement, with VCP Capital Markets, LLC, as administrative agent and collateral agent, the guarantors party thereto, and the lenders party thereto, providing for a $130.0 million term loan facility, which, together with the Term Loan Credit Agreement, we refer to as the Vista Facility. On February 24, 2025, we borrowed the full $130.0 million of loans available under the Vista Facility. The proceeds of the Vista Facility may be used for working capital and general corporate purposes (including the financing of acquisitions and investments).</w:t>
      </w:r>
    </w:p>
    <w:p>
      <w:pPr>
        <w:spacing w:after="0" w:line="125" w:lineRule="exact"/>
        <w:rPr>
          <w:sz w:val="20"/>
          <w:szCs w:val="20"/>
          <w:color w:val="auto"/>
        </w:rPr>
      </w:pPr>
    </w:p>
    <w:p>
      <w:pPr>
        <w:ind w:left="340"/>
        <w:spacing w:after="0"/>
        <w:tabs>
          <w:tab w:leader="none" w:pos="1780" w:val="left"/>
          <w:tab w:leader="none" w:pos="36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2025, we had $</w:t>
      </w:r>
      <w:r>
        <w:rPr>
          <w:sz w:val="20"/>
          <w:szCs w:val="20"/>
          <w:color w:val="auto"/>
        </w:rPr>
        <w:tab/>
      </w:r>
      <w:r>
        <w:rPr>
          <w:rFonts w:ascii="Arial" w:cs="Arial" w:eastAsia="Arial" w:hAnsi="Arial"/>
          <w:sz w:val="17"/>
          <w:szCs w:val="17"/>
          <w:color w:val="auto"/>
        </w:rPr>
        <w:t>outstanding under the Vista Facility.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6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Amounts borrowed under the Vista Facility bear interest at a variable interest rate based on either the Alternate Base Rate, with a 2.00% Alternate Base Rate floor, or SOFR (based on a 3-month interest period), with a 1.00% SOFR floor, in each case, plus an applicable rate. The applicable rate is, at our option, (i) in the case of SOFR Loans, (A) if we have elected to cash pay the interest, 6.50% per annum in cash or (B) if we have elected to pay the interest partially in cash and partially PIK, 6.50% per annum (of which 5.00% shall be paid in cash and</w:t>
      </w:r>
    </w:p>
    <w:p>
      <w:pPr>
        <w:spacing w:after="0" w:line="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1.50% PIK) and (ii) in the case of Alternate Base Rate Loans, (A) if we have elected to cash pay the interest, 5.50% per annum or (B) if we have elected to pay the interest partially in cash and partially PIK, 5.50% (of which 4.00% shall be paid in cash and 1.50% PIK).</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Repayments</w:t>
      </w:r>
    </w:p>
    <w:p>
      <w:pPr>
        <w:spacing w:after="0" w:line="16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Vista Facility is required to be prepaid upon the occurrence of an event of default, or with the proceeds of certain asset dispositions, insurance recovery events or incurrences of indebtedness. Any prepayments upon an event of default or the incurrence of certain indebtedness are subject to a prepayment premium of (x) 3.00% of the principal amount prepaid, if prepayment is prior to the first anniversary of the Term Loan Credit Agreement closing date or (y) 1.50% of the principal amount prepaid, if the prepayment is on or after the first anniversary but prior to the second anniversary of the Term Loan Credit Agreement closing date. We may also voluntarily prepay outstanding loans under the Vista Facility at any time subject to payment of a prepayment premium and other customary “breakage”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Maturity Date</w:t>
      </w:r>
    </w:p>
    <w:p>
      <w:pPr>
        <w:spacing w:after="0" w:line="169"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The Vista Facility has a springing maturity concept, whereby indebtedness thereunder is due on the earlier of February 24, 2030 or the occurrence of certain conversion or maturity dates of our other outstanding debt instruments.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6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Under the terms of the Vista Facility we are required to maintain liquidity, as of the last business day of each calendar month, of not less than $50.0 million.</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6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obligations under the Vista Facility are required to be unconditionally guaranteed by our subsidiaries subject to certain exceptions for materiality, domicile and nature of subsidiary. Subsidiary guarantors of the Vista Facility generally include our direct and indirect wholly owned domestic subsidiaries and certain subsidiaries formed in the United Kingdom.</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As of February 24, 2025, Reed &amp; Mackay Travel Limited, Reed &amp; Mackay Travel Inc., Reed &amp; Mackay Holdings Limited, and Navan Labs UK Limited were the only subsidiary guarantors of the Vista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229" w:right="3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obligations under the Vista Facility are secured, on a second-priority basis, by a lien on substantially all of the Company’s and the guarantors’ assets that constitute ABL priority collateral (generally, working capital assets such as accounts receivable and inventory), and on a first-priority basis by a lien on all other assets, including but not limited to equipment, intellectual property, equity interests in subsidiaries, deposit accounts, and certain other personal property, in each case subject to customary exceptions and permitted liens.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Other Covenants and Events of Default</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Vista Facility includes customary covenants and events of default for agreements of this type, including various reporting, affirmative and negative covenants. With respect to negative covenants, the Vista Facility contains a number of other covenants that, among other things and subject to certain exceptions, restrict our ability to incur additional indebtedness (including capital leases), create liens, consolidate, merge, or undertake other corporate reorganizations, dispose of assets (including the equity interests of subsidiaries), make certain restricted payments, engage in transactions with affiliates, make loans, acquisitions and other investments, and enter into certain burdensome agreements.</w:t>
      </w:r>
    </w:p>
    <w:p>
      <w:pPr>
        <w:spacing w:after="0" w:line="128"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The Vista Facility contains customary events of default, including payment defaults, failure to perform or observe covenants, cross-defaults with certain other indebtedness, a change of control, and certain bankruptcy events, among others.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Credit Facility</w:t>
      </w:r>
    </w:p>
    <w:p>
      <w:pPr>
        <w:spacing w:after="0" w:line="17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On November 18, 2022, Liquid Labs SPV, LLC, or Liquid Labs, a wholly owned subsidiary of Navan, entered into a credit agreement, or the Warehouse Facility Agreement, with Goldman Sachs Bank USA, as administrative agent and the lenders party thereto, which, together with the Warehouse Facility Agreement, we refer to as the Warehouse Credit Facility. On February 17, 2023, the Warehouse Facility Agreement was amended to reflect our name change from “TripActions, Inc.” to “Navan, Inc.”, among other revisions reflected therein. On July 28, 2023, the Warehouse Facility Agreement was further amended to increase the total committed amount under the facility to $300.0 million, among other revisions reflected therein. On October 12, 2023, the Warehouse Facility Agreement was further amended to revise the definition of “Unrestricted Cash,” among other revisions reflected therein. On March 11, 2024, the Warehouse Facility Agreement was further amended to make certain receivables denominated in Euros and British Pounds eligible for financing thereunder, among other revisions reflected therein. On April 19, 2024, the Warehouse Facility Agreement was further amended to revise performance covenants, among other revisions reflected therein. On August 2, 2024, the Warehouse Facility Agreement was further amended to extend the maturity date to February 18, 2026, among other revisions reflected therein. On November 15, 2024, the Warehouse Facility Agreement was further amended to revise the definition of “Excess Concentration Amount” and “Eligible Card Account,” among other revisions reflected therein. On February 24, 2025, the Warehouse Facility Agreement was further amended to revise performance covenants, among other revisions reflected therein. On March 6, 2025, the Warehouse Facility Agreement was further amended to include a guaranty by Navan in favor of the administrative agent, among other revisions reflected therein. On April 16, 2025, the Warehouse Facility Agreement was further amended to extend the maturity date to February 18, 2028, among other revisions reflected therein. The proceeds of our Warehouse Credit Facility may be used to fund or pay the purchase price of eligible receivables acquired by Liquid Labs pursuant to a receivables purchase agreement and for general working capital and corporate purposes permitted under the facility’s documentation.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terms of our Warehouse Credit Facility are described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69"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Amounts borrowed under our Warehouse Credit Facility are subject to an interest rate per annum equal to, for the (i) Class A interest rate, the sum of one-month adjusted Term SOFR (with a floor of 0.25%) plus 3.15% of the Class A loan principal balance that is less than or equal to $100,000,000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229" w:right="3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3.00% of the Class A loan principal balance that is greater than $100,000,000, and (ii) Class B interest rate, the sum of one-month Term SOFR (with a floor of 0.25%) plus 9.00%.</w:t>
      </w:r>
    </w:p>
    <w:p>
      <w:pPr>
        <w:spacing w:after="0" w:line="99"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additional 1.00% is added on to both the Class A and Class B rates on or after November 18, 2024.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additional 2.00% is added on to both the Class A and Class B rates upon an early amortization event or an event of default.</w:t>
      </w:r>
    </w:p>
    <w:p>
      <w:pPr>
        <w:spacing w:after="0" w:line="17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Class A fees include an upfront fee of 1.10% on the Class A committed amount, a Class B placement fee payable to administrative agent on 0.50% of the Class B committed amount on the closing date, draw fees equal to 0.50% of the Class A incremental drawn amount and in the case of prepayment, a Class A exit fee of 0.25% on the outstanding principal amount of the Class A advances and an undrawn fee of 0.50%.</w:t>
      </w:r>
    </w:p>
    <w:p>
      <w:pPr>
        <w:spacing w:after="0" w:line="122"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Class B fees include an upfront fee of 1.10% on the Class B committed amount, draw fees equal to 0.75% of the Class B incremental drawn amount, and an undrawn fee of 0.50%.</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Voluntary Repayments</w:t>
      </w:r>
    </w:p>
    <w:p>
      <w:pPr>
        <w:spacing w:after="0" w:line="169"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We may voluntarily prepay outstanding advances under our Warehouse Credit Facility at any time without premium or penalty, other than customary “breakage” costs.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Maturity Date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maturity date of our Warehouse Credit Facility is February 18, 2028.</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Navan unconditionally and irrevocably guarantees to the secured parties under our Warehouse Credit Facility the complete payment and performance of losses incurred by such secured party as a result of certain intentional “bad acts,” which include (among other acts): fraud, malfeasance, intentional material misrepresentation, misappropriation of funds, noncompliance with applicable law or willful misconduct by SPV Borrower or Navan, breaches of reps and warranties that have a material adverse effect on the collectability of receivables taken as a whole, any incurrence of other indebtedness by SPV Borrower, filing of petitions for bankruptcy, regulatory events and certain other bad acts which are customary for a transaction of this nature.</w:t>
      </w:r>
    </w:p>
    <w:p>
      <w:pPr>
        <w:spacing w:after="0" w:line="128"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All obligations under our Warehouse Credit Facility are secured, subject to certain exceptions, by substantially all of SPV Borrower’s assets and Navan’s equity interests in Liquid Labs.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69"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We are required to comply with certain financial covenants under our Warehouse Credit Facility which include the below. This offering constitutes a qualifying public offering as described below.</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Tangible Net Worth. </w:t>
      </w:r>
      <w:r>
        <w:rPr>
          <w:rFonts w:ascii="Arial" w:cs="Arial" w:eastAsia="Arial" w:hAnsi="Arial"/>
          <w:sz w:val="18"/>
          <w:szCs w:val="18"/>
          <w:color w:val="auto"/>
        </w:rPr>
        <w:t>Prior to any qualifying public offering, as of the last day of any calendar month, or from and after any qualifying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as of the last day of any fiscal quarter, the tangible net worth of Navan shall be less than the greater of (i) the sum of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$100,000,000 and (B) twenty percent (20.00%) of the net cash proceeds received by Navan in all issuances of equity interests occurring after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2025 and (ii) any minimum net worth or similar covenant set forth in any comparable transaction;</w:t>
      </w:r>
    </w:p>
    <w:p>
      <w:pPr>
        <w:spacing w:after="0" w:line="153"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i w:val="1"/>
          <w:iCs w:val="1"/>
          <w:color w:val="auto"/>
        </w:rPr>
        <w:t xml:space="preserve">Leverage Ratio. </w:t>
      </w:r>
      <w:r>
        <w:rPr>
          <w:rFonts w:ascii="Arial" w:cs="Arial" w:eastAsia="Arial" w:hAnsi="Arial"/>
          <w:sz w:val="18"/>
          <w:szCs w:val="18"/>
          <w:color w:val="auto"/>
        </w:rPr>
        <w:t>Prior to any qualifying public offering, as of the last day of any calendar month, or from and after any qualifying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as of the last day of any fiscal quarter, the leverage ratio of Navan shall be greater than the lesser of (i) 3.75:1.0 and (ii) the maximum ratio for any leverage ratio or similar covenant set forth in any comparable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229"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i w:val="1"/>
          <w:iCs w:val="1"/>
          <w:color w:val="auto"/>
        </w:rPr>
        <w:t xml:space="preserve">Corporate Leverage Ratio. </w:t>
      </w:r>
      <w:r>
        <w:rPr>
          <w:rFonts w:ascii="Arial" w:cs="Arial" w:eastAsia="Arial" w:hAnsi="Arial"/>
          <w:sz w:val="18"/>
          <w:szCs w:val="18"/>
          <w:color w:val="auto"/>
        </w:rPr>
        <w:t>Prior to any qualifying public offering, as of the last day of any calendar month, or from and after any</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public offering, as of the last day of any fiscal quarter, the corporate leverage ratio of Navan shall be greater than the lesser of (i) 2.0:1.0 and (ii) the maximum ratio for any corporate leverage ratio or similar covenant set forth in any comparable transaction; or</w:t>
      </w:r>
    </w:p>
    <w:p>
      <w:pPr>
        <w:spacing w:after="0" w:line="117"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i w:val="1"/>
          <w:iCs w:val="1"/>
          <w:color w:val="auto"/>
        </w:rPr>
        <w:t xml:space="preserve">Unrestricted Cash. </w:t>
      </w:r>
      <w:r>
        <w:rPr>
          <w:rFonts w:ascii="Arial" w:cs="Arial" w:eastAsia="Arial" w:hAnsi="Arial"/>
          <w:sz w:val="18"/>
          <w:szCs w:val="18"/>
          <w:color w:val="auto"/>
        </w:rPr>
        <w:t>As of any day, the unrestricted cash of Navan shall be less than the greater of (i) $ 100,000,000, (ii) Navan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burn during the most recently ended period of three calendar months and (iii) the dollar minimum for any minimum liquidity or unrestricted cash or similar covenant set forth in any comparable transaction.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Other Covenants and Events of Default</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Our Warehouse Credit Facility contains a number of other covenants that, among other things and subject to certain exceptions, restrict the ability of SPV Borrower to:</w:t>
      </w:r>
    </w:p>
    <w:p>
      <w:pPr>
        <w:spacing w:after="0" w:line="99"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consolidate or merge;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pay dividends its equity interests;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engage in transactions with our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amend credit and collection policies.</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credit agreement governing our Warehouse Credit Facility contains customary events of default, including payment defaults, failure to perform or observe covenants, cross-defaults with certain other indebtedness, and a change of control,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00"/>
          </w:cols>
          <w:pgMar w:left="320" w:top="229" w:right="47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following description summarizes the most important terms of our capital stock, as they will be in effect following this offering. Because it is only a summary, it does not contain all the information that may be important to you. We expect to adopt an amended and restated certificate of incorporation and restated bylaws that will become effective immediately prior to the completion of this offering, and this description summarizes provisions that are expected to be included in these documents. For a complete description, you should refer to our amended and restated certificate of incorporation, restated bylaws, and our IRA, which are included as exhibits to the registration statement of which this prospectus forms a part, and to the applicable provisions of Delaware law.</w:t>
      </w:r>
    </w:p>
    <w:p>
      <w:pPr>
        <w:spacing w:after="0" w:line="128" w:lineRule="exact"/>
        <w:rPr>
          <w:sz w:val="20"/>
          <w:szCs w:val="20"/>
          <w:color w:val="auto"/>
        </w:rPr>
      </w:pPr>
    </w:p>
    <w:p>
      <w:pPr>
        <w:ind w:left="340"/>
        <w:spacing w:after="0"/>
        <w:tabs>
          <w:tab w:leader="none" w:pos="7240" w:val="left"/>
        </w:tabs>
        <w:rPr>
          <w:sz w:val="20"/>
          <w:szCs w:val="20"/>
          <w:color w:val="auto"/>
        </w:rPr>
      </w:pPr>
      <w:r>
        <w:rPr>
          <w:rFonts w:ascii="Arial" w:cs="Arial" w:eastAsia="Arial" w:hAnsi="Arial"/>
          <w:sz w:val="18"/>
          <w:szCs w:val="18"/>
          <w:color w:val="auto"/>
        </w:rPr>
        <w:t>Upon the completion of this offering, our authorized capital stock will consist of</w:t>
      </w:r>
      <w:r>
        <w:rPr>
          <w:sz w:val="20"/>
          <w:szCs w:val="20"/>
          <w:color w:val="auto"/>
        </w:rPr>
        <w:tab/>
      </w:r>
      <w:r>
        <w:rPr>
          <w:rFonts w:ascii="Arial" w:cs="Arial" w:eastAsia="Arial" w:hAnsi="Arial"/>
          <w:sz w:val="17"/>
          <w:szCs w:val="17"/>
          <w:color w:val="auto"/>
        </w:rPr>
        <w:t>shares of our Class A common stock,</w:t>
      </w:r>
    </w:p>
    <w:p>
      <w:pPr>
        <w:spacing w:after="0" w:line="27" w:lineRule="exact"/>
        <w:rPr>
          <w:sz w:val="20"/>
          <w:szCs w:val="20"/>
          <w:color w:val="auto"/>
        </w:rPr>
      </w:pPr>
    </w:p>
    <w:p>
      <w:pPr>
        <w:spacing w:after="0"/>
        <w:tabs>
          <w:tab w:leader="none" w:pos="3240" w:val="left"/>
          <w:tab w:leader="none" w:pos="9820" w:val="left"/>
        </w:tabs>
        <w:rPr>
          <w:sz w:val="20"/>
          <w:szCs w:val="20"/>
          <w:color w:val="auto"/>
        </w:rPr>
      </w:pPr>
      <w:r>
        <w:rPr>
          <w:rFonts w:ascii="Arial" w:cs="Arial" w:eastAsia="Arial" w:hAnsi="Arial"/>
          <w:sz w:val="18"/>
          <w:szCs w:val="18"/>
          <w:color w:val="auto"/>
        </w:rPr>
        <w:t>$0.00000625 par value per share,</w:t>
      </w:r>
      <w:r>
        <w:rPr>
          <w:sz w:val="20"/>
          <w:szCs w:val="20"/>
          <w:color w:val="auto"/>
        </w:rPr>
        <w:tab/>
      </w:r>
      <w:r>
        <w:rPr>
          <w:rFonts w:ascii="Arial" w:cs="Arial" w:eastAsia="Arial" w:hAnsi="Arial"/>
          <w:sz w:val="18"/>
          <w:szCs w:val="18"/>
          <w:color w:val="auto"/>
        </w:rPr>
        <w:t>shares of our Class B common stock, $0.00000625 par value per share, and</w:t>
      </w:r>
      <w:r>
        <w:rPr>
          <w:sz w:val="20"/>
          <w:szCs w:val="20"/>
          <w:color w:val="auto"/>
        </w:rPr>
        <w:tab/>
      </w:r>
      <w:r>
        <w:rPr>
          <w:rFonts w:ascii="Arial" w:cs="Arial" w:eastAsia="Arial" w:hAnsi="Arial"/>
          <w:sz w:val="17"/>
          <w:szCs w:val="17"/>
          <w:color w:val="auto"/>
        </w:rPr>
        <w:t>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undesignated preferred stock, $0.00000625 par value per share.</w:t>
      </w:r>
    </w:p>
    <w:p>
      <w:pPr>
        <w:spacing w:after="0" w:line="153"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Assuming the occurrence of the Capital Stock Conversion, the Note Conversion, the SAFE Conversion, and the RSU Net Settlement, there were outstanding:</w:t>
      </w:r>
    </w:p>
    <w:p>
      <w:pPr>
        <w:sectPr>
          <w:pgSz w:w="11900" w:h="16838" w:orient="portrait"/>
          <w:cols w:equalWidth="0" w:num="1">
            <w:col w:w="11220"/>
          </w:cols>
          <w:pgMar w:left="320" w:top="229" w:right="359" w:bottom="1440" w:gutter="0" w:footer="0" w:header="0"/>
        </w:sectPr>
      </w:pPr>
    </w:p>
    <w:p>
      <w:pPr>
        <w:spacing w:after="0" w:line="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Class A common stock, held by</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record;</w:t>
      </w:r>
    </w:p>
    <w:p>
      <w:pPr>
        <w:spacing w:after="0" w:line="183" w:lineRule="exact"/>
        <w:rPr>
          <w:sz w:val="20"/>
          <w:szCs w:val="20"/>
          <w:color w:val="auto"/>
        </w:rPr>
      </w:pPr>
    </w:p>
    <w:p>
      <w:pPr>
        <w:sectPr>
          <w:pgSz w:w="11900" w:h="16838" w:orient="portrait"/>
          <w:cols w:equalWidth="0" w:num="3">
            <w:col w:w="440" w:space="720"/>
            <w:col w:w="3600" w:space="460"/>
            <w:col w:w="6000"/>
          </w:cols>
          <w:pgMar w:left="320" w:top="229" w:right="3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of our Class B common stock, held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stockholders of record;</w:t>
      </w:r>
    </w:p>
    <w:p>
      <w:pPr>
        <w:spacing w:after="0" w:line="183" w:lineRule="exact"/>
        <w:rPr>
          <w:sz w:val="20"/>
          <w:szCs w:val="20"/>
          <w:color w:val="auto"/>
        </w:rPr>
      </w:pPr>
    </w:p>
    <w:p>
      <w:pPr>
        <w:sectPr>
          <w:pgSz w:w="11900" w:h="16838" w:orient="portrait"/>
          <w:cols w:equalWidth="0" w:num="3">
            <w:col w:w="440" w:space="720"/>
            <w:col w:w="3600" w:space="460"/>
            <w:col w:w="6000"/>
          </w:cols>
          <w:pgMar w:left="320" w:top="229" w:right="3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40" w:firstLine="495"/>
        <w:spacing w:after="0" w:line="287" w:lineRule="auto"/>
        <w:rPr>
          <w:sz w:val="20"/>
          <w:szCs w:val="20"/>
          <w:color w:val="auto"/>
        </w:rPr>
      </w:pPr>
      <w:r>
        <w:rPr>
          <w:rFonts w:ascii="Arial" w:cs="Arial" w:eastAsia="Arial" w:hAnsi="Arial"/>
          <w:sz w:val="18"/>
          <w:szCs w:val="18"/>
          <w:color w:val="auto"/>
        </w:rPr>
        <w:t>shares of our Class A common stock issuable upon the exercise of stock options, of which shares will be exchangeable for an equal number of shares of Class B common stock at the election of our co-founders upon exercise;</w:t>
      </w:r>
    </w:p>
    <w:p>
      <w:pPr>
        <w:spacing w:after="0" w:line="99" w:lineRule="exact"/>
        <w:rPr>
          <w:sz w:val="20"/>
          <w:szCs w:val="20"/>
          <w:color w:val="auto"/>
        </w:rPr>
      </w:pPr>
    </w:p>
    <w:p>
      <w:pPr>
        <w:sectPr>
          <w:pgSz w:w="11900" w:h="16838" w:orient="portrait"/>
          <w:cols w:equalWidth="0" w:num="2">
            <w:col w:w="400" w:space="260"/>
            <w:col w:w="10560"/>
          </w:cols>
          <w:pgMar w:left="320" w:top="229" w:right="359" w:bottom="1440" w:gutter="0" w:footer="0" w:header="0"/>
          <w:type w:val="continuous"/>
        </w:sectPr>
      </w:pPr>
    </w:p>
    <w:p>
      <w:pPr>
        <w:ind w:left="1160" w:hanging="828"/>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shares of our Class A common stock issuable upon the vesting and settlement of RSUs; and</w:t>
      </w:r>
    </w:p>
    <w:p>
      <w:pPr>
        <w:spacing w:after="0" w:line="171" w:lineRule="exact"/>
        <w:rPr>
          <w:sz w:val="20"/>
          <w:szCs w:val="20"/>
          <w:color w:val="auto"/>
        </w:rPr>
      </w:pPr>
    </w:p>
    <w:p>
      <w:pPr>
        <w:ind w:left="340"/>
        <w:spacing w:after="0"/>
        <w:tabs>
          <w:tab w:leader="none" w:pos="1140" w:val="left"/>
          <w:tab w:leader="none" w:pos="8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the exercise of warrants to purchase</w:t>
        <w:tab/>
        <w:t>shares of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69" w:lineRule="exact"/>
        <w:rPr>
          <w:sz w:val="20"/>
          <w:szCs w:val="20"/>
          <w:color w:val="auto"/>
        </w:rPr>
      </w:pPr>
    </w:p>
    <w:p>
      <w:pPr>
        <w:jc w:val="both"/>
        <w:ind w:right="200" w:firstLine="324"/>
        <w:spacing w:after="0" w:line="291" w:lineRule="auto"/>
        <w:rPr>
          <w:sz w:val="20"/>
          <w:szCs w:val="20"/>
          <w:color w:val="auto"/>
        </w:rPr>
      </w:pPr>
      <w:r>
        <w:rPr>
          <w:rFonts w:ascii="Arial" w:cs="Arial" w:eastAsia="Arial" w:hAnsi="Arial"/>
          <w:sz w:val="17"/>
          <w:szCs w:val="17"/>
          <w:color w:val="auto"/>
        </w:rPr>
        <w:t>Subject to preferences that may apply to any shares of convertible preferred stock outstanding at the time, the holders of shares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6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Holders of shares of our Class A common stock are entitled to one vote for each share of Class A common stock held on all matters submitted to a vote of stockholders and holders of our Class B common stock are entitled to votes for each share of Class B common stock held on all matters submitted to a vote of stockholders. Following this offering, the holders of our outstanding Class B common stock</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will hold % of the voting power of our outstanding capital stock, with our directors, executive officers, and beneficial owners of 5% or greater of our outstanding capital stock and their respective affiliates holding % of the voting power in the aggregate. Holders of shares</w:t>
      </w:r>
    </w:p>
    <w:p>
      <w:pPr>
        <w:spacing w:after="0" w:line="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of our Class A common stock and Class B common stock vote together as a single class on all matters (including the election of directors) submitted to a vote of stockholders, unless, otherwise required by Delaware law. Delaware law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229" w:right="359"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require either holders of our Class A common stock or Class B common stock to vote separately as a single class in the following circumstances:</w:t>
      </w:r>
    </w:p>
    <w:p>
      <w:pPr>
        <w:spacing w:after="0" w:line="99" w:lineRule="exact"/>
        <w:rPr>
          <w:sz w:val="20"/>
          <w:szCs w:val="20"/>
          <w:color w:val="auto"/>
        </w:rPr>
      </w:pPr>
    </w:p>
    <w:p>
      <w:pPr>
        <w:ind w:left="660" w:right="20" w:hanging="328"/>
        <w:spacing w:after="0" w:line="28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98"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1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our amended and restated certificate of incorporation will provide that a separate vote of the holders of our Class B common stock will be required in connection with any amendment to the Certificate of Incorporation that would alter the rights of the Class B common stock, reclassify any shares of Class A common stock into shares senior to the Class B common stock, or authorize the issuance of any shares of capital stock with voting rights greater than one vote per share (other than the Class B common stock). We have not provided for cumulative voting for the election of directors in our amended and restated certificate of incorporation that will become effective immediately prior to the completion of this offering.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6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the completion of this offering, each share of our Class B common stock will be convertible into one share of our Class A</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common stock at any time and will convert automatically upon certain transfers and upon the earlier of . Our amended and restated certificate of incorporation will also provide for certain permitted transfers by holders of shares of Class B common stock which will not trigger conversion to Class A common stock, including transfers to certain family members, trusts and certain entities owned exclusively by such 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provisions of our currently in effect amended and restated certificate of incorporation, each currently outstanding share of redeemable convertible preferred stock will automatically be converted into one share of Class A common stock in connection with the closing of this offering. Following this offering, no shares of redeemable convertible preferred stock will be outstanding.</w:t>
      </w:r>
    </w:p>
    <w:p>
      <w:pPr>
        <w:spacing w:after="0" w:line="117"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The number of authorized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320" w:top="229" w:right="3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preferred stock may be increased or decreased (but not below the number of shares thereof then outstanding) by the affirmative vote of the holders of a majority of the voting stock, without a separate vote of the holders of the preferred stock, irrespective of the provisions of Section 242(b)(2) of the DGCL, unless a separate vote of the holders of one or more series is required pursuant to the terms of any applicable certificate of designation.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Class A common stock and the voting and other rights of the holders of our Class A common stock and Class B common stock. We have no current plan to issue any shares of preferred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As of , 2025, we had outstanding options to purchase an aggregate of shares of our Class A common stock under our 2015 Plan, with a weighted-average exercise price of $ per share, of which shares will be exchangeable for an equal number of shares of Class B common stock at the election of our co-founders upon exercise.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1" w:lineRule="exact"/>
        <w:rPr>
          <w:sz w:val="20"/>
          <w:szCs w:val="20"/>
          <w:color w:val="auto"/>
        </w:rPr>
      </w:pPr>
    </w:p>
    <w:p>
      <w:pPr>
        <w:ind w:right="120" w:firstLine="324"/>
        <w:spacing w:after="0" w:line="265" w:lineRule="auto"/>
        <w:rPr>
          <w:sz w:val="20"/>
          <w:szCs w:val="20"/>
          <w:color w:val="auto"/>
        </w:rPr>
      </w:pPr>
      <w:r>
        <w:rPr>
          <w:rFonts w:ascii="Arial" w:cs="Arial" w:eastAsia="Arial" w:hAnsi="Arial"/>
          <w:sz w:val="18"/>
          <w:szCs w:val="18"/>
          <w:color w:val="auto"/>
        </w:rPr>
        <w:t>As of , 2025, we had an aggregate of shares of our Class A common stock outstanding subject to RSUs, pursuant to our 2015 Plan, of which shares will be exchangeable for an equal number of shares of Class B common stock at the election of our co-founders. Subsequent to , 2025, we have granted an aggregate of shares of our Class A common stock subject to RSUs, pursuant to our 2015 Plan.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ectPr>
          <w:pgSz w:w="11900" w:h="16838" w:orient="portrait"/>
          <w:cols w:equalWidth="0" w:num="1">
            <w:col w:w="11240"/>
          </w:cols>
          <w:pgMar w:left="320" w:top="229"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 2025, we had warrants outstanding to purchase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Class A common stock at an exercise price of</w:t>
      </w:r>
    </w:p>
    <w:p>
      <w:pPr>
        <w:spacing w:after="0" w:line="43" w:lineRule="exact"/>
        <w:rPr>
          <w:sz w:val="20"/>
          <w:szCs w:val="20"/>
          <w:color w:val="auto"/>
        </w:rPr>
      </w:pPr>
    </w:p>
    <w:p>
      <w:pPr>
        <w:sectPr>
          <w:pgSz w:w="11900" w:h="16838" w:orient="portrait"/>
          <w:cols w:equalWidth="0" w:num="3">
            <w:col w:w="780" w:space="720"/>
            <w:col w:w="3880" w:space="400"/>
            <w:col w:w="5460"/>
          </w:cols>
          <w:pgMar w:left="320" w:top="229" w:right="339" w:bottom="1440" w:gutter="0" w:footer="0" w:header="0"/>
          <w:type w:val="continuous"/>
        </w:sect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Cohen Voting Proxy</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August 2024, Ariel Cohen, our co-founder and Chief Executive Officer and chairperson of our board of directors, entered into an irrevocable proxy agreement with his former spouse, pursuant to which Mr. Cohen holds sole voting authority over the shares of our common stock beneficially owned by, or to be issued in the future to, her. Under the terms of the agreement, Mr. Cohen may vote these shares in his sole discretion on all matters submitted to a vote of our stockholders, for so long as he remains our employee, director, other service provider or stockholder. The proxy is irrevocable and is intended to remain in effect unless terminated upon Mr. Cohen’s death or disability, our dissolution, or Mr. Cohen’s written consent.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Following the completion of this offering, certain holders of shares of our Class A common stock or their permitted transferees will be entitled to rights with respect to the registration of their shares under the Securities Act. These rights are provided under the terms of our IRA, which was entered into in connection with our redeemable convertible preferred stock financings, and include demand registration rights, Form S-3 registration rights and piggyback registration rights. In any registration made pursuant to our IRA, all fees, costs and expenses of underwritten registrations will be borne by us and all selling expenses, including underwriting discounts, selling commissions, stock transfer taxes, and fees and disbursements of counsel for any holder will be borne by the holders of the shares being registered, provided, however, that we will pay the reasonable fees and disbursements of one counsel to any selling holders not to exceed $30,000.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229" w:right="339"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registration rights terminate (i) five years following the completion of this offering, (ii) upon a deemed liquidation event or a stock sale (both as defined in our IRA) or (iii) with respect to any particular stockholder, at the time that such stockholder can sell all of its registrable securities (as defined in our IRA) without any restriction on volume or manner of sale in any three-month period pursuant to Rule 144 of the Securities Act or any successor rule thereto.</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6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Following the completion of this offering, holders of shares of our Class A common stock, including holders of shares of Class A common stock issuable upon conversion of the Convertible Notes, will be entitled to demand registration rights at any time after 180 days after the effective date of the registration statement of which this prospectus forms a part. Under the terms of our IRA, we will be required, upon the request of holders of a majority of the shares that are entitled to registration rights under our IRA, to file a registration statement on Form S-1 to register, as soon as practicable and in any event within 90 days of the date of the request, all or a portion of these shares for public resale, if the aggregate price to the public of the shares offered is at least $25.0 million, net of selling expenses. We are required to effect only two registrations pursuant to this provision of the IRA. We may postpone the filing of a registration statement no more than once during any 12-month period for a period of not more than 90 days if our board of directors determines that the filing would be materially detrimental to us. We are not required to effect a demand registration under certain additional circumstances specified in our IRA.</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69" w:lineRule="exact"/>
        <w:rPr>
          <w:sz w:val="20"/>
          <w:szCs w:val="20"/>
          <w:color w:val="auto"/>
        </w:rPr>
      </w:pPr>
    </w:p>
    <w:p>
      <w:pPr>
        <w:ind w:left="340"/>
        <w:spacing w:after="0"/>
        <w:tabs>
          <w:tab w:leader="none" w:pos="5200" w:val="left"/>
        </w:tabs>
        <w:rPr>
          <w:sz w:val="20"/>
          <w:szCs w:val="20"/>
          <w:color w:val="auto"/>
        </w:rPr>
      </w:pPr>
      <w:r>
        <w:rPr>
          <w:rFonts w:ascii="Arial" w:cs="Arial" w:eastAsia="Arial" w:hAnsi="Arial"/>
          <w:sz w:val="18"/>
          <w:szCs w:val="18"/>
          <w:color w:val="auto"/>
        </w:rPr>
        <w:t>Following the completion of this offering, holders of</w:t>
      </w:r>
      <w:r>
        <w:rPr>
          <w:sz w:val="20"/>
          <w:szCs w:val="20"/>
          <w:color w:val="auto"/>
        </w:rPr>
        <w:tab/>
      </w:r>
      <w:r>
        <w:rPr>
          <w:rFonts w:ascii="Arial" w:cs="Arial" w:eastAsia="Arial" w:hAnsi="Arial"/>
          <w:sz w:val="18"/>
          <w:szCs w:val="18"/>
          <w:color w:val="auto"/>
        </w:rPr>
        <w:t>shares of our Class A common stock, including holders of shares of Class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common stock issuable upon conversion of the Convertible Notes, will be entitled to Form S-3 registration rights. The holders representing at least 25% of the then-outstanding shares having registration rights can request that we register all or part of their shares on Form S-3 if we are eligible to file a registration statement on Form S-3 and if the aggregate price to the public of the shares offered is at least $5.0 million, net of selling expenses. The holders may only require us to effect at most two registration statements on Form S-3 in any 12-month period. We may postpone the filing of a registration statement on Form S-3 no more than once during any 12-month period for a period of not more than 90 days if our board of directors determines that the filing would be materially detrimental to 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69" w:lineRule="exact"/>
        <w:rPr>
          <w:sz w:val="20"/>
          <w:szCs w:val="20"/>
          <w:color w:val="auto"/>
        </w:rPr>
      </w:pPr>
    </w:p>
    <w:p>
      <w:pPr>
        <w:ind w:left="340"/>
        <w:spacing w:after="0"/>
        <w:tabs>
          <w:tab w:leader="none" w:pos="6700" w:val="left"/>
        </w:tabs>
        <w:rPr>
          <w:sz w:val="20"/>
          <w:szCs w:val="20"/>
          <w:color w:val="auto"/>
        </w:rPr>
      </w:pPr>
      <w:r>
        <w:rPr>
          <w:rFonts w:ascii="Arial" w:cs="Arial" w:eastAsia="Arial" w:hAnsi="Arial"/>
          <w:sz w:val="18"/>
          <w:szCs w:val="18"/>
          <w:color w:val="auto"/>
        </w:rPr>
        <w:t>If we propose to register any of our securities for public sale, holders of</w:t>
      </w:r>
      <w:r>
        <w:rPr>
          <w:sz w:val="20"/>
          <w:szCs w:val="20"/>
          <w:color w:val="auto"/>
        </w:rPr>
        <w:tab/>
      </w:r>
      <w:r>
        <w:rPr>
          <w:rFonts w:ascii="Arial" w:cs="Arial" w:eastAsia="Arial" w:hAnsi="Arial"/>
          <w:sz w:val="17"/>
          <w:szCs w:val="17"/>
          <w:color w:val="auto"/>
        </w:rPr>
        <w:t>shares of our Class A common stock, including holders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of shares of Class A common stock issuable upon conversion of the Convertible Notes,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our Class A common stock, or a registration in which the only Class A common stock being registered is Class A common stock issuable upon conversion of debt securities that are also being registered. The underwriters of any underwritten offering will have the right to limit the number of shares registered by these holders if they determine that marketing factors require limitation, in which case the number of shares to be registered will be apportioned pro rata among these holders, according to the total amount of securities entitled to be included by each holder. However, the number of shares to be registered by these holders cannot be reduced (i) unless all other securities (other than securities to be sold by us) are first excluded from the offering or (ii) below 30% of the total shares covered by the registration statement, other than in the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320" w:top="229" w:right="3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provisions of the DGCL, our amended and restated certificate of incorporation, and our restated bylaws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Law</w:t>
      </w:r>
    </w:p>
    <w:p>
      <w:pPr>
        <w:spacing w:after="0" w:line="16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25" w:lineRule="exact"/>
        <w:rPr>
          <w:sz w:val="20"/>
          <w:szCs w:val="20"/>
          <w:color w:val="auto"/>
        </w:rPr>
      </w:pPr>
    </w:p>
    <w:p>
      <w:pPr>
        <w:ind w:left="660" w:right="60" w:hanging="328"/>
        <w:spacing w:after="0" w:line="28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98"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22" w:lineRule="exact"/>
        <w:rPr>
          <w:rFonts w:ascii="Arial" w:cs="Arial" w:eastAsia="Arial" w:hAnsi="Arial"/>
          <w:sz w:val="18"/>
          <w:szCs w:val="18"/>
          <w:color w:val="auto"/>
        </w:rPr>
      </w:pPr>
    </w:p>
    <w:p>
      <w:pPr>
        <w:jc w:val="both"/>
        <w:ind w:left="660" w:right="260" w:hanging="328"/>
        <w:spacing w:after="0" w:line="268"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203 defines a business combination to include:</w:t>
      </w:r>
    </w:p>
    <w:p>
      <w:pPr>
        <w:spacing w:after="0" w:line="171"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71"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98"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98"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98"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99"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320" w:top="229" w:right="3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Restated Bylaw Provisions</w:t>
      </w:r>
    </w:p>
    <w:p>
      <w:pPr>
        <w:spacing w:after="0" w:line="169"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Our amended and restated certificate of incorporation and our restated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17" w:lineRule="exact"/>
        <w:rPr>
          <w:sz w:val="20"/>
          <w:szCs w:val="20"/>
          <w:color w:val="auto"/>
        </w:rPr>
      </w:pPr>
    </w:p>
    <w:p>
      <w:pPr>
        <w:ind w:left="660" w:hanging="328"/>
        <w:spacing w:after="0" w:line="25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Dual Class Common Stock</w:t>
      </w:r>
      <w:r>
        <w:rPr>
          <w:rFonts w:ascii="Arial" w:cs="Arial" w:eastAsia="Arial" w:hAnsi="Arial"/>
          <w:sz w:val="18"/>
          <w:szCs w:val="18"/>
          <w:color w:val="auto"/>
        </w:rPr>
        <w:t>. As described above in the section titled “—Class A Common Stock and Class B Common Stock—Voting</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our amended and restated certificate of incorporation will provide for a dual class common stock structure pursuant to which our co-founders, as holders of our Class B common stock, may have significant influence over the outcome of matters requiring stockholder approval, even if they own significantly less than a majority of the shares of our outstanding Class A common stock and Class B common stock, including the election of directors and significant corporate transactions, such as a merger or other sale of our company or its assets.</w:t>
      </w:r>
    </w:p>
    <w:p>
      <w:pPr>
        <w:spacing w:after="0" w:line="128"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Vacancies. </w:t>
      </w:r>
      <w:r>
        <w:rPr>
          <w:rFonts w:ascii="Arial" w:cs="Arial" w:eastAsia="Arial" w:hAnsi="Arial"/>
          <w:sz w:val="18"/>
          <w:szCs w:val="18"/>
          <w:color w:val="auto"/>
        </w:rPr>
        <w:t>Our amended and restated certificate of incorporation and our restated bylaws will authorize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25"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amended and restated certificate of incorporation and our restated bylaws will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is classified into three classes of directors. The existence of a classified board of directors could delay a successful tender offeror from obtaining majority control of our board of directors, and the prospect of that delay might deter a potential offeror. For additional information, see the section titled “Management—Classified Board of Directors.”</w:t>
      </w:r>
    </w:p>
    <w:p>
      <w:pPr>
        <w:spacing w:after="0" w:line="122"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amended and restated certificate of incorporation will provide that stockholders may remove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only for cause and only by the affirmative vote of the holders of at least two-thirds of the voting power of the then-outstanding capital stock.</w:t>
      </w:r>
    </w:p>
    <w:p>
      <w:pPr>
        <w:spacing w:after="0" w:line="116" w:lineRule="exact"/>
        <w:rPr>
          <w:rFonts w:ascii="Arial" w:cs="Arial" w:eastAsia="Arial" w:hAnsi="Arial"/>
          <w:sz w:val="18"/>
          <w:szCs w:val="18"/>
          <w:color w:val="auto"/>
        </w:rPr>
      </w:pPr>
    </w:p>
    <w:p>
      <w:pPr>
        <w:ind w:left="660" w:right="60" w:hanging="328"/>
        <w:spacing w:after="0" w:line="270" w:lineRule="auto"/>
        <w:tabs>
          <w:tab w:leader="none" w:pos="655"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Supermajority Requirements for Amendments of Our Amended and Restated Certificate of Incorporation and Restated Bylaws. </w:t>
      </w:r>
      <w:r>
        <w:rPr>
          <w:rFonts w:ascii="Arial" w:cs="Arial" w:eastAsia="Arial" w:hAnsi="Arial"/>
          <w:sz w:val="17"/>
          <w:szCs w:val="17"/>
          <w:color w:val="auto"/>
        </w:rPr>
        <w:t>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will further provide that the affirmative vote of holders of at least two-thirds of the voting power of all of the then-outstanding shares of capital stock will be required to amend certain provisions of our amended and restated certificate of incorporation, including provisions relating to the classified board, the size of our board of directors, removal of</w:t>
      </w:r>
    </w:p>
    <w:p>
      <w:pPr>
        <w:spacing w:after="0" w:line="2" w:lineRule="exact"/>
        <w:rPr>
          <w:sz w:val="20"/>
          <w:szCs w:val="20"/>
          <w:color w:val="auto"/>
        </w:rPr>
      </w:pPr>
    </w:p>
    <w:p>
      <w:pPr>
        <w:ind w:left="660" w:right="80"/>
        <w:spacing w:after="0" w:line="252" w:lineRule="auto"/>
        <w:rPr>
          <w:sz w:val="20"/>
          <w:szCs w:val="20"/>
          <w:color w:val="auto"/>
        </w:rPr>
      </w:pPr>
      <w:r>
        <w:rPr>
          <w:rFonts w:ascii="Arial" w:cs="Arial" w:eastAsia="Arial" w:hAnsi="Arial"/>
          <w:sz w:val="18"/>
          <w:szCs w:val="18"/>
          <w:color w:val="auto"/>
        </w:rPr>
        <w:t>directors, special meetings, actions by written consent and designation of our preferred stock. In addition, the affirmative vote of holders of % of the voting power of each of our Class A common stock and Class B common stock, voting separately by class, will be required to amend the provisions of our amended and restated certificate of incorporation relating to the terms of our Class A common stock or Class B common stock. The affirmative vote of holders of at least two-thirds of the voting power of all of the then-outstanding shares of capital stock will be required to amend or repeal our restated bylaws, although our restated bylaws may be amended by a simple majority vote of our board of directors. Additionally, in the case of any proposed adoption, amendment, or repeal of any provisions of the restated bylaws that is approved by our board of directors and submitted to the stockholders for adoption, if two-thirds of our board of directors has approved such adoption, amendment, or repeal of any provisions of our restated bylaws, then only the affirmative vote of a majority of the voting power of all of the then-outstanding shares of capital stock shall be required to adopt, amend, or repeal any provision of our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00"/>
          </w:cols>
          <w:pgMar w:left="320" w:top="229" w:right="37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55"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Meetings of Stockholders. </w:t>
      </w:r>
      <w:r>
        <w:rPr>
          <w:rFonts w:ascii="Arial" w:cs="Arial" w:eastAsia="Arial" w:hAnsi="Arial"/>
          <w:sz w:val="18"/>
          <w:szCs w:val="18"/>
          <w:color w:val="auto"/>
        </w:rPr>
        <w:t>Our amended and restated certificate of incorporation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As a result, holders of our capital stock would not be able to amend our restated bylaws or remove directors without holding a meeting of our stockholders called in accordance with our restated bylaws. Our amended and restated certificate of incorporation and our restated bylaws will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130"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28"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DGCL provides that stockholders are not entitled to the right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amended and restated certificate of incorporation and restated bylaws will not provide for cumulative voting.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We anticipate that after the filing of our amended and restated certificate of incorporation,</w:t>
      </w:r>
    </w:p>
    <w:p>
      <w:pPr>
        <w:spacing w:after="0" w:line="27"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our board of directors will have the authority, without further action by the stockholders, to issue up to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28" w:lineRule="exact"/>
        <w:rPr>
          <w:sz w:val="20"/>
          <w:szCs w:val="20"/>
          <w:color w:val="auto"/>
        </w:rPr>
      </w:pPr>
    </w:p>
    <w:p>
      <w:pPr>
        <w:ind w:left="660" w:right="20" w:hanging="328"/>
        <w:spacing w:after="0" w:line="253"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In addition, our amended and restated certificate of incorporation will provide that, to the fullest extent permitted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law,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restated bylaws; any action asserting a claim against us that is governed by the internal affairs doctrine; or any to interpret, apply, enforce, or determine the validity of the amended and restated certificate of incorporation or restated bylaws.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contain a Federal Forum Provision. While there can be no assurance that federal or state courts will follow the holding of the Supreme Court of the State of Delaware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As Section 22 of the Securities Act creates concurrent jurisdiction for federal and state courts over all suits brought to enforce any duty or liability created by the Securities Act or the rules and regulations thereunder, there 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229"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as to whether a court would enforce such provision. Further, Section 27 of the Exchange Act creates exclusive federal jurisdiction over all claims brought to enforce any duty or liability created by the Exchange Act or the rules and regulations thereunder. In addition, the Federal Forum Provision applies,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 If a court were to find the Federal 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1"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Upon the completion of this offering, the transfer agent and registrar for our Class A common stock and Class B common stock will be Computershare Trust Company, N.A. The transfer agent’s address is 150 Royall Street, Canton, Massachusetts 02021.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apply to list our Class A common stock on Nasdaq under the symbol “NAVN.”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00"/>
          </w:cols>
          <w:pgMar w:left="320" w:top="229" w:right="37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1"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Before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w:t>
      </w:r>
    </w:p>
    <w:p>
      <w:pPr>
        <w:spacing w:after="0" w:line="117"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Nevertheless, sales of substantial amounts of our Class A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11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Upon the completion of this offering, based on the shares of our capital stock outstanding as of , 2025, we will have a total of shares of our Class A common stock outstanding and shares of our Class B common stock outstanding, assuming (i) the Capital Stock Conversion, the Note Conversion, and the SAFE Conversion, (ii) the net issuance of shares of Class A common stock in connection with the RSU Net Settlement, after withholding shares to satisfy estimated tax withholding and remittance obligations (based</w:t>
      </w:r>
    </w:p>
    <w:p>
      <w:pPr>
        <w:spacing w:after="0" w:line="2"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on the assumed initial public offering price of $</w:t>
        <w:tab/>
        <w:t>per share, the midpoint of the price range set forth on the cover page of this prospectus,</w:t>
      </w:r>
    </w:p>
    <w:p>
      <w:pPr>
        <w:spacing w:after="0" w:line="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and an assumed % tax withholding rate), and (iii) the issuance of shares of common stock in this offering. Of these outstanding shares, all of the shares of Class A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128"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The remaining outstanding shares of our Class A common stock and Class B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w:t>
      </w:r>
    </w:p>
    <w:p>
      <w:pPr>
        <w:spacing w:after="0" w:line="12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As a result of the lock-up agreements described below and the provisions of our IRA described in the section titled “Description of Capital Stock—Registration Rights,” and subject to the provisions of Rule 144 or Rule 701, shares of our common stock will be available for sale in the public market as follows:</w:t>
      </w:r>
    </w:p>
    <w:p>
      <w:pPr>
        <w:sectPr>
          <w:pgSz w:w="11900" w:h="16838" w:orient="portrait"/>
          <w:cols w:equalWidth="0" w:num="1">
            <w:col w:w="11220"/>
          </w:cols>
          <w:pgMar w:left="320" w:top="229" w:right="359" w:bottom="1440" w:gutter="0" w:footer="0" w:header="0"/>
        </w:sectPr>
      </w:pP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80" w:hanging="4"/>
        <w:spacing w:after="0" w:line="318" w:lineRule="auto"/>
        <w:rPr>
          <w:sz w:val="20"/>
          <w:szCs w:val="20"/>
          <w:color w:val="auto"/>
        </w:rPr>
      </w:pPr>
      <w:r>
        <w:rPr>
          <w:rFonts w:ascii="Arial" w:cs="Arial" w:eastAsia="Arial" w:hAnsi="Arial"/>
          <w:sz w:val="17"/>
          <w:szCs w:val="17"/>
          <w:color w:val="auto"/>
        </w:rPr>
        <w:t>beginning on the date of this prospectus, all available for sale in the public market; 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Class A common stock sold in this offering will be immediately</w:t>
      </w:r>
    </w:p>
    <w:p>
      <w:pPr>
        <w:spacing w:after="0" w:line="398" w:lineRule="exact"/>
        <w:rPr>
          <w:sz w:val="20"/>
          <w:szCs w:val="20"/>
          <w:color w:val="auto"/>
        </w:rPr>
      </w:pPr>
    </w:p>
    <w:p>
      <w:pPr>
        <w:sectPr>
          <w:pgSz w:w="11900" w:h="16838" w:orient="portrait"/>
          <w:cols w:equalWidth="0" w:num="3">
            <w:col w:w="400" w:space="260"/>
            <w:col w:w="3640" w:space="720"/>
            <w:col w:w="6200"/>
          </w:cols>
          <w:pgMar w:left="320" w:top="229" w:right="359" w:bottom="1440" w:gutter="0" w:footer="0" w:header="0"/>
          <w:type w:val="continuous"/>
        </w:sectPr>
      </w:pPr>
    </w:p>
    <w:p>
      <w:pPr>
        <w:ind w:left="660" w:hanging="328"/>
        <w:spacing w:after="0"/>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subject to extension as described in the section titled “Underwriting”</w:t>
      </w:r>
    </w:p>
    <w:p>
      <w:pPr>
        <w:sectPr>
          <w:pgSz w:w="11900" w:h="16838" w:orient="portrait"/>
          <w:cols w:equalWidth="0" w:num="1">
            <w:col w:w="11220"/>
          </w:cols>
          <w:pgMar w:left="320" w:top="229" w:right="359" w:bottom="1440" w:gutter="0" w:footer="0" w:header="0"/>
          <w:type w:val="continuous"/>
        </w:sectPr>
      </w:pPr>
    </w:p>
    <w:p>
      <w:pPr>
        <w:spacing w:after="0" w:line="43" w:lineRule="exact"/>
        <w:rPr>
          <w:sz w:val="20"/>
          <w:szCs w:val="20"/>
          <w:color w:val="auto"/>
        </w:rPr>
      </w:pPr>
    </w:p>
    <w:p>
      <w:pPr>
        <w:ind w:left="660" w:right="60"/>
        <w:spacing w:after="0" w:line="260" w:lineRule="auto"/>
        <w:rPr>
          <w:sz w:val="20"/>
          <w:szCs w:val="20"/>
          <w:color w:val="auto"/>
        </w:rPr>
      </w:pPr>
      <w:r>
        <w:rPr>
          <w:rFonts w:ascii="Arial" w:cs="Arial" w:eastAsia="Arial" w:hAnsi="Arial"/>
          <w:sz w:val="18"/>
          <w:szCs w:val="18"/>
          <w:color w:val="auto"/>
        </w:rPr>
        <w:t>below, additional shares will become eligible for sale in the public market, of which shares will be held by affiliates and subject to the volume and other restrictions of Rule 144, as described below.</w:t>
      </w:r>
    </w:p>
    <w:p>
      <w:pPr>
        <w:sectPr>
          <w:pgSz w:w="11900" w:h="16838" w:orient="portrait"/>
          <w:cols w:equalWidth="0" w:num="1">
            <w:col w:w="11220"/>
          </w:cols>
          <w:pgMar w:left="320" w:top="229" w:right="35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titled “Underwriting” for a description of the lock-up agreements applicable to our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229" w:right="359"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117" w:lineRule="exact"/>
        <w:rPr>
          <w:sz w:val="20"/>
          <w:szCs w:val="20"/>
          <w:color w:val="auto"/>
        </w:rPr>
      </w:pPr>
    </w:p>
    <w:p>
      <w:pPr>
        <w:ind w:left="660" w:right="40" w:hanging="328"/>
        <w:spacing w:after="0" w:line="287"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approximately shares immediately after this offering; or</w:t>
      </w:r>
    </w:p>
    <w:p>
      <w:pPr>
        <w:spacing w:after="0" w:line="98"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99"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w:t>
      </w:r>
    </w:p>
    <w:p>
      <w:pPr>
        <w:spacing w:after="0" w:line="1" w:lineRule="exact"/>
        <w:rPr>
          <w:sz w:val="20"/>
          <w:szCs w:val="20"/>
          <w:color w:val="auto"/>
        </w:rPr>
      </w:pPr>
    </w:p>
    <w:p>
      <w:pPr>
        <w:ind w:right="160" w:firstLine="8"/>
        <w:spacing w:after="0" w:line="258" w:lineRule="auto"/>
        <w:tabs>
          <w:tab w:leader="none" w:pos="4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RSUs</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soon as practicable after the completion of this offering, we intend to file one or more registration statements on Form S-8 under the Securities Act covering all of the shares of our common stock subject to outstanding options and RSUs and the shares of our Class A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1"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00"/>
          </w:cols>
          <w:pgMar w:left="320" w:top="229" w:right="37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following summary describes the material U.S. federal income tax consequences of the acquisition, ownership and disposition of our Class A common stock acquired in this offering by Non-U.S. Holders (as defined below). This discussion does not address all aspects of U.S. federal income taxes, does not discuss the potential application of any alternative minimum tax, the special tax accounting rules under Section 451(b) of the Code, or the Medicare contribution tax on net investment income, and does not deal with state or local taxes, U.S. federal gift or estate tax laws, or any non-U.S. tax consequences that may be relevant to Non-U.S. Holders in light of their particular circumstances.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Code, such as:</w:t>
      </w:r>
    </w:p>
    <w:p>
      <w:pPr>
        <w:spacing w:after="0" w:line="153"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71" w:lineRule="exact"/>
        <w:rPr>
          <w:rFonts w:ascii="Arial" w:cs="Arial" w:eastAsia="Arial" w:hAnsi="Arial"/>
          <w:sz w:val="18"/>
          <w:szCs w:val="18"/>
          <w:color w:val="auto"/>
        </w:rPr>
      </w:pPr>
    </w:p>
    <w:p>
      <w:pPr>
        <w:ind w:left="660" w:right="500" w:hanging="328"/>
        <w:spacing w:after="0" w:line="28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non-U.S. governments and international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dealers and traders in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Class A common stock or any shares of our Class B common stock;</w:t>
      </w:r>
    </w:p>
    <w:p>
      <w:pPr>
        <w:spacing w:after="0" w:line="171" w:lineRule="exact"/>
        <w:rPr>
          <w:rFonts w:ascii="Arial" w:cs="Arial" w:eastAsia="Arial" w:hAnsi="Arial"/>
          <w:sz w:val="18"/>
          <w:szCs w:val="18"/>
          <w:color w:val="auto"/>
        </w:rPr>
      </w:pPr>
    </w:p>
    <w:p>
      <w:pPr>
        <w:ind w:left="660" w:right="540" w:hanging="328"/>
        <w:spacing w:after="0" w:line="28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“controlled foreign corporations,” as defined in Section 957 of the Code, “passive foreign investment companies,” as defined in Section 1297 of the Code, and corporations that accumulate earnings to avoid U.S. federal income tax;</w:t>
      </w:r>
    </w:p>
    <w:p>
      <w:pPr>
        <w:spacing w:after="0" w:line="98"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that hold our Class A common stock as part of a “straddle,” “hedge,” “conversion transaction,” “synthetic security,” or integrated investment or other risk reduction strategy;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71" w:lineRule="exact"/>
        <w:rPr>
          <w:rFonts w:ascii="Arial" w:cs="Arial" w:eastAsia="Arial" w:hAnsi="Arial"/>
          <w:sz w:val="18"/>
          <w:szCs w:val="18"/>
          <w:color w:val="auto"/>
        </w:rPr>
      </w:pPr>
    </w:p>
    <w:p>
      <w:pPr>
        <w:ind w:left="660" w:right="500" w:hanging="328"/>
        <w:spacing w:after="0" w:line="28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who do not hold our Class A common stock as a capital asset within the meaning of Section 1221 of the Code (generally, for investment purposes); and</w:t>
      </w:r>
    </w:p>
    <w:p>
      <w:pPr>
        <w:spacing w:after="0" w:line="98"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(regardless of their places of organization or formation).</w:t>
      </w:r>
    </w:p>
    <w:p>
      <w:pPr>
        <w:spacing w:after="0" w:line="99" w:lineRule="exact"/>
        <w:rPr>
          <w:sz w:val="20"/>
          <w:szCs w:val="20"/>
          <w:color w:val="auto"/>
        </w:rPr>
      </w:pPr>
    </w:p>
    <w:p>
      <w:pPr>
        <w:ind w:right="1120" w:firstLine="324"/>
        <w:spacing w:after="0" w:line="287" w:lineRule="auto"/>
        <w:rPr>
          <w:sz w:val="20"/>
          <w:szCs w:val="20"/>
          <w:color w:val="auto"/>
        </w:rPr>
      </w:pPr>
      <w:r>
        <w:rPr>
          <w:rFonts w:ascii="Arial" w:cs="Arial" w:eastAsia="Arial" w:hAnsi="Arial"/>
          <w:sz w:val="18"/>
          <w:szCs w:val="18"/>
          <w:color w:val="auto"/>
        </w:rPr>
        <w:t>Such Non-U.S. Holders are urged to consult their own tax advisors to determine the U.S. federal, state, local, and other tax consequences that may be relevant to them of the ownership or disposition of our Class A common stock.</w:t>
      </w:r>
    </w:p>
    <w:p>
      <w:pPr>
        <w:spacing w:after="0" w:line="9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Furthermore, the discussion below is based upon the provisions of the Code, Treasury Regulations promulgated thereunder, rulings and administrative pronouncements of the Internal Revenue Service, or the IRS, and judicial decisions thereunder, all as of the date hereof, and such authorities may be repealed, revoked, or modified, possibly retroactively, and are subject to differing interpretations which could result in U.S. federal income tax consequences different from those discussed below. We have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320" w:top="229" w:right="3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requested a ruling from 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w:t>
      </w:r>
    </w:p>
    <w:p>
      <w:pPr>
        <w:spacing w:after="0" w:line="11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PERSONS CONSIDERING THE PURCHASE OF OUR CLASS A COMMON STOCK PURSUANT TO THIS OFFERING SHOULD CONSULT THEIR OWN TAX ADVISORS CONCERNING THE U.S. FEDERAL INCOME TAX CONSEQUENCES OF ACQUIRING, OWNING, AND DISPOSING OF OUR CLASS A COMMON STOCK IN LIGHT OF THEIR PARTICULAR SITUATIONS AS WELL AS ANY TAX CONSEQUENCES ARISING UNDER THE LAWS OF ANY OTHER TAXING JURISDICTION, INCLUDING ANY STATE, LOCAL, OR NON-U.S. TAX CONSEQUENCES OR ANY U.S. FEDERAL NON-INCOME TAX CONSEQUENCES, AND THE POSSIBLE APPLICATION OF TAX TREATIES.</w:t>
      </w:r>
    </w:p>
    <w:p>
      <w:pPr>
        <w:spacing w:after="0" w:line="12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purposes of this discussion, a “Non-U.S. Holder” is a beneficial owner of our Class A common stock that is not a U.S. Holder or an entity or arrangement treated as a partnership or other pass-through entity for U.S. federal income tax purposes. A “U.S. Holder” is a beneficial owner of our Class A common stock that is, for U.S. federal income tax purposes,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if it (A) is subject to the primary supervision of a court within the United States and one or more United States persons (within the meaning of Section 7701(a)(30) of the Code) have the authority to control all substantial decisions of the trust or (B) has a valid election in effect under applicable U.S. Treasury Regulations to be treated as a United States person.</w:t>
      </w:r>
    </w:p>
    <w:p>
      <w:pPr>
        <w:spacing w:after="0" w:line="13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you are an individual who is not a U.S. citizen, you may be deemed to be a resident of the United States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Class A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do not anticipate paying any dividends on our Class A common stock in the foreseeable future. If we do make distributions on our Class A common stock, however, such distributions made to a Non-U.S. Holder will constitute dividends for U.S. federal income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Class A common stock. Any remaining excess will be treated as capital gain realized on the sale or exchange of our Class A common stock as described below under the section titled “—Gain on Disposition of Our Class A Common Stock.”</w:t>
      </w:r>
    </w:p>
    <w:p>
      <w:pPr>
        <w:spacing w:after="0" w:line="1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Any distribution on our Class A common stock that is treated as a dividend paid to a Non-U.S. Holder that is not effectively connected with the holder’s conduct of a trade or business in the United States generally will be subject to withholding tax at a 30% rate or such lower rate as may be specified by an applicable income tax treaty between the United States and the Non-U.S. Holder’s country of residence. To obtain a reduced rate of withholding tax under an applicable income tax treaty, a Non-U.S. Holder generally will be required to provide the applicable withholding agent with a properly executed IRS Form W-8BEN, IRS Form W-8BEN-E, or other appropriate form, certifying the Non-U.S. Holder’s entitlement to benefits under that income tax treaty. Such form must be provided prior to the payment of dividends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320" w:top="229" w:right="3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must be updated periodically. If a Non-U.S. Holder holds stock through a financial institution or other agent acting on the holder’s behalf, the holder will be required to provide appropriate documentation to such agent. The holder’s agent will then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If you are eligible for a reduced rate of U.S. withholding tax under an income tax treaty, you should consult with your own tax advisor to determine if you are able to obtain a refund or credit of any excess amounts withheld.</w:t>
      </w:r>
    </w:p>
    <w:p>
      <w:pPr>
        <w:spacing w:after="0" w:line="12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regular U.S. federal income tax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31"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See also the section titled “—Foreign Accounts” for additional withholding rules that may apply to dividends paid to certain foreign financial institutions or non-financial foreign entities.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Subject to the discussions below under the sections titled “—Backup Withholding and Information Reporting” and “—Foreign Accounts,” a Non-U.S. Holder generally will not be subject to U.S. federal income or withholding tax with respect to gain realized on a sale or other taxable disposition of our Class A common stock unless (i) the gain is effectively connected with a trade or business of the Non-U.S. Holder in the United States (and, if required by an applicable income tax treaty, is attributable to a permanent establishment or fixed base that the Non-U.S. Holder maintains in the United States), (ii) the Non-U.S. Holder is a nonresident alien individual and is present in the United States for 183 or more days in the taxable year of the disposition and certain other conditions are met, or (iii) we are or have been a “United States real property holding corporation” within the meaning of Section 897(c)(2) of the Code at any time within the shorter of the five-year period preceding such disposition or the Non-U.S. Holder’s holding period in the Class A common stock.</w:t>
      </w:r>
    </w:p>
    <w:p>
      <w:pPr>
        <w:spacing w:after="0" w:line="13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If you are a Non-U.S. Holder, gain described in (i) above will be subject to U.S. federal income tax on the net gain derived from the sale at the regular U.S. federal income tax rates applicable to U.S. persons. If you are a corporate Non-U.S. Holder, gain described in (i) above may also be subject to the additional branch profits tax at a 30% rate or such lower rate as may be specified by an applicable income tax treaty. If you are an individual Non-U.S. Holder described in (ii) above, you will be required to pay a flat 30% tax on the gain derived from the sale (or such lower rate as may be specified by an applicable income tax treaty), which gain may be offset by certain U.S. source capital losses (even though you are not considered a resident of the United States), provided you have timely filed U.S. federal income tax returns with respect to such losses. With respect to (iii) above, in general, we would be a United States real property holding corporation if United States real property interests (as defined in the Code and the Treasury Regulations) comprised (by fair market value) at least half of our worldwide real property and our other assets which are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are treated as a United States real property holding corporation, gain realized by a Non-U.S. Holder on a disposition of our Class A common stock will not be subject to U.S. federal income tax so long as (i) the Non-U.S. Holder owned, directly, indirectly, and constructively, no more than five percent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80"/>
          </w:cols>
          <w:pgMar w:left="320" w:top="229" w:right="39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Class A common stock at all times within the shorter of (A) the five-year period preceding the disposition or (B) the Non-U.S. Holder’s holding period and (ii) our Class A common stock is regularly traded on an established securities market for purposes of the relevant rules. There can be no assurance that our Class A common stock will qualify as regularly traded on an established securities market for this purpose. If we are treated as a United States real property holding corporation and the exception described in the previous two sentences does not apply, gain realized by a Non-U.S. Holder on a disposition of our Class A common stock generally will be subject to U.S. federal income tax at the regular U.S. federal income tax rates applicable to U.S. persons.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7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Generally, we or an applicable withholding agent must report information to the IRS with respect to any distributions we pay on our Class A common stock, including the amount of any such distributions,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2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2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current U.S. federal income tax law, U.S. information reporting and backup withholding requirements generally will apply to the proceeds of a disposition of our Class A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only, certain brokers with substantial U.S. ownership or operations will generally be treated in a manner similar to U.S. brokers.</w:t>
      </w:r>
    </w:p>
    <w:p>
      <w:pPr>
        <w:spacing w:after="0" w:line="127"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own tax advisor to determine whether you are able to obtain a tax refund or credit of any overpaid amount.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U.S. federal withholding taxes may apply under the Foreign Account Tax Compliance Act, or FATCA, on certain types of payments, including dividends on our Class A common stock, made to non-U.S. financial institutions and certain other non-U.S. entities. Specifically, a 30% withholding tax may be imposed on dividends on our Class A common stock paid to a “foreign financial institution” or a “non-financial foreign entity” (each as defined in the Code), unless (i) the foreign financial institution agrees to undertake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The 30% federal withholding tax described in this paragraph is not generally subject to reduction under income tax treaties with the United States.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229"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States persons” or “United States-owned foreign entities” (each as defined in the Code), annually report certain information about such accounts, and withhold 30% tax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Although the Code provides that FATCA withholding generally also will apply to payments of gross proceeds from the sale or other disposition of our Class A common stock, proposed U.S. Treasury Regulations have been released that, if finalized in their present form, would eliminate the FATCA withholding of 30% applicable to gross proceeds from sales or other dispositions of our Class A common stock (other than amounts treated dividends). The preamble to the proposed U.S. Treasury Regulations states that taxpayers generally may rely on them until final U.S. Treasury Regulations are issued.</w:t>
      </w:r>
    </w:p>
    <w:p>
      <w:pPr>
        <w:spacing w:after="0" w:line="125"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taxes under FATCA to their investment in our Class A common stock.</w:t>
      </w:r>
    </w:p>
    <w:p>
      <w:pPr>
        <w:spacing w:after="0" w:line="99" w:lineRule="exact"/>
        <w:rPr>
          <w:sz w:val="20"/>
          <w:szCs w:val="20"/>
          <w:color w:val="auto"/>
        </w:rPr>
      </w:pPr>
    </w:p>
    <w:p>
      <w:pPr>
        <w:ind w:right="40" w:firstLine="324"/>
        <w:spacing w:after="0" w:line="282" w:lineRule="auto"/>
        <w:rPr>
          <w:sz w:val="20"/>
          <w:szCs w:val="20"/>
          <w:color w:val="auto"/>
        </w:rPr>
      </w:pPr>
      <w:r>
        <w:rPr>
          <w:rFonts w:ascii="Arial" w:cs="Arial" w:eastAsia="Arial" w:hAnsi="Arial"/>
          <w:sz w:val="17"/>
          <w:szCs w:val="17"/>
          <w:color w:val="auto"/>
        </w:rPr>
        <w:t>EACH PROSPECTIVE INVESTOR SHOULD CONSULT ITS OWN TAX ADVISOR REGARDING THE TAX CONSEQUENCES OF ACQUIRING, OWNING, AND DISPOSING OF OUR CLASS A COMMON STOCK, INCLUDING THE CONSEQUENCES OF ANY PROPOSED CHANGE IN APPLICABLE LAW, AS WELL AS TAX CONSEQUENCES ARISING UNDER ANY STATE, LOCAL, NON-U.S. OR U.S. FEDERAL NON-INCOME TAX LAWS SUCH AS ESTATE AND GIFT TAX, AND THE POSSIBLE APPLICATION OF TAX TREATIES.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229" w:right="3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the selling stockholders and the underwriters named below will enter into an underwriting agreement with respect to the shares of Class A common stock being offered. Subject to certain conditions, each underwriter will severally agree to purchase the number of shares of Class A common stock indicated in the following table. Goldman Sachs &amp; Co. LLC and Citigroup Global Markets Inc. are the representatives of the underwriters.</w:t>
      </w:r>
    </w:p>
    <w:p>
      <w:pPr>
        <w:spacing w:after="0" w:line="186" w:lineRule="exact"/>
        <w:rPr>
          <w:sz w:val="20"/>
          <w:szCs w:val="20"/>
          <w:color w:val="auto"/>
        </w:rPr>
      </w:pPr>
    </w:p>
    <w:p>
      <w:pPr>
        <w:ind w:left="20"/>
        <w:spacing w:after="0"/>
        <w:tabs>
          <w:tab w:leader="none" w:pos="982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BNP Paribas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Citizens JMP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MUFG Securities Americas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Academy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20320</wp:posOffset>
            </wp:positionV>
            <wp:extent cx="9944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63"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The underwriters will be committed to take and pay for all of the shares of Class A common stock being offered, if any are taken, other than the shares of Class A common stock covered by the option described below unless and until this option is exercised.</w:t>
      </w:r>
    </w:p>
    <w:p>
      <w:pPr>
        <w:spacing w:after="0" w:line="9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 underwriters will have an option to buy up to an additional shares of Class A common stock from us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w:t>
      </w:r>
    </w:p>
    <w:p>
      <w:pPr>
        <w:spacing w:after="0" w:line="27"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amounts are shown assuming both no exercise and full exercise of the underwriters’ option to purchase additional shares of our Class A common stock.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No Exercise</w:t>
            </w:r>
          </w:p>
        </w:tc>
        <w:tc>
          <w:tcPr>
            <w:tcW w:w="1560" w:type="dxa"/>
            <w:vAlign w:val="bottom"/>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4"/>
        </w:trPr>
        <w:tc>
          <w:tcPr>
            <w:tcW w:w="8020" w:type="dxa"/>
            <w:vAlign w:val="bottom"/>
            <w:tcBorders>
              <w:top w:val="single" w:sz="8" w:color="CCEEFF"/>
            </w:tcBorders>
            <w:shd w:val="clear" w:color="auto" w:fill="CCEEFF"/>
          </w:tcPr>
          <w:p>
            <w:pPr>
              <w:jc w:val="center"/>
              <w:ind w:right="7070"/>
              <w:spacing w:after="0"/>
              <w:rPr>
                <w:sz w:val="20"/>
                <w:szCs w:val="20"/>
                <w:color w:val="auto"/>
              </w:rPr>
            </w:pPr>
            <w:r>
              <w:rPr>
                <w:rFonts w:ascii="Arial" w:cs="Arial" w:eastAsia="Arial" w:hAnsi="Arial"/>
                <w:sz w:val="18"/>
                <w:szCs w:val="18"/>
                <w:color w:val="auto"/>
              </w:rPr>
              <w:t>Per Share</w:t>
            </w:r>
          </w:p>
        </w:tc>
        <w:tc>
          <w:tcPr>
            <w:tcW w:w="1560" w:type="dxa"/>
            <w:vAlign w:val="bottom"/>
            <w:tcBorders>
              <w:top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9"/>
        </w:trPr>
        <w:tc>
          <w:tcPr>
            <w:tcW w:w="8020" w:type="dxa"/>
            <w:vAlign w:val="bottom"/>
          </w:tcPr>
          <w:p>
            <w:pPr>
              <w:jc w:val="center"/>
              <w:ind w:right="7070"/>
              <w:spacing w:after="0"/>
              <w:rPr>
                <w:sz w:val="20"/>
                <w:szCs w:val="20"/>
                <w:color w:val="auto"/>
              </w:rPr>
            </w:pPr>
            <w:r>
              <w:rPr>
                <w:rFonts w:ascii="Arial" w:cs="Arial" w:eastAsia="Arial" w:hAnsi="Arial"/>
                <w:sz w:val="18"/>
                <w:szCs w:val="18"/>
                <w:color w:val="auto"/>
                <w:w w:val="94"/>
              </w:rPr>
              <w:t>Total</w:t>
            </w: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215"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Shares of Class A common stock sold by the underwriters to the public will initially be offered at the initial public offering price set forth on the cover of this prospectus. Any shares of Class A common stock sold by the underwriters to securities dealers may be sold at a discount of</w:t>
      </w:r>
    </w:p>
    <w:p>
      <w:pPr>
        <w:ind w:right="640"/>
        <w:spacing w:after="0" w:line="258" w:lineRule="auto"/>
        <w:rPr>
          <w:sz w:val="20"/>
          <w:szCs w:val="20"/>
          <w:color w:val="auto"/>
        </w:rPr>
      </w:pPr>
      <w:r>
        <w:rPr>
          <w:rFonts w:ascii="Arial" w:cs="Arial" w:eastAsia="Arial" w:hAnsi="Arial"/>
          <w:sz w:val="18"/>
          <w:szCs w:val="18"/>
          <w:color w:val="auto"/>
        </w:rPr>
        <w:t>up to $ per share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229" w:right="3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all of our directors, executive officers, the selling stockholders, and holders of substantially all of our common stock and securities exercisable for or convertible into shares of our common stock outstanding immediately prior to the completion of this offering have agreed or will agree with the underwriters, subject to certain exceptions, not to dispose of or hedge any shares of our common stock, or any securities convertible into, exchangeable for or that represent the right to receive shares of our common stock during the period from the date of this prospectus through and including the 180th day after the date of this prospectus, or the Lock-Up Period, except with the prior written consent of the representatives. See the section title “Shares Eligible for Future Sale” for a discussion of certain transfer restrictions.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Subject to certain additional limitations, including those relating to public filings required to be or voluntarily made in connection with a</w:t>
      </w:r>
    </w:p>
    <w:p>
      <w:pPr>
        <w:spacing w:after="0" w:line="27" w:lineRule="exact"/>
        <w:rPr>
          <w:sz w:val="20"/>
          <w:szCs w:val="20"/>
          <w:color w:val="auto"/>
        </w:rPr>
      </w:pPr>
    </w:p>
    <w:p>
      <w:pPr>
        <w:spacing w:after="0"/>
        <w:tabs>
          <w:tab w:leader="none" w:pos="7280" w:val="left"/>
        </w:tabs>
        <w:rPr>
          <w:sz w:val="20"/>
          <w:szCs w:val="20"/>
          <w:color w:val="auto"/>
        </w:rPr>
      </w:pPr>
      <w:r>
        <w:rPr>
          <w:rFonts w:ascii="Arial" w:cs="Arial" w:eastAsia="Arial" w:hAnsi="Arial"/>
          <w:sz w:val="18"/>
          <w:szCs w:val="18"/>
          <w:color w:val="auto"/>
        </w:rPr>
        <w:t>transfer, the restrictions contained in the lock-up agreements do not apply to:</w:t>
      </w:r>
      <w:r>
        <w:rPr>
          <w:sz w:val="20"/>
          <w:szCs w:val="20"/>
          <w:color w:val="auto"/>
        </w:rPr>
        <w:tab/>
      </w:r>
      <w:r>
        <w:rPr>
          <w:rFonts w:ascii="Arial" w:cs="Arial" w:eastAsia="Arial" w:hAnsi="Arial"/>
          <w:sz w:val="18"/>
          <w:szCs w:val="18"/>
          <w:color w:val="auto"/>
        </w:rPr>
        <w:t>.</w:t>
      </w:r>
    </w:p>
    <w:p>
      <w:pPr>
        <w:spacing w:after="0" w:line="153"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color w:val="auto"/>
        </w:rPr>
        <w:t>The representatives may, in their discretion, release any of the securities subject to these lockup agreements at any time, subject to applicable notice requirements.</w:t>
      </w:r>
    </w:p>
    <w:p>
      <w:pPr>
        <w:spacing w:after="0" w:line="9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Prior to the offering, there has been no public market for the shares of our Class A common stock. The initial public offering price will be negotiated between us, the selling stockholders and the representatives. Among the factors to be considered in determining the initial public offering price of the shares of Class A common stock,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apply to list our Class A common stock on Nasdaq under the symbol “NAVN.”</w:t>
      </w:r>
    </w:p>
    <w:p>
      <w:pPr>
        <w:spacing w:after="0" w:line="17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31"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7"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20"/>
          </w:cols>
          <w:pgMar w:left="320" w:top="229" w:right="3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17"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We will agree to reimburse the underwriters for expenses in an amount not to exceed $ . We and the selling stockholders will also agree to indemnify the several underwriters against certain liabilities, including liabilities under the Securities Act.</w:t>
      </w:r>
    </w:p>
    <w:p>
      <w:pPr>
        <w:spacing w:after="0" w:line="9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Goldman Sachs Bank USA, an affiliate of Goldman Sachs &amp; Co. LLC, is the administrative agent and a lender under the Warehouse Credit Agreement. Citibank, an affiliate of Citigroup Global Markets Inc., is the administrative agent and a lender under the ABL Facility. In addition, affiliates of BNP Paribas Securities Corp. and Citizens JMP Securities, LLC are lenders under the ABL Facility. Certain of the underwriters and their respective affiliates are our customers or have been customers from time to time and may be customers in the future in arm’s length transactions on market competitive terms.</w:t>
      </w:r>
    </w:p>
    <w:p>
      <w:pPr>
        <w:spacing w:after="0" w:line="12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71"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In relation to each Member State of the European Economic Area, each, a Relevant Member State, an offer to the public of any Class A common stock may not be made in that Relevant Member State, except that an offer to the public in that Relevant Member State of any Class A common stock may be made at any time under the following exemptions under the EU Prospectus Regulation:</w:t>
      </w:r>
    </w:p>
    <w:p>
      <w:pPr>
        <w:spacing w:after="0" w:line="117"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Regulation;</w:t>
      </w:r>
    </w:p>
    <w:p>
      <w:pPr>
        <w:spacing w:after="0" w:line="171" w:lineRule="exact"/>
        <w:rPr>
          <w:rFonts w:ascii="Arial" w:cs="Arial" w:eastAsia="Arial" w:hAnsi="Arial"/>
          <w:sz w:val="18"/>
          <w:szCs w:val="18"/>
          <w:color w:val="auto"/>
        </w:rPr>
      </w:pPr>
    </w:p>
    <w:p>
      <w:pPr>
        <w:ind w:left="660" w:right="100" w:hanging="328"/>
        <w:spacing w:after="0" w:line="287" w:lineRule="auto"/>
        <w:tabs>
          <w:tab w:leader="none" w:pos="6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EU Prospectus Regulation), subject to obtaining the prior consent of the joint book-running managers for any such offer; or</w:t>
      </w:r>
    </w:p>
    <w:p>
      <w:pPr>
        <w:spacing w:after="0" w:line="98" w:lineRule="exact"/>
        <w:rPr>
          <w:rFonts w:ascii="Arial" w:cs="Arial" w:eastAsia="Arial" w:hAnsi="Arial"/>
          <w:sz w:val="18"/>
          <w:szCs w:val="18"/>
          <w:color w:val="auto"/>
        </w:rPr>
      </w:pPr>
    </w:p>
    <w:p>
      <w:pPr>
        <w:ind w:left="640" w:hanging="308"/>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171"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provided that no such offer of the shares of Class A common stock shall require us or any underwriter to publish a prospectus pursuant to Article 3 of the Prospectus Regulation or a supplemental prospectus pursuant to Article 23 of the Prospectus Regulation.</w:t>
      </w:r>
    </w:p>
    <w:p>
      <w:pPr>
        <w:spacing w:after="0" w:line="99"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Each person in a Relevant Member State who initially acquires any shares of Class A common stock or to whom any offer is made will be deemed to have represented, warranted and agreed to and with each of the underwriters and their affiliates and us that:</w:t>
      </w:r>
    </w:p>
    <w:p>
      <w:pPr>
        <w:spacing w:after="0" w:line="99"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it is a qualified investor within the meaning of Article 2 of the EU Prospectus Regulation.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199</w:t>
      </w:r>
    </w:p>
    <w:p>
      <w:pPr>
        <w:sectPr>
          <w:pgSz w:w="11900" w:h="16838" w:orient="portrait"/>
          <w:cols w:equalWidth="0" w:num="1">
            <w:col w:w="11200"/>
          </w:cols>
          <w:pgMar w:left="320" w:top="229" w:right="37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 w:hanging="328"/>
        <w:spacing w:after="0" w:line="255" w:lineRule="auto"/>
        <w:tabs>
          <w:tab w:leader="none" w:pos="6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the case of any shares of Class A common stock being offered to a financial intermediary, as that term is used in Article 5(1) of the EU Prospectus Regulation, (i) the shares of Class A common stock acquired by it in the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Prospectus Regulation and the prior consent of the underwriters has been given to the offer or resale; or (ii) where the shares of Class A common stock have been acquired by it on behalf of persons in any Relevant Member State other than qualified investors, the offer of those shares of Class A common stock to it is not treated under the Prospectus Regulation as having been made to such persons.</w:t>
      </w:r>
    </w:p>
    <w:p>
      <w:pPr>
        <w:spacing w:after="0" w:line="131"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the underwriters and their affiliates, and others will rely upon the truth and accuracy of the foregoing representation, acknowledgement and agreement. Notwithstanding the above, a person who is not a qualified investor and who has notified the joint book-running managers of such fact in writing may, with the prior consent of the joint book-running managers, be permitted to acquire shares of Class A common stock in this offering.</w:t>
      </w:r>
    </w:p>
    <w:p>
      <w:pPr>
        <w:spacing w:after="0" w:line="122"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any Relevant Member State means the communication in any form and by any means of sufficient information on the terms of the offer and any shared of Class A common stock to be offered so as to enable an investor to decide to purchase or subscribe for any shares of Class A common stock, and the expression "EU Prospectus Regulation" means Regulation (EU) 2017/1129.</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71"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An offer to the public of any Class A common stock may not be made in the United Kingdom, except that an offer to the public in the United Kingdom of any Class A common stock may be made at any time under the following exemptions under the UK Prospectus Regulation:</w:t>
      </w:r>
    </w:p>
    <w:p>
      <w:pPr>
        <w:spacing w:after="0" w:line="117"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71" w:lineRule="exact"/>
        <w:rPr>
          <w:rFonts w:ascii="Arial" w:cs="Arial" w:eastAsia="Arial" w:hAnsi="Arial"/>
          <w:sz w:val="18"/>
          <w:szCs w:val="18"/>
          <w:color w:val="auto"/>
        </w:rPr>
      </w:pPr>
    </w:p>
    <w:p>
      <w:pPr>
        <w:ind w:left="660" w:right="140" w:hanging="328"/>
        <w:spacing w:after="0" w:line="287" w:lineRule="auto"/>
        <w:tabs>
          <w:tab w:leader="none" w:pos="6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98" w:lineRule="exact"/>
        <w:rPr>
          <w:rFonts w:ascii="Arial" w:cs="Arial" w:eastAsia="Arial" w:hAnsi="Arial"/>
          <w:sz w:val="18"/>
          <w:szCs w:val="18"/>
          <w:color w:val="auto"/>
        </w:rPr>
      </w:pPr>
    </w:p>
    <w:p>
      <w:pPr>
        <w:ind w:left="640" w:hanging="308"/>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or, as amended, the FSMA,</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provided that no such offer of the shares of Class A common stock shall require us and/or any underwriter or any of their affiliates to publish a prospectus pursuant to section 85 of the FSMA or supplement a prospectus pursuant to Article 23 of the UK Prospectus Regulation and each person who initially acquires any shares of Class A common stock or to whom any offer is made will be deemed to have represented, warranted and agreed to and with us and each of the underwriters and their affiliates that it is a qualified investor within the meaning of Article 2 of the UK Prospectus Regulation.</w:t>
      </w:r>
    </w:p>
    <w:p>
      <w:pPr>
        <w:spacing w:after="0" w:line="1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320" w:top="229" w:right="3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We, the underwriters and their affiliates will rely upon the truth and accuracy of the foregoing representations, acknowledgements, and agreements. Notwithstanding the above, a person who is not a "qualified investor" and who has notified the underwriters of such fact in writing may, with the prior consent of the underwriters, be permitted to acquire shares in the offer.</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the United Kingdom means the communication in any form and by any means of sufficient information on the terms of the offering and any shares of Class A common stock to be offered so as to enable an investor to decide to purchase or subscribe for any such shares, and the expression “UK Prospectus Regulation” means Regulation (EU) 2017/1129 as it forms part of domestic law by virtue of the European Union (Withdrawal) Act 2018.</w:t>
      </w:r>
    </w:p>
    <w:p>
      <w:pPr>
        <w:spacing w:after="0" w:line="1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(A) qualified investors who are also (i) persons having professional experience in matters relating to investments who fall within the definition of investment professionals in Article 19(5) of the Financial Services and Markets Act 2000 (Financial Promotion) Order 2005, or the FPO; or (ii) high net worth entities falling within Article 49(2)(a) to (d) of the FPO; (B) persons who are outside the United Kingdom; or (C)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7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71"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229" w:right="3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Class A common stock which are or are intended to be disposed of only to persons outside Hong Kong or only to “professional investors” in Hong Kong as defined in the Securities and Futures Ordinance and any rules made thereunder.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3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2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of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80"/>
          </w:cols>
          <w:pgMar w:left="320" w:top="229" w:right="39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shares of Class A common stock have not been and will not be registered under the Financial Instruments and Exchange Act of Japan (Act No. 25 of 1948, as amended), or the FIEA. The shares of Class A common stock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7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shares of Class A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and the offer of shares of Class A common stock has not been and will not be authorized under the Swiss Federal Act on Collective Investment Schemes, or the CISA. The investor protection afforded to acquirers of interests in collective investment schemes under the CISA does not extend to acquirers of shares of Class A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71"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22" w:lineRule="exact"/>
        <w:rPr>
          <w:sz w:val="20"/>
          <w:szCs w:val="20"/>
          <w:color w:val="auto"/>
        </w:rPr>
      </w:pPr>
    </w:p>
    <w:p>
      <w:pPr>
        <w:ind w:right="140" w:firstLine="324"/>
        <w:spacing w:after="0" w:line="282" w:lineRule="auto"/>
        <w:rPr>
          <w:sz w:val="20"/>
          <w:szCs w:val="20"/>
          <w:color w:val="auto"/>
        </w:rPr>
      </w:pPr>
      <w:r>
        <w:rPr>
          <w:rFonts w:ascii="Arial" w:cs="Arial" w:eastAsia="Arial" w:hAnsi="Arial"/>
          <w:sz w:val="17"/>
          <w:szCs w:val="17"/>
          <w:color w:val="auto"/>
        </w:rPr>
        <w:t>Any offer in Australia of the shares of Class A common stock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0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Class A common stock must observe such Australian on-sale restrictions.</w:t>
      </w:r>
    </w:p>
    <w:p>
      <w:pPr>
        <w:spacing w:after="0" w:line="1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229" w:right="3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7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Class A common stock to which this prospectus relates may be illiquid and/or subject to restrictions on their resale. Prospective purchasers of the shares of Class A common stock should conduct their own due diligence on such shares. If you do not understand the contents of this prospectus, you should consult an authorized financial advisor.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State of Israel this prospectus shall not be regarded as an offer to the public to purchase shares of our Class A common stock under the Israeli Securities Law, 5728 – 1968, or the Israeli Securities Law, which requires a prospectus to be published and authorized by the Israel Securities Authority if it complies with certain provisions of Section 15 of the Israeli Securities Law,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We have not and will not distribute this prospectus or make, distribute or direct an offer to subscribe for our shares of Class A common stock to any person within the State of Israel, other than to Qualified Investors and up to 35 Addressed Investors.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Qualified Investors may have to submit written evidence that they meet the definitions set out in the First Addendum to the Israeli Securities Law. In particular, we may request, as a condition to be offered shares of our Class A common stock, that Qualified Investors will each represent, warrant and certify to us and/or to anyone acting on our behalf: (i) that it is an investor falling within one of the categories listed in the First Addendum to the Israeli Securities Law; (ii) which of the categories listed in the First Addendum to the Israeli Securities Law regarding Qualified Investors is applicable to it; (iii) that it will abide by all provisions set forth in the Israeli Securities Law and the regulations promulgated thereunder in connection with the offer to be issued shares of our Class A common stock; (iv) that the shares of our Class A common stock that it will be issued are subject to exemptions available under the Israeli Securities Law (a) for its own account, (b) for investment purposes only and (c) not issued with a view to resale within the State of Israel, other than in accordance with the provisions of the Israeli Securities Law;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17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229" w:right="3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13 JULY 2022, AS AMENDED, OR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0780"/>
          </w:cols>
          <w:pgMar w:left="320" w:top="229" w:right="79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1"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Cooley LLP, Palo Alto, California, which has acted as our counsel in connection with this offering, will pass upon the validity of the issuance of the shares of our Class A common stock offered by this prospectus. Fenwick &amp; West LLP, Mountain View, California is acting as counsel to the underwriters. As of the date of this prospectus, individuals and entities associated with Fenwick &amp; West LLP beneficially own an aggregate of 864,048 shares of our Class A common stock.</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financial statements as of January 31, 2025 and 2024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INDEPENDENT REGISTERED PUBLIC ACCOUNTING FIRM</w:t>
      </w:r>
    </w:p>
    <w:p>
      <w:pPr>
        <w:spacing w:after="0" w:line="171" w:lineRule="exact"/>
        <w:rPr>
          <w:sz w:val="20"/>
          <w:szCs w:val="20"/>
          <w:color w:val="auto"/>
        </w:rPr>
      </w:pPr>
    </w:p>
    <w:p>
      <w:pPr>
        <w:jc w:val="both"/>
        <w:ind w:right="780" w:firstLine="324"/>
        <w:spacing w:after="0" w:line="268" w:lineRule="auto"/>
        <w:rPr>
          <w:sz w:val="20"/>
          <w:szCs w:val="20"/>
          <w:color w:val="auto"/>
        </w:rPr>
      </w:pPr>
      <w:r>
        <w:rPr>
          <w:rFonts w:ascii="Arial" w:cs="Arial" w:eastAsia="Arial" w:hAnsi="Arial"/>
          <w:sz w:val="18"/>
          <w:szCs w:val="18"/>
          <w:color w:val="auto"/>
        </w:rPr>
        <w:t>On August 5, 2024, we dismissed Deloitte &amp; Touche LLP, or Deloitte, as our independent auditors. On September 18, 2024, we appointed PricewaterhouseCoopers LLP, or PwC, as our independent registered public accounting firm. The decision to change our independent registered public accounting firm was approved by our audit committee of our board of directors.</w:t>
      </w:r>
    </w:p>
    <w:p>
      <w:pPr>
        <w:spacing w:after="0" w:line="117"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Deloitte’s report on our consolidated financial statements as of and for the fiscal year ended January 31, 2023 did not contain any adverse opinion or disclaimer of opinion, nor was it qualified or modified as to uncertainty, audit scope, or accounting principles. Deloitte did not issue a report on our audited financial statements for the fiscal year ended January 31, 2024.</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the fiscal years ended January 31, 2023 and January 31, 2024 and the subsequent interim period through August 5, 2024, we had no disagreements with Deloitte on any matter of accounting principles or practices, financial statement disclosure, or auditing scope or procedure, which disagreements, if not resolved to its satisfaction, would have caused Deloitte to make reference in connection with its opinion to the subject matter of the disagreement. During the fiscal years ended January 31, 2023 and January 31, 2024 and the subsequent interim period through August 5, 2024, there were no “reportable events” as such term is defined in Item 304(a)(1)(v) of Regulation S-K, except that Deloitte advised us of the following material weakness: the lack of established internal controls and procedures and an insufficient number of accounting and finance personnel possessing the necessary GAAP technical expertise at our R&amp;M subsidiary, including controls and procedures to ensure (1) journal entries are properly reviewed and approved, and (2) compliance with GAAP, specifically as it relates to accounting for revenue.</w:t>
      </w:r>
    </w:p>
    <w:p>
      <w:pPr>
        <w:spacing w:after="0" w:line="127"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This reportable event was discussed between our audit committee and Deloitte. Deloitte has been authorized by us to respond fully to the inquiries of PwC concerning these reportable events. For additional details regarding this material weakness, including its remediation, and risks relating to our internal control over financial reporting, refer to the section titled “Risk Factors—Risks Related to Financial and Accounting Matters—The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129" w:lineRule="exact"/>
        <w:rPr>
          <w:sz w:val="20"/>
          <w:szCs w:val="20"/>
          <w:color w:val="auto"/>
        </w:rPr>
      </w:pPr>
    </w:p>
    <w:p>
      <w:pPr>
        <w:jc w:val="both"/>
        <w:ind w:right="240" w:firstLine="324"/>
        <w:spacing w:after="0" w:line="268" w:lineRule="auto"/>
        <w:rPr>
          <w:sz w:val="20"/>
          <w:szCs w:val="20"/>
          <w:color w:val="auto"/>
        </w:rPr>
      </w:pPr>
      <w:r>
        <w:rPr>
          <w:rFonts w:ascii="Arial" w:cs="Arial" w:eastAsia="Arial" w:hAnsi="Arial"/>
          <w:sz w:val="18"/>
          <w:szCs w:val="18"/>
          <w:color w:val="auto"/>
        </w:rPr>
        <w:t>We provided Deloitte with a copy of the foregoing disclosures and requested that Deloitte furnish a letter addressed to the SEC stating whether or not Deloitte agrees with the statements made herein, as specified by Item 304(a)(3) of Regulation S-K. See Exhibit 16.1 to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229" w:right="3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During the fiscal years ended January 31, 2023 and January 31, 2024 and subsequent interim period through September 18, 2024, neither we, nor anyone acting on our behalf, consulted with PwC on matters that involved the application of accounting principles to a specified transaction, either completed or proposed, the type of audit opinion that might be rendered on our financial statements,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filed therewith. For further information about us and our Class A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w:t>
      </w:r>
    </w:p>
    <w:p>
      <w:pPr>
        <w:spacing w:after="0" w:line="12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Upon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w:t>
      </w:r>
    </w:p>
    <w:p>
      <w:pPr>
        <w:spacing w:after="0" w:line="117"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We also maintain a website at www.navan.com. Upon the completion of this offering,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229" w:right="3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036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Navan, Inc. and Subsidiaries</w:t>
            </w: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0360" w:type="dxa"/>
            <w:vAlign w:val="bottom"/>
            <w:gridSpan w:val="9"/>
            <w:vMerge w:val="continue"/>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60" w:type="dxa"/>
            <w:vAlign w:val="bottom"/>
            <w:gridSpan w:val="9"/>
          </w:tcPr>
          <w:p>
            <w:pPr>
              <w:spacing w:after="0"/>
              <w:rPr>
                <w:sz w:val="20"/>
                <w:szCs w:val="20"/>
                <w:color w:val="auto"/>
              </w:rPr>
            </w:pPr>
            <w:r>
              <w:rPr>
                <w:rFonts w:ascii="Arial" w:cs="Arial" w:eastAsia="Arial" w:hAnsi="Arial"/>
                <w:sz w:val="18"/>
                <w:szCs w:val="18"/>
                <w:color w:val="auto"/>
              </w:rPr>
              <w:t>Consolidated Financial Statements as of and for the Years Ended January 31, 2025 and 2024</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0140" w:type="dxa"/>
            <w:vAlign w:val="bottom"/>
            <w:gridSpan w:val="8"/>
          </w:tcPr>
          <w:p>
            <w:pPr>
              <w:spacing w:after="0" w:line="195" w:lineRule="exact"/>
              <w:rPr>
                <w:sz w:val="20"/>
                <w:szCs w:val="20"/>
                <w:color w:val="auto"/>
              </w:rPr>
            </w:pPr>
            <w:r>
              <w:rPr>
                <w:rFonts w:ascii="Arial" w:cs="Arial" w:eastAsia="Arial" w:hAnsi="Arial"/>
                <w:sz w:val="18"/>
                <w:szCs w:val="18"/>
                <w:color w:val="0000FF"/>
              </w:rPr>
              <w:t>Report of Independent Registered Public Accounting Firm</w:t>
            </w:r>
          </w:p>
        </w:tc>
        <w:tc>
          <w:tcPr>
            <w:tcW w:w="860" w:type="dxa"/>
            <w:vAlign w:val="bottom"/>
            <w:gridSpan w:val="3"/>
          </w:tcPr>
          <w:p>
            <w:pPr>
              <w:ind w:left="580"/>
              <w:spacing w:after="0" w:line="195" w:lineRule="exact"/>
              <w:rPr>
                <w:sz w:val="20"/>
                <w:szCs w:val="20"/>
                <w:color w:val="auto"/>
              </w:rPr>
            </w:pPr>
            <w:r>
              <w:rPr>
                <w:rFonts w:ascii="Arial" w:cs="Arial" w:eastAsia="Arial" w:hAnsi="Arial"/>
                <w:sz w:val="18"/>
                <w:szCs w:val="18"/>
                <w:color w:val="0000FF"/>
                <w:w w:val="96"/>
              </w:rPr>
              <w:t>F-2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600" w:type="dxa"/>
            <w:vAlign w:val="bottom"/>
            <w:gridSpan w:val="6"/>
          </w:tcPr>
          <w:p>
            <w:pPr>
              <w:spacing w:after="0"/>
              <w:rPr>
                <w:sz w:val="20"/>
                <w:szCs w:val="20"/>
                <w:color w:val="auto"/>
              </w:rPr>
            </w:pPr>
            <w:r>
              <w:rPr>
                <w:rFonts w:ascii="Arial" w:cs="Arial" w:eastAsia="Arial" w:hAnsi="Arial"/>
                <w:sz w:val="18"/>
                <w:szCs w:val="18"/>
                <w:color w:val="0000FF"/>
              </w:rPr>
              <w:t>Consolidated Balance Sheets</w:t>
            </w:r>
          </w:p>
        </w:tc>
        <w:tc>
          <w:tcPr>
            <w:tcW w:w="5540" w:type="dxa"/>
            <w:vAlign w:val="bottom"/>
            <w:gridSpan w:val="2"/>
          </w:tcPr>
          <w:p>
            <w:pPr>
              <w:spacing w:after="0"/>
              <w:rPr>
                <w:sz w:val="18"/>
                <w:szCs w:val="18"/>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0000FF"/>
                <w:w w:val="96"/>
              </w:rPr>
              <w:t>F-3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14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w:t>
            </w:r>
          </w:p>
        </w:tc>
        <w:tc>
          <w:tcPr>
            <w:tcW w:w="860" w:type="dxa"/>
            <w:vAlign w:val="bottom"/>
            <w:gridSpan w:val="3"/>
          </w:tcPr>
          <w:p>
            <w:pPr>
              <w:ind w:left="580"/>
              <w:spacing w:after="0"/>
              <w:rPr>
                <w:sz w:val="20"/>
                <w:szCs w:val="20"/>
                <w:color w:val="auto"/>
              </w:rPr>
            </w:pPr>
            <w:r>
              <w:rPr>
                <w:rFonts w:ascii="Arial" w:cs="Arial" w:eastAsia="Arial" w:hAnsi="Arial"/>
                <w:sz w:val="18"/>
                <w:szCs w:val="18"/>
                <w:color w:val="0000FF"/>
                <w:w w:val="96"/>
              </w:rPr>
              <w:t>F-4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960" w:type="dxa"/>
            <w:vAlign w:val="bottom"/>
            <w:gridSpan w:val="5"/>
          </w:tcPr>
          <w:p>
            <w:pPr>
              <w:spacing w:after="0"/>
              <w:rPr>
                <w:sz w:val="20"/>
                <w:szCs w:val="20"/>
                <w:color w:val="auto"/>
              </w:rPr>
            </w:pPr>
            <w:r>
              <w:rPr>
                <w:rFonts w:ascii="Arial" w:cs="Arial" w:eastAsia="Arial" w:hAnsi="Arial"/>
                <w:sz w:val="18"/>
                <w:szCs w:val="18"/>
                <w:color w:val="0000FF"/>
                <w:w w:val="99"/>
              </w:rPr>
              <w:t>Consolidated Statements of Comprehensive Loss</w:t>
            </w:r>
          </w:p>
        </w:tc>
        <w:tc>
          <w:tcPr>
            <w:tcW w:w="6180" w:type="dxa"/>
            <w:vAlign w:val="bottom"/>
            <w:gridSpan w:val="3"/>
          </w:tcPr>
          <w:p>
            <w:pPr>
              <w:spacing w:after="0"/>
              <w:rPr>
                <w:sz w:val="18"/>
                <w:szCs w:val="18"/>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0000FF"/>
                <w:w w:val="96"/>
              </w:rPr>
              <w:t>F-5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7580" w:type="dxa"/>
            <w:vAlign w:val="bottom"/>
            <w:gridSpan w:val="7"/>
          </w:tcPr>
          <w:p>
            <w:pPr>
              <w:spacing w:after="0"/>
              <w:rPr>
                <w:sz w:val="20"/>
                <w:szCs w:val="20"/>
                <w:color w:val="auto"/>
              </w:rPr>
            </w:pPr>
            <w:r>
              <w:rPr>
                <w:rFonts w:ascii="Arial" w:cs="Arial" w:eastAsia="Arial" w:hAnsi="Arial"/>
                <w:sz w:val="18"/>
                <w:szCs w:val="18"/>
                <w:color w:val="0000FF"/>
                <w:w w:val="99"/>
              </w:rPr>
              <w:t>Consolidated Statements of Redeemable Convertible Preferred Stock and Stockholders’ Deficit</w:t>
            </w:r>
          </w:p>
        </w:tc>
        <w:tc>
          <w:tcPr>
            <w:tcW w:w="2560" w:type="dxa"/>
            <w:vAlign w:val="bottom"/>
          </w:tcPr>
          <w:p>
            <w:pPr>
              <w:spacing w:after="0"/>
              <w:rPr>
                <w:sz w:val="18"/>
                <w:szCs w:val="18"/>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0000FF"/>
                <w:w w:val="96"/>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758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w:t>
            </w:r>
          </w:p>
        </w:tc>
        <w:tc>
          <w:tcPr>
            <w:tcW w:w="2560" w:type="dxa"/>
            <w:vAlign w:val="bottom"/>
          </w:tcPr>
          <w:p>
            <w:pPr>
              <w:spacing w:after="0"/>
              <w:rPr>
                <w:sz w:val="18"/>
                <w:szCs w:val="18"/>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0000FF"/>
                <w:w w:val="96"/>
              </w:rPr>
              <w:t>F-7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14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860" w:type="dxa"/>
            <w:vAlign w:val="bottom"/>
            <w:gridSpan w:val="3"/>
          </w:tcPr>
          <w:p>
            <w:pPr>
              <w:ind w:left="580"/>
              <w:spacing w:after="0"/>
              <w:rPr>
                <w:sz w:val="20"/>
                <w:szCs w:val="20"/>
                <w:color w:val="auto"/>
              </w:rPr>
            </w:pPr>
            <w:r>
              <w:rPr>
                <w:rFonts w:ascii="Arial" w:cs="Arial" w:eastAsia="Arial" w:hAnsi="Arial"/>
                <w:sz w:val="18"/>
                <w:szCs w:val="18"/>
                <w:color w:val="0000FF"/>
                <w:w w:val="96"/>
              </w:rPr>
              <w:t>F-9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242" w:right="3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140" w:firstLine="3132"/>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Navan, Inc. </w:t>
      </w:r>
      <w:r>
        <w:rPr>
          <w:rFonts w:ascii="Arial" w:cs="Arial" w:eastAsia="Arial" w:hAnsi="Arial"/>
          <w:sz w:val="18"/>
          <w:szCs w:val="18"/>
          <w:b w:val="1"/>
          <w:bCs w:val="1"/>
          <w:i w:val="1"/>
          <w:iCs w:val="1"/>
          <w:color w:val="auto"/>
        </w:rPr>
        <w:t>Opinion on the Financial Statements</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audited the accompanying consolidated balance sheets of Navan, Inc. and its subsidiaries (the “Company”) as of January 31, 2025 and 2024, and the related consolidated statements of operations, of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2025 and 2024, and the results of its operations and its cash flows for the years then ended in conformity with accounting principles generally accepted in the United States of America.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69"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April 30, 2025, except for the disaggregated usage-based and subscription revenue information included in Note 2 to the consolidated financial statements, as to which the date is July 25,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229"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 and share amounts)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166,421</w:t>
            </w:r>
          </w:p>
        </w:tc>
        <w:tc>
          <w:tcPr>
            <w:tcW w:w="0" w:type="dxa"/>
            <w:vAlign w:val="bottom"/>
          </w:tcPr>
          <w:p>
            <w:pPr>
              <w:spacing w:after="0"/>
              <w:rPr>
                <w:sz w:val="1"/>
                <w:szCs w:val="1"/>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Restricted cash, current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148,157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95,961</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158,355</w:t>
            </w:r>
          </w:p>
        </w:tc>
        <w:tc>
          <w:tcPr>
            <w:tcW w:w="0" w:type="dxa"/>
            <w:vAlign w:val="bottom"/>
          </w:tcPr>
          <w:p>
            <w:pPr>
              <w:spacing w:after="0"/>
              <w:rPr>
                <w:sz w:val="1"/>
                <w:szCs w:val="1"/>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Corporate card receivables,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157,755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224,278</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Contract acquisition costs, 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35,628</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34,664</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688,852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682,563</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4,766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acquisition costs, non-current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48,006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45,877</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equipment and software,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31,183</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55,633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61,012</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220,541</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21,246</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19,794</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1,083,954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1,066,017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42,829</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24,320</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127,242</w:t>
            </w:r>
          </w:p>
        </w:tc>
        <w:tc>
          <w:tcPr>
            <w:tcW w:w="0" w:type="dxa"/>
            <w:vAlign w:val="bottom"/>
          </w:tcPr>
          <w:p>
            <w:pPr>
              <w:spacing w:after="0"/>
              <w:rPr>
                <w:sz w:val="1"/>
                <w:szCs w:val="1"/>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Notes payable, current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175,913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loan facility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Operating lease liabilities, current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5,734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revenue, current</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27,794</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446,026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187,684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45,258</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Convertible notes,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182,394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154,687</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Embedded derivative liability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72,150</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Warehouse credit facility</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214,238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206,404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 non-current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159,170</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21,184</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969,732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846,867</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13)</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20"/>
              <w:spacing w:after="0" w:line="162" w:lineRule="exact"/>
              <w:rPr>
                <w:sz w:val="20"/>
                <w:szCs w:val="20"/>
                <w:color w:val="auto"/>
              </w:rPr>
            </w:pPr>
            <w:r>
              <w:rPr>
                <w:rFonts w:ascii="Arial" w:cs="Arial" w:eastAsia="Arial" w:hAnsi="Arial"/>
                <w:sz w:val="16"/>
                <w:szCs w:val="16"/>
                <w:color w:val="auto"/>
              </w:rPr>
              <w:t>Redeemable convertible preferred stock, par value $0.00000625; 471,082,741 shares authorized; 439,080,808</w:t>
            </w:r>
          </w:p>
        </w:tc>
        <w:tc>
          <w:tcPr>
            <w:tcW w:w="3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1,301,121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1,301,121</w:t>
            </w:r>
          </w:p>
        </w:tc>
        <w:tc>
          <w:tcPr>
            <w:tcW w:w="0" w:type="dxa"/>
            <w:vAlign w:val="bottom"/>
          </w:tcPr>
          <w:p>
            <w:pPr>
              <w:spacing w:after="0"/>
              <w:rPr>
                <w:sz w:val="1"/>
                <w:szCs w:val="1"/>
                <w:color w:val="auto"/>
              </w:rPr>
            </w:pPr>
          </w:p>
        </w:tc>
      </w:tr>
      <w:tr>
        <w:trPr>
          <w:trHeight w:val="215"/>
        </w:trPr>
        <w:tc>
          <w:tcPr>
            <w:tcW w:w="7980" w:type="dxa"/>
            <w:vAlign w:val="bottom"/>
          </w:tcPr>
          <w:p>
            <w:pPr>
              <w:ind w:left="260"/>
              <w:spacing w:after="0"/>
              <w:rPr>
                <w:sz w:val="20"/>
                <w:szCs w:val="20"/>
                <w:color w:val="auto"/>
              </w:rPr>
            </w:pPr>
            <w:r>
              <w:rPr>
                <w:rFonts w:ascii="Arial" w:cs="Arial" w:eastAsia="Arial" w:hAnsi="Arial"/>
                <w:sz w:val="16"/>
                <w:szCs w:val="16"/>
                <w:color w:val="auto"/>
              </w:rPr>
              <w:t>issued and outstanding (aggregate liquidation preference of $1,301,402)</w:t>
            </w:r>
          </w:p>
        </w:tc>
        <w:tc>
          <w:tcPr>
            <w:tcW w:w="3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deficit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260"/>
              <w:spacing w:after="0" w:line="162" w:lineRule="exact"/>
              <w:rPr>
                <w:sz w:val="20"/>
                <w:szCs w:val="20"/>
                <w:color w:val="auto"/>
              </w:rPr>
            </w:pPr>
            <w:r>
              <w:rPr>
                <w:rFonts w:ascii="Arial" w:cs="Arial" w:eastAsia="Arial" w:hAnsi="Arial"/>
                <w:sz w:val="16"/>
                <w:szCs w:val="16"/>
                <w:color w:val="auto"/>
              </w:rPr>
              <w:t>Common stock, par value $0.00000625 per share; 761,757,000 shares authorized, 137,352,259 and</w:t>
            </w:r>
          </w:p>
        </w:tc>
        <w:tc>
          <w:tcPr>
            <w:tcW w:w="3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7980" w:type="dxa"/>
            <w:vAlign w:val="bottom"/>
          </w:tcPr>
          <w:p>
            <w:pPr>
              <w:ind w:left="520"/>
              <w:spacing w:after="0"/>
              <w:rPr>
                <w:sz w:val="20"/>
                <w:szCs w:val="20"/>
                <w:color w:val="auto"/>
              </w:rPr>
            </w:pPr>
            <w:r>
              <w:rPr>
                <w:rFonts w:ascii="Arial" w:cs="Arial" w:eastAsia="Arial" w:hAnsi="Arial"/>
                <w:sz w:val="16"/>
                <w:szCs w:val="16"/>
                <w:color w:val="auto"/>
              </w:rPr>
              <w:t>135,354,278 shares issued and outstanding as of January 31, 2025 and 2024, respectively</w:t>
            </w:r>
          </w:p>
        </w:tc>
        <w:tc>
          <w:tcPr>
            <w:tcW w:w="3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467,835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382,356</w:t>
            </w:r>
          </w:p>
        </w:tc>
        <w:tc>
          <w:tcPr>
            <w:tcW w:w="0" w:type="dxa"/>
            <w:vAlign w:val="bottom"/>
          </w:tcPr>
          <w:p>
            <w:pPr>
              <w:spacing w:after="0"/>
              <w:rPr>
                <w:sz w:val="1"/>
                <w:szCs w:val="1"/>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(1,617,113)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(1,436,035)</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(28,293)</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deficit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(1,186,899)</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(1,081,971)</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1,083,954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1,066,017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2"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6"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402,256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162,622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239,634</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132,442</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220,511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133,023</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485,976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(246,342)</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(75,997)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(63,281)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Gain (loss) on fair value adjustments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(326,124)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(331,552)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Weighted-average shares outstanding used to compute net loss per share attributable to common</w:t>
            </w:r>
          </w:p>
        </w:tc>
        <w:tc>
          <w:tcPr>
            <w:tcW w:w="3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135,818,454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133,754,772</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w:t>
            </w: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22"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(324,941)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22"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2"/>
                <w:szCs w:val="12"/>
                <w:color w:val="auto"/>
              </w:rPr>
            </w:pPr>
          </w:p>
        </w:tc>
        <w:tc>
          <w:tcPr>
            <w:tcW w:w="760" w:type="dxa"/>
            <w:vAlign w:val="bottom"/>
          </w:tcPr>
          <w:p>
            <w:pPr>
              <w:jc w:val="center"/>
              <w:ind w:right="5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820" w:type="dxa"/>
            <w:vAlign w:val="bottom"/>
            <w:gridSpan w:val="4"/>
          </w:tcPr>
          <w:p>
            <w:pPr>
              <w:jc w:val="right"/>
              <w:spacing w:after="0" w:line="122" w:lineRule="exact"/>
              <w:rPr>
                <w:sz w:val="20"/>
                <w:szCs w:val="20"/>
                <w:color w:val="auto"/>
              </w:rPr>
            </w:pPr>
            <w:r>
              <w:rPr>
                <w:rFonts w:ascii="Arial" w:cs="Arial" w:eastAsia="Arial" w:hAnsi="Arial"/>
                <w:sz w:val="11"/>
                <w:szCs w:val="11"/>
                <w:b w:val="1"/>
                <w:bCs w:val="1"/>
                <w:color w:val="auto"/>
                <w:w w:val="98"/>
              </w:rPr>
              <w:t>Redeemable Convertible Preferred</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3"/>
            <w:vMerge w:val="restart"/>
          </w:tcPr>
          <w:p>
            <w:pPr>
              <w:jc w:val="right"/>
              <w:ind w:right="21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4"/>
              </w:rPr>
              <w:t>paid-in</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8"/>
              </w:rPr>
              <w:t>Accumulated</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9"/>
              </w:rPr>
              <w:t>comprehensive</w:t>
            </w:r>
          </w:p>
        </w:tc>
        <w:tc>
          <w:tcPr>
            <w:tcW w:w="8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Stock</w:t>
            </w:r>
          </w:p>
        </w:tc>
        <w:tc>
          <w:tcPr>
            <w:tcW w:w="70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right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5"/>
              <w:spacing w:after="0"/>
              <w:rPr>
                <w:sz w:val="20"/>
                <w:szCs w:val="20"/>
                <w:color w:val="auto"/>
              </w:rPr>
            </w:pPr>
            <w:r>
              <w:rPr>
                <w:rFonts w:ascii="Arial" w:cs="Arial" w:eastAsia="Arial" w:hAnsi="Arial"/>
                <w:sz w:val="11"/>
                <w:szCs w:val="11"/>
                <w:b w:val="1"/>
                <w:bCs w:val="1"/>
                <w:color w:val="auto"/>
                <w:w w:val="97"/>
              </w:rPr>
              <w:t>capital</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1"/>
                <w:szCs w:val="11"/>
                <w:b w:val="1"/>
                <w:bCs w:val="1"/>
                <w:color w:val="auto"/>
                <w:w w:val="98"/>
              </w:rPr>
              <w:t>deficit</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8"/>
              </w:rPr>
              <w:t>income (loss)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w w:val="98"/>
              </w:rPr>
              <w:t>deficit</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January 31, 2023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439,080,808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1,301,121</w:t>
            </w:r>
          </w:p>
        </w:tc>
        <w:tc>
          <w:tcPr>
            <w:tcW w:w="100" w:type="dxa"/>
            <w:vAlign w:val="bottom"/>
            <w:tcBorders>
              <w:right w:val="single" w:sz="8" w:color="auto"/>
            </w:tcBorders>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132,888,550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298,663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(1,104,483)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(840,723)</w:t>
            </w:r>
          </w:p>
        </w:tc>
        <w:tc>
          <w:tcPr>
            <w:tcW w:w="0" w:type="dxa"/>
            <w:vAlign w:val="bottom"/>
          </w:tcPr>
          <w:p>
            <w:pPr>
              <w:spacing w:after="0"/>
              <w:rPr>
                <w:sz w:val="1"/>
                <w:szCs w:val="1"/>
                <w:color w:val="auto"/>
              </w:rPr>
            </w:pPr>
          </w:p>
        </w:tc>
      </w:tr>
      <w:tr>
        <w:trPr>
          <w:trHeight w:val="183"/>
        </w:trPr>
        <w:tc>
          <w:tcPr>
            <w:tcW w:w="3620" w:type="dxa"/>
            <w:vAlign w:val="bottom"/>
          </w:tcPr>
          <w:p>
            <w:pPr>
              <w:ind w:left="24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(331,552)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(331,552)</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6,611</w:t>
            </w:r>
          </w:p>
        </w:tc>
        <w:tc>
          <w:tcPr>
            <w:tcW w:w="0" w:type="dxa"/>
            <w:vAlign w:val="bottom"/>
          </w:tcPr>
          <w:p>
            <w:pPr>
              <w:spacing w:after="0"/>
              <w:rPr>
                <w:sz w:val="1"/>
                <w:szCs w:val="1"/>
                <w:color w:val="auto"/>
              </w:rPr>
            </w:pPr>
          </w:p>
        </w:tc>
      </w:tr>
      <w:tr>
        <w:trPr>
          <w:trHeight w:val="136"/>
        </w:trPr>
        <w:tc>
          <w:tcPr>
            <w:tcW w:w="3620" w:type="dxa"/>
            <w:vAlign w:val="bottom"/>
          </w:tcPr>
          <w:p>
            <w:pPr>
              <w:ind w:left="240"/>
              <w:spacing w:after="0" w:line="136" w:lineRule="exact"/>
              <w:rPr>
                <w:sz w:val="20"/>
                <w:szCs w:val="20"/>
                <w:color w:val="auto"/>
              </w:rPr>
            </w:pPr>
            <w:r>
              <w:rPr>
                <w:rFonts w:ascii="Arial" w:cs="Arial" w:eastAsia="Arial" w:hAnsi="Arial"/>
                <w:sz w:val="13"/>
                <w:szCs w:val="13"/>
                <w:color w:val="auto"/>
              </w:rPr>
              <w:t>Issuance of common stock upon exercise of stock</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auto"/>
              </w:rPr>
              <w:t>2,465,728</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6,400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6,400</w:t>
            </w:r>
          </w:p>
        </w:tc>
        <w:tc>
          <w:tcPr>
            <w:tcW w:w="0" w:type="dxa"/>
            <w:vAlign w:val="bottom"/>
          </w:tcPr>
          <w:p>
            <w:pPr>
              <w:spacing w:after="0"/>
              <w:rPr>
                <w:sz w:val="1"/>
                <w:szCs w:val="1"/>
                <w:color w:val="auto"/>
              </w:rPr>
            </w:pPr>
          </w:p>
        </w:tc>
      </w:tr>
      <w:tr>
        <w:trPr>
          <w:trHeight w:val="182"/>
        </w:trPr>
        <w:tc>
          <w:tcPr>
            <w:tcW w:w="3620" w:type="dxa"/>
            <w:vAlign w:val="bottom"/>
          </w:tcPr>
          <w:p>
            <w:pPr>
              <w:ind w:left="240"/>
              <w:spacing w:after="0"/>
              <w:rPr>
                <w:sz w:val="20"/>
                <w:szCs w:val="20"/>
                <w:color w:val="auto"/>
              </w:rPr>
            </w:pPr>
            <w:r>
              <w:rPr>
                <w:rFonts w:ascii="Arial" w:cs="Arial" w:eastAsia="Arial" w:hAnsi="Arial"/>
                <w:sz w:val="13"/>
                <w:szCs w:val="13"/>
                <w:color w:val="auto"/>
              </w:rPr>
              <w:t>options</w:t>
            </w: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Stock-based compensation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76,981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76,981</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January 31, 2024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439,080,808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1,301,121</w:t>
            </w:r>
          </w:p>
        </w:tc>
        <w:tc>
          <w:tcPr>
            <w:tcW w:w="100" w:type="dxa"/>
            <w:vAlign w:val="bottom"/>
            <w:tcBorders>
              <w:right w:val="single" w:sz="8" w:color="auto"/>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135,354,278</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382,356</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(1,436,035)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(28,293)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(1,081,971)</w:t>
            </w:r>
          </w:p>
        </w:tc>
        <w:tc>
          <w:tcPr>
            <w:tcW w:w="0" w:type="dxa"/>
            <w:vAlign w:val="bottom"/>
          </w:tcPr>
          <w:p>
            <w:pPr>
              <w:spacing w:after="0"/>
              <w:rPr>
                <w:sz w:val="1"/>
                <w:szCs w:val="1"/>
                <w:color w:val="auto"/>
              </w:rPr>
            </w:pPr>
          </w:p>
        </w:tc>
      </w:tr>
      <w:tr>
        <w:trPr>
          <w:trHeight w:val="176"/>
        </w:trPr>
        <w:tc>
          <w:tcPr>
            <w:tcW w:w="3620" w:type="dxa"/>
            <w:vAlign w:val="bottom"/>
          </w:tcPr>
          <w:p>
            <w:pPr>
              <w:ind w:left="24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(181,078)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(181,078)</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comprehensive loss, net of tax</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(9,329)</w:t>
            </w:r>
          </w:p>
        </w:tc>
        <w:tc>
          <w:tcPr>
            <w:tcW w:w="0" w:type="dxa"/>
            <w:vAlign w:val="bottom"/>
          </w:tcPr>
          <w:p>
            <w:pPr>
              <w:spacing w:after="0"/>
              <w:rPr>
                <w:sz w:val="1"/>
                <w:szCs w:val="1"/>
                <w:color w:val="auto"/>
              </w:rPr>
            </w:pPr>
          </w:p>
        </w:tc>
      </w:tr>
      <w:tr>
        <w:trPr>
          <w:trHeight w:val="136"/>
        </w:trPr>
        <w:tc>
          <w:tcPr>
            <w:tcW w:w="3620" w:type="dxa"/>
            <w:vAlign w:val="bottom"/>
          </w:tcPr>
          <w:p>
            <w:pPr>
              <w:ind w:left="240"/>
              <w:spacing w:after="0" w:line="136" w:lineRule="exact"/>
              <w:rPr>
                <w:sz w:val="20"/>
                <w:szCs w:val="20"/>
                <w:color w:val="auto"/>
              </w:rPr>
            </w:pPr>
            <w:r>
              <w:rPr>
                <w:rFonts w:ascii="Arial" w:cs="Arial" w:eastAsia="Arial" w:hAnsi="Arial"/>
                <w:sz w:val="13"/>
                <w:szCs w:val="13"/>
                <w:color w:val="auto"/>
              </w:rPr>
              <w:t>Issuance of common stock upon exercise of stock</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auto"/>
              </w:rPr>
              <w:t>1,997,981</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4,521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4,521</w:t>
            </w:r>
          </w:p>
        </w:tc>
        <w:tc>
          <w:tcPr>
            <w:tcW w:w="0" w:type="dxa"/>
            <w:vAlign w:val="bottom"/>
          </w:tcPr>
          <w:p>
            <w:pPr>
              <w:spacing w:after="0"/>
              <w:rPr>
                <w:sz w:val="1"/>
                <w:szCs w:val="1"/>
                <w:color w:val="auto"/>
              </w:rPr>
            </w:pPr>
          </w:p>
        </w:tc>
      </w:tr>
      <w:tr>
        <w:trPr>
          <w:trHeight w:val="182"/>
        </w:trPr>
        <w:tc>
          <w:tcPr>
            <w:tcW w:w="3620" w:type="dxa"/>
            <w:vAlign w:val="bottom"/>
          </w:tcPr>
          <w:p>
            <w:pPr>
              <w:ind w:left="360"/>
              <w:spacing w:after="0"/>
              <w:rPr>
                <w:sz w:val="20"/>
                <w:szCs w:val="20"/>
                <w:color w:val="auto"/>
              </w:rPr>
            </w:pPr>
            <w:r>
              <w:rPr>
                <w:rFonts w:ascii="Arial" w:cs="Arial" w:eastAsia="Arial" w:hAnsi="Arial"/>
                <w:sz w:val="13"/>
                <w:szCs w:val="13"/>
                <w:color w:val="auto"/>
              </w:rPr>
              <w:t>options</w:t>
            </w: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1,658</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Stock-based compensation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79,300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79,300</w:t>
            </w:r>
          </w:p>
        </w:tc>
        <w:tc>
          <w:tcPr>
            <w:tcW w:w="0" w:type="dxa"/>
            <w:vAlign w:val="bottom"/>
          </w:tcPr>
          <w:p>
            <w:pPr>
              <w:spacing w:after="0"/>
              <w:rPr>
                <w:sz w:val="1"/>
                <w:szCs w:val="1"/>
                <w:color w:val="auto"/>
              </w:rPr>
            </w:pPr>
          </w:p>
        </w:tc>
      </w:tr>
      <w:tr>
        <w:trPr>
          <w:trHeight w:val="208"/>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January 31, 2025</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439,080,808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1,301,121</w:t>
            </w:r>
          </w:p>
        </w:tc>
        <w:tc>
          <w:tcPr>
            <w:tcW w:w="100" w:type="dxa"/>
            <w:vAlign w:val="bottom"/>
            <w:tcBorders>
              <w:right w:val="single" w:sz="8" w:color="auto"/>
            </w:tcBorders>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137,352,259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(1,617,113)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(1,186,899)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22"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(331,552)</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Stock-based compensation, net of amounts capitalized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76,981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75,851</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interest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44,647</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(3,224)</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26,864</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Amortization of contract acquisition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7,033</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Provision for doubtful accounts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Loss (gain) on fair value adjustments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26,594</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176"/>
        </w:trPr>
        <w:tc>
          <w:tcPr>
            <w:tcW w:w="7980" w:type="dxa"/>
            <w:vAlign w:val="bottom"/>
          </w:tcPr>
          <w:p>
            <w:pPr>
              <w:ind w:left="480"/>
              <w:spacing w:after="0" w:line="176" w:lineRule="exact"/>
              <w:rPr>
                <w:sz w:val="20"/>
                <w:szCs w:val="20"/>
                <w:color w:val="auto"/>
              </w:rPr>
            </w:pPr>
            <w:r>
              <w:rPr>
                <w:rFonts w:ascii="Arial" w:cs="Arial" w:eastAsia="Arial" w:hAnsi="Arial"/>
                <w:sz w:val="18"/>
                <w:szCs w:val="18"/>
                <w:color w:val="auto"/>
              </w:rPr>
              <w:t>Changes in operating assets and liabilities, net of effect of business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1"/>
        </w:trPr>
        <w:tc>
          <w:tcPr>
            <w:tcW w:w="7980" w:type="dxa"/>
            <w:vAlign w:val="bottom"/>
          </w:tcPr>
          <w:p>
            <w:pPr>
              <w:ind w:left="480"/>
              <w:spacing w:after="0"/>
              <w:rPr>
                <w:sz w:val="20"/>
                <w:szCs w:val="20"/>
                <w:color w:val="auto"/>
              </w:rPr>
            </w:pPr>
            <w:r>
              <w:rPr>
                <w:rFonts w:ascii="Arial" w:cs="Arial" w:eastAsia="Arial" w:hAnsi="Arial"/>
                <w:sz w:val="18"/>
                <w:szCs w:val="18"/>
                <w:color w:val="auto"/>
              </w:rPr>
              <w:t>acquisitions: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2"/>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(21,149)</w:t>
            </w:r>
          </w:p>
        </w:tc>
      </w:tr>
      <w:tr>
        <w:trPr>
          <w:trHeight w:val="229"/>
        </w:trPr>
        <w:tc>
          <w:tcPr>
            <w:tcW w:w="7980" w:type="dxa"/>
            <w:vAlign w:val="bottom"/>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1,784</w:t>
            </w:r>
          </w:p>
        </w:tc>
      </w:tr>
      <w:tr>
        <w:trPr>
          <w:trHeight w:val="229"/>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Contract acquisition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68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(6,933)</w:t>
            </w:r>
          </w:p>
        </w:tc>
      </w:tr>
      <w:tr>
        <w:trPr>
          <w:trHeight w:val="229"/>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w:t>
            </w:r>
          </w:p>
        </w:tc>
      </w:tr>
      <w:tr>
        <w:trPr>
          <w:trHeight w:val="230"/>
        </w:trPr>
        <w:tc>
          <w:tcPr>
            <w:tcW w:w="7980" w:type="dxa"/>
            <w:vAlign w:val="bottom"/>
          </w:tcPr>
          <w:p>
            <w:pPr>
              <w:ind w:left="68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33,170</w:t>
            </w:r>
          </w:p>
        </w:tc>
      </w:tr>
      <w:tr>
        <w:trPr>
          <w:trHeight w:val="229"/>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w:t>
            </w:r>
          </w:p>
        </w:tc>
      </w:tr>
      <w:tr>
        <w:trPr>
          <w:trHeight w:val="230"/>
        </w:trPr>
        <w:tc>
          <w:tcPr>
            <w:tcW w:w="7980" w:type="dxa"/>
            <w:vAlign w:val="bottom"/>
          </w:tcPr>
          <w:p>
            <w:pPr>
              <w:ind w:left="680"/>
              <w:spacing w:after="0"/>
              <w:rPr>
                <w:sz w:val="20"/>
                <w:szCs w:val="20"/>
                <w:color w:val="auto"/>
              </w:rPr>
            </w:pPr>
            <w:r>
              <w:rPr>
                <w:rFonts w:ascii="Arial" w:cs="Arial" w:eastAsia="Arial" w:hAnsi="Arial"/>
                <w:sz w:val="18"/>
                <w:szCs w:val="18"/>
                <w:color w:val="auto"/>
              </w:rPr>
              <w:t>Operating lease right-of-use asset and operating lease liabilities,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(27,630)</w:t>
            </w:r>
          </w:p>
        </w:tc>
      </w:tr>
      <w:tr>
        <w:trPr>
          <w:trHeight w:val="223"/>
        </w:trPr>
        <w:tc>
          <w:tcPr>
            <w:tcW w:w="798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(166,363)</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Capitalized software development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(16,743)</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7980" w:type="dxa"/>
            <w:vAlign w:val="bottom"/>
          </w:tcPr>
          <w:p>
            <w:pPr>
              <w:ind w:left="480"/>
              <w:spacing w:after="0"/>
              <w:rPr>
                <w:sz w:val="20"/>
                <w:szCs w:val="20"/>
                <w:color w:val="auto"/>
              </w:rPr>
            </w:pPr>
            <w:r>
              <w:rPr>
                <w:rFonts w:ascii="Arial" w:cs="Arial" w:eastAsia="Arial" w:hAnsi="Arial"/>
                <w:sz w:val="18"/>
                <w:szCs w:val="18"/>
                <w:color w:val="auto"/>
              </w:rPr>
              <w:t>Cash consideration paid for business acquisition, net of cash acquired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(7,026)</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(Increase) decrease in corporate card receivables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(84,449)</w:t>
            </w:r>
          </w:p>
        </w:tc>
      </w:tr>
      <w:tr>
        <w:trPr>
          <w:trHeight w:val="223"/>
        </w:trPr>
        <w:tc>
          <w:tcPr>
            <w:tcW w:w="798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(108,779)</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480"/>
              <w:spacing w:after="0"/>
              <w:rPr>
                <w:sz w:val="20"/>
                <w:szCs w:val="20"/>
                <w:color w:val="auto"/>
              </w:rPr>
            </w:pPr>
            <w:r>
              <w:rPr>
                <w:rFonts w:ascii="Arial" w:cs="Arial" w:eastAsia="Arial" w:hAnsi="Arial"/>
                <w:sz w:val="18"/>
                <w:szCs w:val="18"/>
                <w:color w:val="auto"/>
              </w:rPr>
              <w:t>Proceeds from issuance of common stock from exercise of stock-based awards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9,059</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borrowings of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206,419</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Payments of borrowings of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Payments for debt issuance cost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Payments of deferred consideration in business combinations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r>
      <w:tr>
        <w:trPr>
          <w:trHeight w:val="223"/>
        </w:trPr>
        <w:tc>
          <w:tcPr>
            <w:tcW w:w="7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212,620</w:t>
            </w:r>
          </w:p>
        </w:tc>
      </w:tr>
      <w:tr>
        <w:trPr>
          <w:trHeight w:val="223"/>
        </w:trPr>
        <w:tc>
          <w:tcPr>
            <w:tcW w:w="7980" w:type="dxa"/>
            <w:vAlign w:val="bottom"/>
          </w:tcPr>
          <w:p>
            <w:pPr>
              <w:ind w:left="88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7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267,382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330,318</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22"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18"/>
        </w:trPr>
        <w:tc>
          <w:tcPr>
            <w:tcW w:w="1400" w:type="dxa"/>
            <w:vAlign w:val="bottom"/>
            <w:tcBorders>
              <w:top w:val="single" w:sz="8" w:color="0000FF"/>
            </w:tcBorders>
          </w:tcPr>
          <w:p>
            <w:pPr>
              <w:spacing w:after="0"/>
              <w:rPr>
                <w:sz w:val="24"/>
                <w:szCs w:val="24"/>
                <w:color w:val="auto"/>
              </w:rPr>
            </w:pPr>
          </w:p>
        </w:tc>
        <w:tc>
          <w:tcPr>
            <w:tcW w:w="65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267,382</w:t>
            </w:r>
          </w:p>
        </w:tc>
      </w:tr>
      <w:tr>
        <w:trPr>
          <w:trHeight w:val="20"/>
        </w:trPr>
        <w:tc>
          <w:tcPr>
            <w:tcW w:w="798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4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980" w:type="dxa"/>
            <w:vAlign w:val="bottom"/>
            <w:gridSpan w:val="2"/>
          </w:tcPr>
          <w:p>
            <w:pPr>
              <w:ind w:left="460"/>
              <w:spacing w:after="0"/>
              <w:rPr>
                <w:sz w:val="20"/>
                <w:szCs w:val="20"/>
                <w:color w:val="auto"/>
              </w:rPr>
            </w:pPr>
            <w:r>
              <w:rPr>
                <w:rFonts w:ascii="Arial" w:cs="Arial" w:eastAsia="Arial" w:hAnsi="Arial"/>
                <w:sz w:val="18"/>
                <w:szCs w:val="18"/>
                <w:color w:val="auto"/>
              </w:rPr>
              <w:t>Cash paid for interest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29,547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18,634</w:t>
            </w:r>
          </w:p>
        </w:tc>
      </w:tr>
      <w:tr>
        <w:trPr>
          <w:trHeight w:val="230"/>
        </w:trPr>
        <w:tc>
          <w:tcPr>
            <w:tcW w:w="7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Cash paid for income taxes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r>
      <w:tr>
        <w:trPr>
          <w:trHeight w:val="270"/>
        </w:trPr>
        <w:tc>
          <w:tcPr>
            <w:tcW w:w="7980" w:type="dxa"/>
            <w:vAlign w:val="bottom"/>
            <w:gridSpan w:val="2"/>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980" w:type="dxa"/>
            <w:vAlign w:val="bottom"/>
            <w:gridSpan w:val="2"/>
          </w:tcPr>
          <w:p>
            <w:pPr>
              <w:ind w:left="460"/>
              <w:spacing w:after="0"/>
              <w:rPr>
                <w:sz w:val="20"/>
                <w:szCs w:val="20"/>
                <w:color w:val="auto"/>
              </w:rPr>
            </w:pPr>
            <w:r>
              <w:rPr>
                <w:rFonts w:ascii="Arial" w:cs="Arial" w:eastAsia="Arial" w:hAnsi="Arial"/>
                <w:sz w:val="18"/>
                <w:szCs w:val="18"/>
                <w:color w:val="auto"/>
              </w:rPr>
              <w:t>Vesting of early exercised stock options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Capitalized share-based compensation for internal-use software development costs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39"/>
        </w:trPr>
        <w:tc>
          <w:tcPr>
            <w:tcW w:w="7980" w:type="dxa"/>
            <w:vAlign w:val="bottom"/>
            <w:gridSpan w:val="2"/>
          </w:tcPr>
          <w:p>
            <w:pPr>
              <w:ind w:left="460"/>
              <w:spacing w:after="0"/>
              <w:rPr>
                <w:sz w:val="20"/>
                <w:szCs w:val="20"/>
                <w:color w:val="auto"/>
              </w:rPr>
            </w:pPr>
            <w:r>
              <w:rPr>
                <w:rFonts w:ascii="Arial" w:cs="Arial" w:eastAsia="Arial" w:hAnsi="Arial"/>
                <w:sz w:val="18"/>
                <w:szCs w:val="18"/>
                <w:color w:val="auto"/>
              </w:rPr>
              <w:t>Amounts unpaid for purchases of property and equipment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556</w:t>
            </w: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22" w:right="3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NAVAN,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SIGNIFICANT ACCOUNTING POLICIES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6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Navan, Inc. (the “Company”, “we”, “our”), together with its subsidiaries, is a cloud-based technology platform built to solve the comprehensive needs of frequent travelers. We offer a comprehensive, all-in-one, AI-powered travel, payments and expense management solution designed to streamline the entire travel lifecycle, from booking and policy enforcement to payment processing, expense reconciliation, and reporting. The Company was incorporated in the state of Delaware in February 2015. The Company is currently headquartered in Palo Alto, California and has operations in North America, Asia Pacific, the Middle East, and Europe.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9"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(“GAAP”). We consolidate our wholly-owned subsidiaries over which we exercise control, and variable interest entities (“VIEs”) where we are deemed to be the primary beneficiary. See Note 9 — Variable Interest Entities for further detail.</w:t>
      </w:r>
    </w:p>
    <w:p>
      <w:pPr>
        <w:spacing w:after="0" w:line="117"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entities in which it has a controlling financial interest in accordance with the consolidation accounting principles guidance. All intercompany profits, transactions, and balances have been eliminated in consolidation.</w:t>
      </w:r>
    </w:p>
    <w:p>
      <w:pPr>
        <w:spacing w:after="0" w:line="117"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The Company’s fiscal year ends on January 31. References made to “fiscal 2025” and “fiscal 2024” refer to the Company’s fiscal years ended January 31, 2025 and 2024, respectively.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judgments and assumptions that affect the reported amounts in the consolidated financial statements and accompanying notes. Estimates and judgments are based on historical experience, forecasted events and various other assumptions that the Company believes to be reasonable under the circumstances. On an ongoing basis, management evaluates estimates, including, but not limited to: carrying values and useful lives of long-lived assets and intangible assets; capitalization of internal-use software costs; the expected period of benefit for contract acquisition costs; the estimate of expected credit losses on accounts receivable; fair values of assets acquired and liabilities assumed in business combinations; fair values of embedded derivatives and redeemable convertible preferred stock warrant liabilities; fair values of stock-based awards issued; the incremental borrowing rate used for operating lease liabilities; and assumptions used in accounting for income taxes. These estimates are inherently subject to judgment and actual results could differ from those estimates.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restricted cash and accounts receivable. The Company’s cash and cash equivalents and restricted cash are on deposit with high-quality financial institutions that exceed federally insured limits. The Company regularly monitors the composition and maturities of cash and cash equivalent and restricted cash balances. The Company has not experienced any losses due to institutional failure or bankruptcy. The Company performs credit evaluations of its customers and generally does not require collateral for sales on credit. In certain cases, based on the Company’s credit evaluations, collateral, primarily in the form of cash deposits, is required to mitigate corporate card receivable collection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122" w:right="35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One payment partner customer accounted for 11.2% and 11.5% of the Company’s revenue during the years ended January 31, 2025 and 2024, respectively. One platform customer accounted for 12% and 14% of accounts receivable as of January 31, 2025 and 2024, respectively. The Company did not have any customers that accounted for 10% or more of corporate card receivables as of January 31, 2025 and 2024.</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6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functional currency of the Company’s foreign subsidiaries is the local currency or U.S. dollar, depending on the primary economic environment in which the subsidiary operates. Transactions denominated in currencies other than the functional currency are remeasured to the functional currency at the exchange rate in effect on the date of the transaction and are recorded in the current period consolidated statements of operations. Monetary assets and liabilities denominated in currencies other than the functional currency are remeasured monthly using the month-end exchange rate. Gains and losses resulting from such remeasurements are recorded in other expense, net in the consolidated statements of operations. Subsidiary assets and liabilities with non-U.S. dollar functional currencies are translated at the month-end exchange rate, accumulated deficit and other equity items are translated at historical exchange rates, and revenue and expenses are translated at average exchange rates during the year. Cumulative translation adjustments are recorded within accumulated other comprehensive income (loss), a separate component of stockholders’ deficit.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Cash and cash equivalents consists of funds deposited with banks, funds available for use held with our corporate card payment processing partner which are not earmarked to collateralize corporate card spend by our customers, and money market funds with original or remaining maturities of three months or less at the time of purchase.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69"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Restricted cash consists of (i) a portion of the balance held with our payment processing partners to fund transactions charged by our corporate card users, (ii) cash balances held at our consolidated VIE, and (iii) cash used as collateral for the letters of credit for lease agreements that have lease terms that extend beyond 12 months from the balance sheet date.</w:t>
      </w:r>
    </w:p>
    <w:p>
      <w:pPr>
        <w:spacing w:after="0" w:line="117"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such amounts in the consolidated statements of cash flows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166,421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95,961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cash and cash equivalents and restricted cash</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310,595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267,382</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 xml:space="preserve">Fair value is defined as the price that would be received to sell an asset or paid to transfer a liability in an orderly transaction between market participants at the measurement date. Accounting Standards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establishes a framework for measuring fair value and requires disclosure about the fair value measurements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22" w:right="3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In accordance with ASC 820, we use the fair value hierarchy, which maximizes the use of observable inputs and minimizes the use of unobservable inputs. The three levels of the fair value hierarchy are set forth below:</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such as quoted prices in active markets for identical assets or liabilities.</w:t>
      </w:r>
    </w:p>
    <w:p>
      <w:pPr>
        <w:spacing w:after="0" w:line="171"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Observable inputs other than Level 1 prices such as quoted prices for similar assets or liabilities in active markets, quoted</w:t>
      </w:r>
      <w:r>
        <w:rPr>
          <w:rFonts w:ascii="Arial" w:cs="Arial" w:eastAsia="Arial" w:hAnsi="Arial"/>
          <w:sz w:val="18"/>
          <w:szCs w:val="18"/>
          <w:b w:val="1"/>
          <w:bCs w:val="1"/>
          <w:color w:val="auto"/>
        </w:rPr>
        <w:t xml:space="preserve"> </w:t>
      </w:r>
      <w:r>
        <w:rPr>
          <w:rFonts w:ascii="Arial" w:cs="Arial" w:eastAsia="Arial" w:hAnsi="Arial"/>
          <w:sz w:val="18"/>
          <w:szCs w:val="18"/>
          <w:color w:val="auto"/>
        </w:rPr>
        <w:t>prices in markets that are not active, or inputs other than quoted prices that are observable either directly or indirectly for the full term of the assets or liabilities.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in which there is little or no market data and that are significant to the fair value of the assets or liabilities.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primary financial instruments include cash and cash equivalents, restricted cash, accounts receivable, corporate card receivables, accounts payable, accrued expenses, debt, convertible debt, embedded derivatives and redeemable convertible preferred stock warrants. The estimated fair value of cash and cash equivalents, restricted cash, accounts receivable, corporate card receivables, accounts payable and accrued expenses approximate their carrying value due to the short-term maturities of these instruments. For further information, refer to Note 3 — Fair Value Measurements and Note 8 — Debt.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 for Expected Credit Losses</w:t>
      </w:r>
    </w:p>
    <w:p>
      <w:pPr>
        <w:spacing w:after="0" w:line="16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Accounts receivable are generally due within thirty days and are recorded net of an allowance for estimated uncollectible amounts. We estimate expected credit losses based on various factors, including the age of the receivable balance, credit quality of the customer, and past collection experience with the customer. We consider the need to adjust historical information used in our estimates to reflect the extent to which we expect current conditions and reasonable and supportable forecasts to differ from the conditions that existed for the period over which historical information was evaluated. Long-aged balances and other higher risk amounts are reviewed individually for collectability. We recognize estimated credit losses through the income statement, and the allowance for estimated credit losses is recorded in accounts receivable, net on the consolidated balance sheets.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allowance for expected credit losses as of January 31, 2025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97"/>
              </w:rPr>
              <w:t>2,270</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Provision for expected credit losses</w:t>
            </w:r>
          </w:p>
        </w:tc>
        <w:tc>
          <w:tcPr>
            <w:tcW w:w="98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center"/>
              <w:ind w:left="314"/>
              <w:spacing w:after="0"/>
              <w:rPr>
                <w:sz w:val="20"/>
                <w:szCs w:val="20"/>
                <w:color w:val="auto"/>
              </w:rPr>
            </w:pPr>
            <w:r>
              <w:rPr>
                <w:rFonts w:ascii="Arial" w:cs="Arial" w:eastAsia="Arial" w:hAnsi="Arial"/>
                <w:sz w:val="18"/>
                <w:szCs w:val="18"/>
                <w:color w:val="auto"/>
                <w:w w:val="97"/>
              </w:rPr>
              <w:t>4,488</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written off, recoveries and other adjustments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294"/>
              <w:spacing w:after="0"/>
              <w:rPr>
                <w:sz w:val="20"/>
                <w:szCs w:val="20"/>
                <w:color w:val="auto"/>
              </w:rPr>
            </w:pPr>
            <w:r>
              <w:rPr>
                <w:rFonts w:ascii="Arial" w:cs="Arial" w:eastAsia="Arial" w:hAnsi="Arial"/>
                <w:sz w:val="18"/>
                <w:szCs w:val="18"/>
                <w:color w:val="auto"/>
              </w:rPr>
              <w:t>(2,488)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97"/>
              </w:rPr>
              <w:t>4,270</w:t>
            </w: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Card Receivables and Allowance for Expected Credit Losses</w:t>
      </w:r>
    </w:p>
    <w:p>
      <w:pPr>
        <w:spacing w:after="0" w:line="16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provide virtual and physical corporate credit cards to customers of our expense management offering through issuing bank partners. Under our payment partner arrangements, we are required to prefund spend on these credit cards. We recognize a receivable for each transaction, and receivables are generally due within ten days.</w:t>
      </w:r>
    </w:p>
    <w:p>
      <w:pPr>
        <w:spacing w:after="0" w:line="11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Corporate card receivables are recorded net of an allowance for expected credit losses. The allowance for expected credit losses is based on our assessment of the collectability of these receivables. We consider the following factors when determining the collectability of specific customer accounts: age of the receivable balance, credit quality of the customer, and past collection experience with the customer. We consider the need to adjust historical information used in our estimates to reflect the extent to which we expect current conditions and reasonable and supportable forecasts to differ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22" w:right="3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conditions that existed for the period over which historical information was evaluated. We recognize estimated credit losses through the income statement, and the allowance for estimated credit losses is recorded in corporate card receivables, net on the consolidated balance sheets.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corporate card receivables allowance for expected credit losses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Provision for expected credit losses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3,332</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written off, recoveries and other adjustments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(2,482)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allocate the fair value of purchase consideration to the tangible and intangible assets acquired and liabilities assumed based on their estimated fair values. The excess of the fair value of purchase consideration over the fair values of these identifiable assets and liabilities is recorded as goodwill. The determination of fair value requires management to make significant estimates and assumptions, especially with respect to intangible assets. Significant estimates in valuing certain intangible assets include, but are not limited to, future expected cash flows from trade names from a market participant perspective, acquired customers, acquired technology,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management may record adjustments to the assets acquired and liabilities assumed, with the corresponding offset to goodwill.</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69"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We evaluate our ownership, contractual, and other interests in entities to determine if we have a variable interest in an entity. These evaluations are complex, involve judgment and the use of estimates and assumptions based on available historical and prospective information, among other factors. If we determine that an entity for which we hold a contractual or ownership interest in is a VIE and that we are the primary beneficiary, we consolidate the entity in the consolidated financial statements. The primary beneficiary of a VIE is the party that meets both of the following criteria: (1) has the power to make decisions that most significantly affect the economic performance of the VIE; and (2) has the obligation to absorb losses or the right to receive benefits that in either case could potentially be significant to the VIE.</w:t>
      </w:r>
    </w:p>
    <w:p>
      <w:pPr>
        <w:spacing w:after="0" w:line="114"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We evaluate our relationship with our VIEs on an ongoing basis to determine whether we are the primary beneficiary. If we are not deemed to be the primary beneficiary in a VIE, we account for the investment or other variable interests in a VIE in accordance with applicable GAAP. Refer to Note 9 — Variable Interest Entities for further information.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69"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determine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 Lease liabilities and their corresponding right-of-use (“ROU”) assets are recognized at commencement date and recorded based on the present value of lease payments over the expected lease term. The implicit rates within our operating leases are generally not determinable and therefore we use the incremental borrowing rate at the lease commencement date to determine the present value of lease payments. The determination of the incremental borrowing rate requires judgment. We determine the incremental borrowing rate for each lease using our estimated borrowing rate,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22" w:right="3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various factors including level of collateralization, term and currency to align with the terms of the lease. The ROU asset also might include lease prepayments, offset by lease incentives. Certain leases include options to extend or terminate the lease. Lease terms include options to extend or terminate the lease when it is reasonably certain we will exercise that option.</w:t>
      </w:r>
    </w:p>
    <w:p>
      <w:pPr>
        <w:spacing w:after="0" w:line="11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 Company has made accounting policy elections to (i) not recognize ROU assets or lease liabilities for short-term leases (leases with lease terms of 12 months or less); and (ii) combine lease and non-lease components. Variable lease payments are recognized in the consolidated statements of operations when incurred and include certain non-lease components, such as maintenance and other services provided by the lessor to the extent the charges are variable.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169" w:lineRule="exact"/>
        <w:rPr>
          <w:sz w:val="20"/>
          <w:szCs w:val="20"/>
          <w:color w:val="auto"/>
        </w:rPr>
      </w:pPr>
    </w:p>
    <w:p>
      <w:pPr>
        <w:jc w:val="both"/>
        <w:ind w:right="460" w:firstLine="324"/>
        <w:spacing w:after="0" w:line="282" w:lineRule="auto"/>
        <w:rPr>
          <w:sz w:val="20"/>
          <w:szCs w:val="20"/>
          <w:color w:val="auto"/>
        </w:rPr>
      </w:pPr>
      <w:r>
        <w:rPr>
          <w:rFonts w:ascii="Arial" w:cs="Arial" w:eastAsia="Arial" w:hAnsi="Arial"/>
          <w:sz w:val="17"/>
          <w:szCs w:val="17"/>
          <w:color w:val="auto"/>
        </w:rPr>
        <w:t>Property, equipment and software, net are stated at cost, less accumulated depreciation and amortization. Major improvements that extend the life, capacity or efficiency, or improve the safety of an asset, are capitalized, while maintenance and repairs are expensed as incurred. When assets are retired or disposed of, the cost and related accumulated depreciation and amortization are removed from the related accounts and the resulting gain or loss is reflected in the consolidated statements of operations in the period realized.</w:t>
      </w:r>
    </w:p>
    <w:p>
      <w:pPr>
        <w:spacing w:after="0" w:line="10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capitalize certain internal-use software development costs incurred during the application development stage. Such costs are amortized on a straight-line basis over the estimated useful life. Costs related to preliminary project activities and post-implementation activities are expensed as incurred. Costs incurred for enhancements that are expected to result in additional functionality are also capitalized and expensed over the estimated useful life of the upgrades. Capitalized internal-use software development costs are included in property, equipment and software, net on the consolidated balance sheets.</w:t>
      </w:r>
    </w:p>
    <w:p>
      <w:pPr>
        <w:spacing w:after="0" w:line="85" w:lineRule="exact"/>
        <w:rPr>
          <w:sz w:val="20"/>
          <w:szCs w:val="20"/>
          <w:color w:val="auto"/>
        </w:rPr>
      </w:pPr>
    </w:p>
    <w:p>
      <w:pPr>
        <w:ind w:right="640" w:firstLine="324"/>
        <w:spacing w:after="0" w:line="247" w:lineRule="exact"/>
        <w:rPr>
          <w:sz w:val="20"/>
          <w:szCs w:val="20"/>
          <w:color w:val="auto"/>
        </w:rPr>
      </w:pPr>
      <w:r>
        <w:rPr>
          <w:rFonts w:ascii="Arial" w:cs="Arial" w:eastAsia="Arial" w:hAnsi="Arial"/>
          <w:sz w:val="18"/>
          <w:szCs w:val="18"/>
          <w:color w:val="auto"/>
        </w:rPr>
        <w:t>Depreciation and amortization expense is recorded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assets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Property, Equipment and Software</w:t>
            </w: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r>
      <w:tr>
        <w:trPr>
          <w:trHeight w:val="224"/>
        </w:trPr>
        <w:tc>
          <w:tcPr>
            <w:tcW w:w="5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Internal-use software</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 years</w:t>
            </w:r>
          </w:p>
        </w:tc>
      </w:tr>
      <w:tr>
        <w:trPr>
          <w:trHeight w:val="229"/>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Computers and equipment</w:t>
            </w:r>
          </w:p>
        </w:tc>
        <w:tc>
          <w:tcPr>
            <w:tcW w:w="5580" w:type="dxa"/>
            <w:vAlign w:val="bottom"/>
          </w:tcPr>
          <w:p>
            <w:pPr>
              <w:jc w:val="center"/>
              <w:spacing w:after="0"/>
              <w:rPr>
                <w:sz w:val="20"/>
                <w:szCs w:val="20"/>
                <w:color w:val="auto"/>
              </w:rPr>
            </w:pPr>
            <w:r>
              <w:rPr>
                <w:rFonts w:ascii="Arial" w:cs="Arial" w:eastAsia="Arial" w:hAnsi="Arial"/>
                <w:sz w:val="18"/>
                <w:szCs w:val="18"/>
                <w:color w:val="auto"/>
                <w:w w:val="99"/>
              </w:rPr>
              <w:t>3 to 5 years</w:t>
            </w:r>
          </w:p>
        </w:tc>
      </w:tr>
      <w:tr>
        <w:trPr>
          <w:trHeight w:val="230"/>
        </w:trPr>
        <w:tc>
          <w:tcPr>
            <w:tcW w:w="5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Fixtures and fittings</w:t>
            </w: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 to 5 years</w:t>
            </w:r>
          </w:p>
        </w:tc>
      </w:tr>
      <w:tr>
        <w:trPr>
          <w:trHeight w:val="239"/>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rPr>
              <w:t>Leasehold improvements</w:t>
            </w:r>
          </w:p>
        </w:tc>
        <w:tc>
          <w:tcPr>
            <w:tcW w:w="5580" w:type="dxa"/>
            <w:vAlign w:val="bottom"/>
          </w:tcPr>
          <w:p>
            <w:pPr>
              <w:jc w:val="center"/>
              <w:spacing w:after="0"/>
              <w:rPr>
                <w:sz w:val="20"/>
                <w:szCs w:val="20"/>
                <w:color w:val="auto"/>
              </w:rPr>
            </w:pPr>
            <w:r>
              <w:rPr>
                <w:rFonts w:ascii="Arial" w:cs="Arial" w:eastAsia="Arial" w:hAnsi="Arial"/>
                <w:sz w:val="18"/>
                <w:szCs w:val="18"/>
                <w:color w:val="auto"/>
                <w:w w:val="99"/>
              </w:rPr>
              <w:t>Shorter of useful life or remaining lease term</w:t>
            </w:r>
          </w:p>
        </w:tc>
      </w:tr>
    </w:tbl>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right="720" w:firstLine="324"/>
        <w:spacing w:after="0" w:line="287" w:lineRule="auto"/>
        <w:rPr>
          <w:sz w:val="20"/>
          <w:szCs w:val="20"/>
          <w:color w:val="auto"/>
        </w:rPr>
      </w:pPr>
      <w:r>
        <w:rPr>
          <w:rFonts w:ascii="Arial" w:cs="Arial" w:eastAsia="Arial" w:hAnsi="Arial"/>
          <w:sz w:val="18"/>
          <w:szCs w:val="18"/>
          <w:color w:val="auto"/>
        </w:rPr>
        <w:t>Goodwill represents the excess of the purchase price of the acquisition over the net fair value of identifiable assets acquired and liabilities assumed. Goodwill amounts are not amortized.</w:t>
      </w:r>
    </w:p>
    <w:p>
      <w:pPr>
        <w:spacing w:after="0" w:line="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test goodwill for impairment at least annually, in the fourth fiscal quarter, or more frequently if facts or changes in circumstances indicate the carrying amount of goodwill may not be recoverable. We have one reporting unit; therefore, goodwill is tested at the enterprise level. In testing goodwill for impairment, we have the option to first perform a qualitative assessment to determine whether it is more likely than not that the fair value of the reporting units is less than the carrying amount, including goodwill. If it is determined that it is more likely than not that the fair value of the reporting unit is less than the carrying amount, a quantitative assessment is performed by comparing the fair value of a reporting unit with its carrying amount. An impairment charge is recognized for the amount by which the carrying amount exceeds the reporting unit’s fair value, not to exceed the total amount of goodwill allocated to that reporting unit.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impairments of goodwill were recognized during the years ended January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22" w:right="3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acquisition, identifiable intangible assets are recorded at fair value and are carried at cost less accumulated amortization.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with finite lives are amortized on a straight-line basis over their estimated useful lives.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Intangible Assets</w:t>
            </w: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r>
      <w:tr>
        <w:trPr>
          <w:trHeight w:val="224"/>
        </w:trPr>
        <w:tc>
          <w:tcPr>
            <w:tcW w:w="5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Trade names</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3-19 years</w:t>
            </w:r>
          </w:p>
        </w:tc>
      </w:tr>
      <w:tr>
        <w:trPr>
          <w:trHeight w:val="229"/>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rPr>
              <w:t>Domain names</w:t>
            </w:r>
          </w:p>
        </w:tc>
        <w:tc>
          <w:tcPr>
            <w:tcW w:w="5580" w:type="dxa"/>
            <w:vAlign w:val="bottom"/>
          </w:tcPr>
          <w:p>
            <w:pPr>
              <w:jc w:val="center"/>
              <w:spacing w:after="0"/>
              <w:rPr>
                <w:sz w:val="20"/>
                <w:szCs w:val="20"/>
                <w:color w:val="auto"/>
              </w:rPr>
            </w:pPr>
            <w:r>
              <w:rPr>
                <w:rFonts w:ascii="Arial" w:cs="Arial" w:eastAsia="Arial" w:hAnsi="Arial"/>
                <w:sz w:val="18"/>
                <w:szCs w:val="18"/>
                <w:color w:val="auto"/>
              </w:rPr>
              <w:t>15 years</w:t>
            </w:r>
          </w:p>
        </w:tc>
      </w:tr>
      <w:tr>
        <w:trPr>
          <w:trHeight w:val="229"/>
        </w:trPr>
        <w:tc>
          <w:tcPr>
            <w:tcW w:w="5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Customer relationships</w:t>
            </w: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5-13 years</w:t>
            </w:r>
          </w:p>
        </w:tc>
      </w:tr>
      <w:tr>
        <w:trPr>
          <w:trHeight w:val="239"/>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Developed technology</w:t>
            </w:r>
          </w:p>
        </w:tc>
        <w:tc>
          <w:tcPr>
            <w:tcW w:w="5580" w:type="dxa"/>
            <w:vAlign w:val="bottom"/>
          </w:tcPr>
          <w:p>
            <w:pPr>
              <w:jc w:val="center"/>
              <w:spacing w:after="0"/>
              <w:rPr>
                <w:sz w:val="20"/>
                <w:szCs w:val="20"/>
                <w:color w:val="auto"/>
              </w:rPr>
            </w:pPr>
            <w:r>
              <w:rPr>
                <w:rFonts w:ascii="Arial" w:cs="Arial" w:eastAsia="Arial" w:hAnsi="Arial"/>
                <w:sz w:val="18"/>
                <w:szCs w:val="18"/>
                <w:color w:val="auto"/>
                <w:w w:val="98"/>
              </w:rPr>
              <w:t>1-2 years</w:t>
            </w:r>
          </w:p>
        </w:tc>
      </w:tr>
    </w:tbl>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valuation of long-lived assets, including intangible assets, property, equipment and software, and operating lease ROU assets are reviewed for impairment whenever events or changes in circumstances indicate that the carrying amount of the asset may not be recoverable. The recoverability of long-lived assets or asset groups is calculated based on the estimated undiscounted future cash flows expected to result from the use and eventual disposition of the asset. If the carrying amount of a long-lived asset or asset group exceeds the sum of the projected undiscounted future cash flows, an impairment charge is recognized as the amount by which the carrying amount of the asset exceeds the fair value of the asset or asset group. Impairment testing is performed at the asset group level.</w:t>
      </w:r>
    </w:p>
    <w:p>
      <w:pPr>
        <w:spacing w:after="0" w:line="128"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No impairment losses on intangible assets or other long-lived assets were recognized during the years ended January 31, 2025 and 2024.</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We recognize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when a customer obtains control of promised services in an amount that reflects the consideration we expect to 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 travel bookings and corporate card transaction dollar volume. Fees from our platform customers are either earned on a per-booking transaction or subscription basis. Fees from our travel supply and payment partners are generally earned on a per transaction basis. Under our arrangements with certain travel supply partners, we earn additional fees when cumulative actual booking or transaction dollar volume exceeds specified contractual thresholds. Our travel supply partners include airlines, hotels, car rental companies, rail carriers, and providers of Global Distribution Systems. Our payment partners primarily include our corporate card payment processors and card issuing partners.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Platform Customers</w:t>
      </w:r>
    </w:p>
    <w:p>
      <w:pPr>
        <w:spacing w:after="0" w:line="171"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Our primary performance obligation is to provide platform customers with continuous access to our cloud-based travel and expense management platform or to our on-demand travel management services. 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spacing w:after="0" w:line="12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22" w:right="3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Travel Supply and Payment Partner Fees</w:t>
      </w:r>
    </w:p>
    <w:p>
      <w:pPr>
        <w:spacing w:after="0" w:line="17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primary performance obligation to our travel supply partners is to connect them to user bookings made on our cloud-based travel management platform or through our on-demand travel management 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spacing w:after="0" w:line="12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to certain platform customers based on the dollar volume of payment transactions processed on our platform. Rebates paid to customers are recognized as a reduction to revenue.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6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Revenue is deferred when we have the right to invoice in advance of performance under a customer contract. We typically invoice platform customers for access to our cloud-based travel and expense management platforms annually in advance, upon execution of the initial contract or subsequent renewal. Invoices are generally payable within 30 to 60 days. The current portion of deferred revenue balances will be recognized during the following 12-month period. The non-current portion of deferred revenue balances will be recognized beyond the next 12-month period.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6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capitalize incremental costs of obtaining a contract with a customer if the costs are recoverable. These costs, which primarily consist of sales commissions, are deferred and amortized on a straight-line basis over the period of benefit, which we have estimated to be five years. We estimate the period of benefit by primarily taking into consideration the average customer life, among other factors. During fiscal 2025, we capitalized $23.7 million of contract acquisition costs and recognized related amortization expense of $5.6 million. During fiscal 2024, no contract acquisition costs were capitalized and we recognized amortization expense of $7.0 million. Amortization expense is included in sales and marketing expense in the consolidated statements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 cloud infrastructure costs incurred to deliver our cloud-based travel and expense management platform, amortization of internally developed software and acquired technology, credit card processing fees, third-party vendor fees, and the allocation of certain corporate costs.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indirect operating costs and depreciation on property and equipment, and the allocation of certain corporate costs.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6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22"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corporate costs. The Company expenses certain sales and marketing costs, including promotional expenses, as incurred.</w:t>
      </w:r>
    </w:p>
    <w:p>
      <w:pPr>
        <w:spacing w:after="0" w:line="171"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Advertising costs are expensed as incurred in sales and marketing expense in the consolidated statements of operations and amounted to $22.3 million and $12.4 million for the years ended January 31, 2025 and 2024, respectively.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the allocation of certain corporate costs, and bad debt expenses. General and administrative expenses are expensed as incurred.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Stock-based compensation expense is recognized over the requisite service period, which is generally over the vesting term of four years, on a straight-line basis for all stock-based payments that are granted to employees, non-employees and directors, including grants of employee stock options and other stock-based awards, that vest based on time-based service vesting conditions. Equity-classified awards issued to employees, non-employees such as consultants and non-employee directors are measured at the grant-date fair value of the award. Forfeitures are recognized as they occur. We estimate the grant-date fair value of stock options using the Black-Scholes option pricing model. The Black-Scholes option pricing model requires the input of highly subjective assumptions, including the fair value of the underlying common stock, the expected term of the option and the expected volatility of the price of the Company’s common stock.</w:t>
      </w:r>
    </w:p>
    <w:p>
      <w:pPr>
        <w:spacing w:after="0" w:line="1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Restricted stock units (“RSUs”) are subject to both time-based service and performance-based vesting conditions, which may be satisfied by either a sale of the company or following the effective date of an initial public offering, neither of which, for accounting purposes, are considered probable until they occur. The fair value of new or modified RSU awards is equal to the grant date fair value of the Company’s common stock. These RSUs generally vest over a four-year period based on the achievement of specified qualifying events and subject to continued service through the applicable vesting dates. Compensation cost is recognized over the requisite service period when it is probable that the performance condition will be satisfied. In the period in which the performance-based condition becomes probable, we will record cumulative stock-based compensation expense for the service period completed to such date and will begin recording stock-based compensation expense using the accelerated attribution method based on the grant-date fair value of the RSUs for awards where the service period is not complete.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Other Related Taxes</w:t>
      </w:r>
    </w:p>
    <w:p>
      <w:pPr>
        <w:spacing w:after="0" w:line="169"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Amounts collected from customers and remitted to governmental authorities, which primarily comprise value added taxes in foreign jurisdictions and sales tax in domestic jurisdictions, are presented on a net basis in the consolidated statements of operations in that taxes billed to customers are not included as a component of revenue.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(Loss) on Fair Value Adjustments</w:t>
      </w:r>
    </w:p>
    <w:p>
      <w:pPr>
        <w:spacing w:after="0" w:line="169"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Gain (loss) on fair value adjustments consists of gains and losses as a result of recording our embedded derivative and warrant liabilities at fair value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22" w:right="3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9"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Other income (expense), net consists of interest income earned on cash and cash equivalents, foreign exchange gains and losses, and other non-operating gains and losses.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record a provision for income taxes for the anticipated tax consequences of the reported results of operations using the asset and liability method. Deferred tax assets and liabilities are recognized by applying enacted statutory tax rates applicable to future years to differences between the financial statement carrying amounts of existing assets and liabilities and their respective tax bases as well as net operating loss and tax credit carryforwards. The effect of a change in tax rates on deferred tax assets and liabilities is recognized in income in the period that includes the enactment date. The measurement of deferred tax assets is reduced, if necessary, by a valuation allowance for any tax benefits for which future realization is uncertain. We account for the tax effects of global intangible low tax income as a current period expense.</w:t>
      </w:r>
    </w:p>
    <w:p>
      <w:pPr>
        <w:spacing w:after="0" w:line="1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use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by the taxing authorities, based on the technical merits of the position. The tax benefits recognized in the financial statements from such positions are then measured based on the largest amount of benefit that has a greater than 50% likelihood of being realized upon ultimate settlement. We account for uncertainty in tax positions recognized in the consolidated financial statements by recognizing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 recognized. Interest and penalties related to uncertain tax positions are recognized in the provision for income taxes. See Note 12 — Income Taxes for further information regarding income taxes.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companies with participating securities. We consider all series of our redeemable convertible preferred stock, together with warrants to purchase redeemable convertible preferred stock, to be participating securities as the holders of such stock have the right to receive noncumulative dividends on a pari passu basis in the event that a dividend is paid on common stock. Under the two-class method, net losses are not allocated to the participating securities as the participating securities do not have a contractual obligation to share in the Company’s losses.</w:t>
      </w:r>
    </w:p>
    <w:p>
      <w:pPr>
        <w:spacing w:after="0" w:line="12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net loss attributable to common stockholders by the weighted average number of shares of common stock outstanding during the period. Diluted net loss per share attributable to common stockholders adjusts basic earnings per share for the potentially dilutive impact of common stock equivalents to the extent they are dilutive. As the Company has reported losses for all periods presented, all potentially dilutive securities are anti-dilutive, and accordingly, basic net loss per share equals diluted net loss per share.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9"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Comprehensive loss is comprised of net loss and other comprehensive loss. The primary component of other comprehensive loss is foreign currency translation adjustments arising from the consolidation of foreign legal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22"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Company’s chief operating decision maker (“CODM”) is its Chief Executive Officer, who reviews financial information presented on a consolidated basis for purposes of making operating decisions, assessing financial performance, and allocating resources. The Company operates its business in one operating segment and, therefore, has one reportable segment.</w:t>
      </w:r>
    </w:p>
    <w:p>
      <w:pPr>
        <w:spacing w:after="0" w:line="11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CODM uses consolidated net loss to measure segment profit or loss in order to assess, manage, and maintain performance of the business based on resource allocations. The CODM also uses consolidated net loss to approve operating budgets and to identify product development and market expansion opportunities. The Company’s objective in making resource allocation decisions is to optimize the consolidated financial results. Significant segment expenses that the CODM reviews and utilizes to manage the Company’s operations are cost of revenue, research and development, sales and marketing, and general and administrative expenses at the consolidated level, which are presented in the Company’s consolidated statements of operations. Other segment items included in consolidated net loss include gain (loss) on fair value adjustments, interest expense, other income (expense), net, and income tax expense, which are presented in the Company’s consolidated statements of operations. The measure of segment assets is reported on the balance sheet as total consolidated assets.</w:t>
      </w:r>
    </w:p>
    <w:p>
      <w:pPr>
        <w:spacing w:after="0" w:line="127"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Revenue by geographical region can be found in Note 2 — Revenue. The following table presents long-lived assets, which includes property, equipment and software, net of depreciation and amortization, and operating lease ROU assets, by geographic region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59,181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10,633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countries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long-lived assets, net</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77,544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77,060</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In June 2016, the Financial Accounting Standards Board (FASB) issued ASU No. 2016-13, </w:t>
      </w:r>
      <w:r>
        <w:rPr>
          <w:rFonts w:ascii="Arial" w:cs="Arial" w:eastAsia="Arial" w:hAnsi="Arial"/>
          <w:sz w:val="18"/>
          <w:szCs w:val="18"/>
          <w:i w:val="1"/>
          <w:iCs w:val="1"/>
          <w:color w:val="auto"/>
        </w:rPr>
        <w:t>Financial Instruments—Credit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326): Measurement of Credit Losses on Financial Instruments </w:t>
      </w:r>
      <w:r>
        <w:rPr>
          <w:rFonts w:ascii="Arial" w:cs="Arial" w:eastAsia="Arial" w:hAnsi="Arial"/>
          <w:sz w:val="18"/>
          <w:szCs w:val="18"/>
          <w:color w:val="auto"/>
        </w:rPr>
        <w:t>(“ASU 2016-13”). ASU 2016-13 amends guidance related to impairment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by replacing the incurred loss impairment methodology with an expected credit loss model for which a company recognizes an allowance based on the estimate of expected credit loss. The Company adopted ASU 2016-13 as of February 1, 2023 with no material impact to its consolidated financial statements.</w:t>
      </w:r>
    </w:p>
    <w:p>
      <w:pPr>
        <w:spacing w:after="0" w:line="1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(“ASU 2023-07”), which amends disclosure requirements relating to segment reporting, primarily through enhanced disclosure about significant segment expenses and by requiring disclosure of segment information on an annual and interim basis. The Company adopted ASU 2023-07 as of February 1, 2024 with no material impact on its consolidated financial statements. For further information, refer to Segment Information within Note 1 — Description of Business and Significant Accounting Policies.</w:t>
      </w:r>
    </w:p>
    <w:p>
      <w:pPr>
        <w:spacing w:after="0" w:line="1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Hedging—Contracts in Entity’s Own Equity (Subtopic 815-40) </w:t>
      </w:r>
      <w:r>
        <w:rPr>
          <w:rFonts w:ascii="Arial" w:cs="Arial" w:eastAsia="Arial" w:hAnsi="Arial"/>
          <w:sz w:val="18"/>
          <w:szCs w:val="18"/>
          <w:color w:val="auto"/>
        </w:rPr>
        <w:t>(“ASU 2020-06”). ASU 2020-06 is intended to simplify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by removing certain separation models and to simplify the accounting for contracts in an entity’s own equity by eliminating the settlement criteria to qualify for a scope exception from derivative accounting. ASU 2020-06 also clarifies the diluted earnings per share calculation when convertible instruments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22" w:right="3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contracts in an entity’s own equity are involved. The Company adopted ASU 2020-06 as of February 1, 2024 with no material impact to its consolidated financial statements.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6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Income Taxes (Topic 740): Improvements to Income Tax Disclosures</w:t>
      </w:r>
      <w:r>
        <w:rPr>
          <w:rFonts w:ascii="Arial" w:cs="Arial" w:eastAsia="Arial" w:hAnsi="Arial"/>
          <w:sz w:val="17"/>
          <w:szCs w:val="17"/>
          <w:color w:val="auto"/>
        </w:rPr>
        <w:t>, which requires entities to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(loss) by the applicable statutory income tax rate). This standard is effective for public business entities for annual periods beginning after December 15, 2024. For all other entities, the standard is effective for annual periods beginning after December 15, 2025. Early adoption is permitted. The Company is currently evaluating the impact of this standard on its consolidated financial statements.</w:t>
      </w:r>
    </w:p>
    <w:p>
      <w:pPr>
        <w:spacing w:after="0" w:line="11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The new guidance requires disaggregated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income statement expense line items on an annual and interim basis. The standard is effective for public business entities for annual periods beginning after December 15, 2026 and interim reporting periods beginning after December 15, 2027. Early adoption is permitted. The Company is currently evaluating the impact of this standard on its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consists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Usage-based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371,728</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 revenue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30,528</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402,256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Usage-based revenue primarily represents fees from our platform customers earned on a per-booking transaction basis and fees from our travel supply and payment partners, which are generally earned on a per transaction basis. Under our arrangements with certain travel supply partners, we earn additional fees when cumulative actual booking or transaction dollar volume exceeds specified contractual thresholds. Subscription revenue primarily represents revenue earned from subscriptions to our expense management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22" w:right="3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revenue by region based on the billing country of customers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Year Ended January 31,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96"/>
        </w:trPr>
        <w:tc>
          <w:tcPr>
            <w:tcW w:w="4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4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416"/>
              <w:spacing w:after="0"/>
              <w:rPr>
                <w:sz w:val="20"/>
                <w:szCs w:val="20"/>
                <w:color w:val="auto"/>
              </w:rPr>
            </w:pPr>
            <w:r>
              <w:rPr>
                <w:rFonts w:ascii="Arial" w:cs="Arial" w:eastAsia="Arial" w:hAnsi="Arial"/>
                <w:sz w:val="14"/>
                <w:szCs w:val="14"/>
                <w:b w:val="1"/>
                <w:bCs w:val="1"/>
                <w:color w:val="auto"/>
              </w:rPr>
              <w:t>2024</w:t>
            </w:r>
          </w:p>
        </w:tc>
      </w:tr>
      <w:tr>
        <w:trPr>
          <w:trHeight w:val="196"/>
        </w:trPr>
        <w:tc>
          <w:tcPr>
            <w:tcW w:w="4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 of Revenue</w:t>
            </w:r>
          </w:p>
        </w:tc>
        <w:tc>
          <w:tcPr>
            <w:tcW w:w="300" w:type="dxa"/>
            <w:vAlign w:val="bottom"/>
          </w:tcPr>
          <w:p>
            <w:pPr>
              <w:spacing w:after="0"/>
              <w:rPr>
                <w:sz w:val="17"/>
                <w:szCs w:val="17"/>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Percentage of Revenue</w:t>
            </w:r>
          </w:p>
        </w:tc>
      </w:tr>
      <w:tr>
        <w:trPr>
          <w:trHeight w:val="22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315,807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217,427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129,412</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115,234</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 of World</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91,618</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69,595</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3"/>
        </w:trPr>
        <w:tc>
          <w:tcPr>
            <w:tcW w:w="45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536,837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402,256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 individual country within Rest of World comprises more than 10% of total revenue.</w:t>
      </w:r>
    </w:p>
    <w:p>
      <w:pPr>
        <w:spacing w:after="0" w:line="14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Unbilled Receivables</w:t>
      </w:r>
    </w:p>
    <w:p>
      <w:pPr>
        <w:spacing w:after="0" w:line="16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receive payments from customers based on a billing schedule as established in our customer contracts. Accounts receivable are recorded when we have an unconditional right to consideration. In some arrangements, we have a right to consideration for our performance under the customer contract before invoicing the customer, resulting in an unbilled accounts receivable. We recognized unbilled accounts receivable of $51.9 million and $38.1 million as of January 31, 2025 and 2024, respectively. Unbilled accounts receivable is recorded within accounts receivable, net on the accompanying consolidated balance sheets.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6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Revenue is deferred when we have the right to invoice in advance of performance under a customer contract. The deferred revenue balance primarily consists of annual subscription payments. The current portion of deferred revenue represents the amounts that are expected to be recognized within one year of the balance sheet date. The non-current portion of deferred revenue represents amounts that are expected to be recognized more than one year from the balance sheet date. For the years ended January 31, 2025 and 2024, revenue recognized from deferred revenue at the beginning of the period was $27.7 million and $18.6 million, respectively.</w:t>
      </w:r>
    </w:p>
    <w:p>
      <w:pPr>
        <w:spacing w:after="0" w:line="1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Remaining performance obligations represent the amount of contracted future revenue that has not yet been recognized. We do not disclose the value of remaining performance obligations for (i) contracts with an original expected length of one year or less, and (ii) contracts for which variable consideration is allocated to an unsatisfied performance obligation. Our remaining performance obligations related to multi-year subscription contracts were $28.2 million as of January 31, 2025, of which we expect to recognize approximately 59% as revenue over the next 12 months, 32% as revenue over the subsequent 13 to 24 months, and the remainder thereafter.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71"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The following table presents our financial assets and liabilities measured at fair value on a recurring basis based on the three-tier fair value hierarchy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Fair value measurements as of January 31, 2025</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6"/>
        </w:trPr>
        <w:tc>
          <w:tcPr>
            <w:tcW w:w="4680" w:type="dxa"/>
            <w:vAlign w:val="bottom"/>
          </w:tcPr>
          <w:p>
            <w:pPr>
              <w:spacing w:after="0"/>
              <w:rPr>
                <w:sz w:val="17"/>
                <w:szCs w:val="17"/>
                <w:color w:val="auto"/>
              </w:rPr>
            </w:pP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Embedded derivative liability</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59,820</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60,247</w:t>
            </w:r>
          </w:p>
        </w:tc>
      </w:tr>
      <w:tr>
        <w:trPr>
          <w:trHeight w:val="20"/>
        </w:trPr>
        <w:tc>
          <w:tcPr>
            <w:tcW w:w="4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22" w:right="3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Fair value measurements as of January 31, 2024</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6"/>
        </w:trPr>
        <w:tc>
          <w:tcPr>
            <w:tcW w:w="4680" w:type="dxa"/>
            <w:vAlign w:val="bottom"/>
          </w:tcPr>
          <w:p>
            <w:pPr>
              <w:spacing w:after="0"/>
              <w:rPr>
                <w:sz w:val="17"/>
                <w:szCs w:val="17"/>
                <w:color w:val="auto"/>
              </w:rPr>
            </w:pP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11"/>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Embedded derivative liability</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72,150</w:t>
            </w:r>
          </w:p>
        </w:tc>
      </w:tr>
      <w:tr>
        <w:trPr>
          <w:trHeight w:val="223"/>
        </w:trPr>
        <w:tc>
          <w:tcPr>
            <w:tcW w:w="4680" w:type="dxa"/>
            <w:vAlign w:val="bottom"/>
          </w:tcPr>
          <w:p>
            <w:pPr>
              <w:ind w:left="2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72,447</w:t>
            </w:r>
          </w:p>
        </w:tc>
      </w:tr>
      <w:tr>
        <w:trPr>
          <w:trHeight w:val="20"/>
        </w:trPr>
        <w:tc>
          <w:tcPr>
            <w:tcW w:w="4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color w:val="auto"/>
        </w:rPr>
        <w:t>There were no transfers between Level 1, Level 2 or Level 3 fair value hierarchy categories of financial instruments during the years ended January 31, 2025 and 2024.</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 Warrant Liability</w:t>
      </w:r>
    </w:p>
    <w:p>
      <w:pPr>
        <w:spacing w:after="0" w:line="169"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In connection with a loan agreement entered into in December 2015, we issued redeemable convertible preferred stock warrants to purchase 182,272, 90,576, 102,240 and 120,480 shares of Series Seed, Series A, Series A-1 and Series B preferred stock at the stated exercise prices of $0.0823, $0.1656, $0.1951 and $0.6225 per share, respectively. As of January 31, 2025 and 2024, 120,480 Series B redeemable convertible preferred stock warrants remain outstanding and are recorded at a fair value of $0.4 million and $0.3 million, respectively.</w:t>
      </w:r>
    </w:p>
    <w:p>
      <w:pPr>
        <w:spacing w:after="0" w:line="125"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The fair value of the redeemable convertible preferred stock warrant liability was determined using the Black-Scholes option pricing model. The following assumptions were used to calculate the fair value of the redeemable convertible preferred stock warrant liability: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50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74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2024</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55.0 - 65.0%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64.5 - 69.5%</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jc w:val="right"/>
              <w:spacing w:after="0"/>
              <w:rPr>
                <w:sz w:val="20"/>
                <w:szCs w:val="20"/>
                <w:color w:val="auto"/>
              </w:rPr>
            </w:pPr>
            <w:r>
              <w:rPr>
                <w:rFonts w:ascii="Arial" w:cs="Arial" w:eastAsia="Arial" w:hAnsi="Arial"/>
                <w:sz w:val="18"/>
                <w:szCs w:val="18"/>
                <w:color w:val="auto"/>
              </w:rPr>
              <w:t>4.06 - 4.82%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3.61 - 4.86%</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3.9 - 4.4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4.9 - 5.4</w:t>
            </w: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15"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The redeemable convertible preferred stock warrant liability is recorded within other non-current liabilities on the consolidated balance sheets. Changes in fair value are recorded in gain (loss) on fair value adjustments on the accompanying consolidated statements of operations for the years ended January 31, 2025 and 2024. We will continue to adjust the redeemable convertible preferred stock warrant liability for changes in fair value until the earlier of conversion, exercise or expiration of the warrants.</w:t>
      </w:r>
    </w:p>
    <w:p>
      <w:pPr>
        <w:spacing w:after="0" w:line="12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Fair value measurements are highly sensitive to changes in these inputs; significant changes in these inputs would result in a significantly higher or lower fair value. The change in value of the redeemable convertible preferred stock warrant liability during the years ended January 31, 2025 and 2024 is summarized below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9"/>
              </w:rPr>
              <w:t>433</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9"/>
              </w:rPr>
              <w:t>(136)</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2024</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9"/>
              </w:rPr>
              <w:t>297</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9"/>
              </w:rPr>
              <w:t>130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2025</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9"/>
              </w:rPr>
              <w:t>427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22" w:right="3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Embedded Derivative Liability</w:t>
      </w:r>
    </w:p>
    <w:p>
      <w:pPr>
        <w:spacing w:after="0" w:line="16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embedded derivative liability is bifurcated from the convertible notes issued in June 2020. Refer to Note 8 — Debt for further information regarding the convertible notes. The fair value of the embedded derivative liability was computed using a combination of the income approach, the Black-Scholes option pricing model, a probability-weighted estimate of the time to conversion, and other Level 3 inputs. Significant management assumptions and estimates were involved in this determination. The significant unobservable inputs used in measuring the fair value of the embedded derivative liability include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3960" w:type="dxa"/>
            <w:vAlign w:val="bottom"/>
            <w:tcBorders>
              <w:bottom w:val="single" w:sz="8" w:color="auto"/>
            </w:tcBorders>
            <w:gridSpan w:val="3"/>
          </w:tcPr>
          <w:p>
            <w:pPr>
              <w:jc w:val="right"/>
              <w:ind w:right="1093"/>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28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2024</w:t>
            </w: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to expiration (in years)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0.70 - 1.70</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1.17 - 2.17</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Time from conversion to maturity (in years)</w:t>
            </w:r>
          </w:p>
        </w:tc>
        <w:tc>
          <w:tcPr>
            <w:tcW w:w="1940" w:type="dxa"/>
            <w:vAlign w:val="bottom"/>
          </w:tcPr>
          <w:p>
            <w:pPr>
              <w:jc w:val="right"/>
              <w:spacing w:after="0"/>
              <w:rPr>
                <w:sz w:val="20"/>
                <w:szCs w:val="20"/>
                <w:color w:val="auto"/>
              </w:rPr>
            </w:pPr>
            <w:r>
              <w:rPr>
                <w:rFonts w:ascii="Arial" w:cs="Arial" w:eastAsia="Arial" w:hAnsi="Arial"/>
                <w:sz w:val="18"/>
                <w:szCs w:val="18"/>
                <w:color w:val="auto"/>
              </w:rPr>
              <w:t>0.65 - 1.65</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0.19 - 1.19</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factor</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940" w:type="dxa"/>
            <w:vAlign w:val="bottom"/>
          </w:tcPr>
          <w:p>
            <w:pPr>
              <w:jc w:val="right"/>
              <w:spacing w:after="0"/>
              <w:rPr>
                <w:sz w:val="20"/>
                <w:szCs w:val="20"/>
                <w:color w:val="auto"/>
              </w:rPr>
            </w:pPr>
            <w:r>
              <w:rPr>
                <w:rFonts w:ascii="Arial" w:cs="Arial" w:eastAsia="Arial" w:hAnsi="Arial"/>
                <w:sz w:val="18"/>
                <w:szCs w:val="18"/>
                <w:color w:val="auto"/>
              </w:rPr>
              <w:t>57.8% - 72.6%</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66.1% - 85.3%</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rate</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 - 4.15%</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- 4.65%</w:t>
            </w:r>
          </w:p>
        </w:tc>
      </w:tr>
    </w:tbl>
    <w:p>
      <w:pPr>
        <w:spacing w:after="0" w:line="238"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The change in value of the embedded derivative liability during the years ended January 31, 2025 and 2024 is summarized below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8"/>
              </w:rPr>
              <w:t>45,420</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8"/>
              </w:rPr>
              <w:t>26,730</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2024</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8"/>
              </w:rPr>
              <w:t>72,150</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rPr>
              <w:t>(12,330)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8"/>
              </w:rPr>
              <w:t>59,820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Changes in fair value of the embedded derivative liability are recognized as a component of gain (loss) on fair value adjustments in the accompanying consolidated statements of operations.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69"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fair value of other financial instruments that are not recognized at fair value on the balance sheet are presented below for disclosure purposes only.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7"/>
        </w:trPr>
        <w:tc>
          <w:tcPr>
            <w:tcW w:w="632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 Hierarchy</w:t>
            </w:r>
          </w:p>
        </w:tc>
        <w:tc>
          <w:tcPr>
            <w:tcW w:w="38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24"/>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5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Level 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359,200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314,400</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Warehouse credit facility</w:t>
            </w:r>
          </w:p>
        </w:tc>
        <w:tc>
          <w:tcPr>
            <w:tcW w:w="1660" w:type="dxa"/>
            <w:vAlign w:val="bottom"/>
            <w:gridSpan w:val="2"/>
          </w:tcPr>
          <w:p>
            <w:pPr>
              <w:ind w:left="980"/>
              <w:spacing w:after="0"/>
              <w:rPr>
                <w:sz w:val="20"/>
                <w:szCs w:val="20"/>
                <w:color w:val="auto"/>
              </w:rPr>
            </w:pPr>
            <w:r>
              <w:rPr>
                <w:rFonts w:ascii="Arial" w:cs="Arial" w:eastAsia="Arial" w:hAnsi="Arial"/>
                <w:sz w:val="18"/>
                <w:szCs w:val="18"/>
                <w:color w:val="auto"/>
              </w:rPr>
              <w:t>Level 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210,995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200,238</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loan facility</w:t>
            </w:r>
          </w:p>
        </w:tc>
        <w:tc>
          <w:tcPr>
            <w:tcW w:w="16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Level 3</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2022 promissory note</w:t>
            </w:r>
          </w:p>
        </w:tc>
        <w:tc>
          <w:tcPr>
            <w:tcW w:w="1660" w:type="dxa"/>
            <w:vAlign w:val="bottom"/>
            <w:gridSpan w:val="2"/>
          </w:tcPr>
          <w:p>
            <w:pPr>
              <w:ind w:left="980"/>
              <w:spacing w:after="0"/>
              <w:rPr>
                <w:sz w:val="20"/>
                <w:szCs w:val="20"/>
                <w:color w:val="auto"/>
              </w:rPr>
            </w:pPr>
            <w:r>
              <w:rPr>
                <w:rFonts w:ascii="Arial" w:cs="Arial" w:eastAsia="Arial" w:hAnsi="Arial"/>
                <w:sz w:val="18"/>
                <w:szCs w:val="18"/>
                <w:color w:val="auto"/>
              </w:rPr>
              <w:t>Level 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179,932</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161,518</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w:t>
            </w:r>
          </w:p>
        </w:tc>
        <w:tc>
          <w:tcPr>
            <w:tcW w:w="16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Level 3</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22" w:right="3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COMPONENTS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equipment and software,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 and fittings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2,422</w:t>
            </w:r>
          </w:p>
        </w:tc>
      </w:tr>
      <w:tr>
        <w:trPr>
          <w:trHeight w:val="229"/>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equipment and software, gross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60,842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(29,659)</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equipment and software, net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31,183</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 Construction in progress consists of leasehold improvements and capitalized software development costs that have not been placed into service.</w:t>
      </w:r>
    </w:p>
    <w:p>
      <w:pPr>
        <w:spacing w:after="0" w:line="146"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For the years ended January 31, 2025 and 2024, depreciation and amortization expense related to property, equipment and software was $19.7 million and $20.5 million, respectively. Included in these amounts was amortization expense for capitalized internal-use software costs of approximately $14.9 million and $13.8 million for the years ended January 31, 2025 and 2024, respectively.</w:t>
      </w:r>
    </w:p>
    <w:p>
      <w:pPr>
        <w:spacing w:after="0" w:line="117"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For the year ended January 31, 2024, accelerated depreciation of $3.4 million was recognized on certain of our leasehold improvements due to the early termination of one of our office leases. See Note 5 — Leases for further details.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Deposits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30"/>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Payment processor advances</w:t>
            </w:r>
            <w:r>
              <w:rPr>
                <w:rFonts w:ascii="Arial" w:cs="Arial" w:eastAsia="Arial" w:hAnsi="Arial"/>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Tax receivable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10,928</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35,628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34,664</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8" w:lineRule="exact"/>
        <w:rPr>
          <w:sz w:val="20"/>
          <w:szCs w:val="20"/>
          <w:color w:val="auto"/>
        </w:rPr>
      </w:pPr>
    </w:p>
    <w:p>
      <w:pPr>
        <w:ind w:left="320" w:hanging="312"/>
        <w:spacing w:after="0"/>
        <w:tabs>
          <w:tab w:leader="none" w:pos="3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Payment processor advances represent amounts prefunded to and held by payment processors in order to fund future customer spend</w:t>
      </w:r>
      <w:r>
        <w:rPr>
          <w:rFonts w:ascii="Arial" w:cs="Arial" w:eastAsia="Arial" w:hAnsi="Arial"/>
          <w:sz w:val="17"/>
          <w:szCs w:val="17"/>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F-23</w:t>
      </w:r>
    </w:p>
    <w:p>
      <w:pPr>
        <w:sectPr>
          <w:pgSz w:w="11900" w:h="16838" w:orient="portrait"/>
          <w:cols w:equalWidth="0" w:num="1">
            <w:col w:w="11240"/>
          </w:cols>
          <w:pgMar w:left="320" w:top="122" w:right="3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employee benefits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40,922</w:t>
            </w:r>
          </w:p>
        </w:tc>
      </w:tr>
      <w:tr>
        <w:trPr>
          <w:trHeight w:val="230"/>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Amounts due to travel supply partners</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w:t>
            </w:r>
          </w:p>
        </w:tc>
      </w:tr>
      <w:tr>
        <w:trPr>
          <w:trHeight w:val="229"/>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Reward liability</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12,463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tax payable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Indirect tax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exercise liability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accrued expenses and other current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136,798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127,242</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ind w:left="340" w:right="80" w:hanging="332"/>
        <w:spacing w:after="0" w:line="252" w:lineRule="auto"/>
        <w:tabs>
          <w:tab w:leader="none" w:pos="33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This balance represents the timing difference of when the Company charges customers for certain travel booking transactions, and when the balance is remitted to travel supply partners or needs to be refunded.</w:t>
      </w:r>
    </w:p>
    <w:p>
      <w:pPr>
        <w:spacing w:after="0" w:line="1" w:lineRule="exact"/>
        <w:rPr>
          <w:rFonts w:ascii="Arial" w:cs="Arial" w:eastAsia="Arial" w:hAnsi="Arial"/>
          <w:sz w:val="16"/>
          <w:szCs w:val="16"/>
          <w:color w:val="auto"/>
        </w:rPr>
      </w:pPr>
    </w:p>
    <w:p>
      <w:pPr>
        <w:ind w:left="340" w:right="140" w:hanging="332"/>
        <w:spacing w:after="0" w:line="270" w:lineRule="auto"/>
        <w:tabs>
          <w:tab w:leader="none" w:pos="33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This balance represents the vested and unpaid rewards earned by users of our platform. Refer to Revenue Recognition within Note 1 — Description of Business and Significant Accounting Policies for further details.</w:t>
      </w:r>
    </w:p>
    <w:p>
      <w:pPr>
        <w:spacing w:after="0" w:line="12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Other Non-Current Liabilities</w:t>
      </w:r>
    </w:p>
    <w:p>
      <w:pPr>
        <w:spacing w:after="0" w:line="16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Other non-current liabilities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Loss contingency reserves</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7,028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payable for unrecognized tax benefits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NOW Scheme contingency payable</w:t>
            </w:r>
            <w:r>
              <w:rPr>
                <w:rFonts w:ascii="Arial" w:cs="Arial" w:eastAsia="Arial" w:hAnsi="Arial"/>
                <w:sz w:val="23"/>
                <w:szCs w:val="23"/>
                <w:color w:val="auto"/>
                <w:vertAlign w:val="superscript"/>
              </w:rPr>
              <w:t>(2)</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non-current liabilities</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22,949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31" w:lineRule="exact"/>
        <w:rPr>
          <w:sz w:val="20"/>
          <w:szCs w:val="20"/>
          <w:color w:val="auto"/>
        </w:rPr>
      </w:pPr>
    </w:p>
    <w:p>
      <w:pPr>
        <w:ind w:left="320" w:hanging="312"/>
        <w:spacing w:after="0"/>
        <w:tabs>
          <w:tab w:leader="none" w:pos="3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Loss contingency reserves consist of accruals related primarily to employment taxes.</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Refer to Note 13 — Commitments and Contingencies for further information on the NOW Scheme.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71"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Our operating leases primarily include leases for office space in various locations around the world under non-cancellable operating lease arrangements that expire at various dates through fiscal year 2033. Certain leases contain escalation clauses and renewal options. Generally, our leases have no purchase options, residual value guarantees or material covenants. Our leases require us to pay certain operating expenses, such as taxes, repairs and insurance.</w:t>
      </w:r>
    </w:p>
    <w:p>
      <w:pPr>
        <w:spacing w:after="0" w:line="122"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The components of lease cost include fixed payments on our operating leases, fixed payments on our short-term leases and variable lease payments. Variable lease payments consist of common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22" w:right="3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maintenance, utilities reimbursed to the landlord, taxes and other costs and are expensed as incurred. The components of lease cost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15,047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15,393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23"/>
        </w:trPr>
        <w:tc>
          <w:tcPr>
            <w:tcW w:w="7980" w:type="dxa"/>
            <w:vAlign w:val="bottom"/>
          </w:tcPr>
          <w:p>
            <w:pPr>
              <w:ind w:left="260"/>
              <w:spacing w:after="0"/>
              <w:rPr>
                <w:sz w:val="20"/>
                <w:szCs w:val="20"/>
                <w:color w:val="auto"/>
              </w:rPr>
            </w:pPr>
            <w:r>
              <w:rPr>
                <w:rFonts w:ascii="Arial" w:cs="Arial" w:eastAsia="Arial" w:hAnsi="Arial"/>
                <w:sz w:val="18"/>
                <w:szCs w:val="18"/>
                <w:color w:val="auto"/>
              </w:rPr>
              <w:t>Total lease costs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20,420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23,713</w:t>
            </w:r>
          </w:p>
        </w:tc>
        <w:tc>
          <w:tcPr>
            <w:tcW w:w="0" w:type="dxa"/>
            <w:vAlign w:val="bottom"/>
          </w:tcPr>
          <w:p>
            <w:pPr>
              <w:spacing w:after="0"/>
              <w:rPr>
                <w:sz w:val="1"/>
                <w:szCs w:val="1"/>
                <w:color w:val="auto"/>
              </w:rPr>
            </w:pPr>
          </w:p>
        </w:tc>
      </w:tr>
      <w:tr>
        <w:trPr>
          <w:trHeight w:val="21"/>
        </w:trPr>
        <w:tc>
          <w:tcPr>
            <w:tcW w:w="7980" w:type="dxa"/>
            <w:vAlign w:val="bottom"/>
            <w:vMerge w:val="restart"/>
          </w:tcPr>
          <w:p>
            <w:pPr>
              <w:ind w:left="340"/>
              <w:spacing w:after="0"/>
              <w:rPr>
                <w:sz w:val="20"/>
                <w:szCs w:val="20"/>
                <w:color w:val="auto"/>
              </w:rPr>
            </w:pPr>
            <w:r>
              <w:rPr>
                <w:rFonts w:ascii="Arial" w:cs="Arial" w:eastAsia="Arial" w:hAnsi="Arial"/>
                <w:sz w:val="18"/>
                <w:szCs w:val="18"/>
                <w:color w:val="auto"/>
              </w:rPr>
              <w:t>Supplemental cash flow information related to leases was as follows (dollars in thousands):</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7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98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15,518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22,507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of lease liabilities due to lease modifications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Increase (decrease) of right-of-use assets due to lease modifications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Termination of operating lease liabilities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color w:val="auto"/>
              </w:rPr>
              <w:t>Termination of operating lease right-of-use assets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During the year ended January 31, 2024, we agreed to an early termination of our office lease in Dallas, Texas and paid an aggregate of $5.5 million in early termination fees. The early termination is treated as a lease modification in the supplemental cash flow information included in the above table.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 information related to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January 31,</w:t>
            </w:r>
          </w:p>
        </w:tc>
        <w:tc>
          <w:tcPr>
            <w:tcW w:w="1100" w:type="dxa"/>
            <w:vAlign w:val="bottom"/>
            <w:tcBorders>
              <w:bottom w:val="single" w:sz="8" w:color="auto"/>
            </w:tcBorders>
          </w:tcPr>
          <w:p>
            <w:pPr>
              <w:spacing w:after="0"/>
              <w:rPr>
                <w:sz w:val="17"/>
                <w:szCs w:val="17"/>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2024</w:t>
            </w: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for operating leases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years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years</w:t>
            </w:r>
          </w:p>
        </w:tc>
      </w:tr>
      <w:tr>
        <w:trPr>
          <w:trHeight w:val="239"/>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11.2 %</w:t>
            </w:r>
          </w:p>
        </w:tc>
      </w:tr>
      <w:tr>
        <w:trPr>
          <w:trHeight w:val="467"/>
        </w:trPr>
        <w:tc>
          <w:tcPr>
            <w:tcW w:w="7760" w:type="dxa"/>
            <w:vAlign w:val="bottom"/>
          </w:tcPr>
          <w:p>
            <w:pPr>
              <w:ind w:left="340"/>
              <w:spacing w:after="0"/>
              <w:rPr>
                <w:sz w:val="20"/>
                <w:szCs w:val="20"/>
                <w:color w:val="auto"/>
              </w:rPr>
            </w:pPr>
            <w:r>
              <w:rPr>
                <w:rFonts w:ascii="Arial" w:cs="Arial" w:eastAsia="Arial" w:hAnsi="Arial"/>
                <w:sz w:val="18"/>
                <w:szCs w:val="18"/>
                <w:color w:val="auto"/>
              </w:rPr>
              <w:t>Maturities of lease liabilities as of January 31, 2025 were as follows (in thousands):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7"/>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Amount</w:t>
            </w: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0" w:type="dxa"/>
            <w:vAlign w:val="bottom"/>
            <w:gridSpan w:val="3"/>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2027</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12,977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2029</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9,306</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13,428</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72,280</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(17,793)</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payments</w:t>
            </w:r>
          </w:p>
        </w:tc>
        <w:tc>
          <w:tcPr>
            <w:tcW w:w="180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22" w:right="3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BUSINESS COMBINATIONS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Shorebird Technologies Private Limited</w:t>
      </w:r>
    </w:p>
    <w:p>
      <w:pPr>
        <w:spacing w:after="0" w:line="169"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On May 17, 2023, we acquired all of the outstanding stock of Shorebird Technologies Private Limited (Tripeur), an Indian-based travel management company for an aggregate purchase price of $7.2 million paid in cash. The acquisition was accounted for as a business combination and is expected to increase our market share as a provider of travel, corporate card and expense management solutions in India. Acquisition costs related to the Tripeur acquisition were approximately $0.3 million and were expensed as incurred.</w:t>
      </w:r>
    </w:p>
    <w:p>
      <w:pPr>
        <w:spacing w:after="0" w:line="122"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The purchase price was allocated to the following assets and liabilities: $ 6.3 million to goodwill, $0.5 million to intangible assets for acquired developed technology, $0.8 million to current assets, $0.4 million to other assets and $0.8 million to current liabilities.</w:t>
      </w:r>
    </w:p>
    <w:p>
      <w:pPr>
        <w:spacing w:after="0" w:line="9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Goodwill was primarily attributed to the assembled workforce and expanded market opportunities from the Tripeur acquisition. None of the goodwill is deductible for U.S. federal income tax purposes. The acquired developed technology has an estimated useful life of two years.</w:t>
      </w:r>
    </w:p>
    <w:p>
      <w:pPr>
        <w:spacing w:after="0" w:line="9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financial results of Tripeur are included in our consolidated financial statements from the date of acquisition. Tripeur’s financial results have not been material to date. Pro forma results of operations have not been presented because the effect of the acquisition was not material to the consolidated statements of operations.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Regent International S.R.L</w:t>
      </w:r>
    </w:p>
    <w:p>
      <w:pPr>
        <w:spacing w:after="0" w:line="169"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On June 4, 2024, the Company acquired all outstanding stock of Regent International S.R.L. (Regent), a travel and expense management company based in Rome, Italy for an aggregate purchase price of $7.9 million in cash. Of the aggregate purchase price, $6.6 million was paid at closing and the remaining $1.3 million was deferred. As of January 31, 2025, $0.7 million of cash payments remain unpaid.</w:t>
      </w:r>
    </w:p>
    <w:p>
      <w:pPr>
        <w:spacing w:after="0" w:line="12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The transaction is expected to increase the Company’s market share as a provider of travel, corporate card and expense management solutions in Italy and has been accounted for as a business combination. Acquisition costs related to the Regent acquisition were approximately $0.3 million and were expensed as incurred.</w:t>
      </w:r>
    </w:p>
    <w:p>
      <w:pPr>
        <w:spacing w:after="0" w:line="117"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purchase price was allocated to the following assets and liabilities: $11.8 million to current assets, $4.0 million to goodwill, $0.9 million to intangible assets for customer relationships, $0.4 million to other assets, $8.6 million to current liabilities, and $0.6 million to other liabilities.</w:t>
      </w:r>
    </w:p>
    <w:p>
      <w:pPr>
        <w:spacing w:after="0" w:line="117"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Goodwill was primarily attributed to the assembled workforce and expanded market opportunities from the Regent acquisition. $2.9 million of the goodwill from the Regent acquisition is deductible for U.S. federal income tax purposes. The acquired customer relationships have an estimated useful life of eight years.</w:t>
      </w:r>
    </w:p>
    <w:p>
      <w:pPr>
        <w:spacing w:after="0" w:line="117"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financial results of Regent are included in our consolidated financial statements from the date of acquisition. Regent’s financial results have not been material to date. Pro forma results of operations have not been presented because the effect of the acquisition was not material to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22" w:right="3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OTHER INTANGIBLE ASSETS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goodwill balances as of January 31, 2025 and 2024, and the changes in fiscal 2025 and 2024 are as follows (in thousands):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Goodwill arising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Foreign currency translation impact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Goodwill arising from acquisitions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Foreign currency translation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2025</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impairments of goodwill recognized during the years ended January 31, 2025 and 2024.</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consisted of the following (in thousands, except years data):</w:t>
      </w:r>
    </w:p>
    <w:p>
      <w:pPr>
        <w:spacing w:after="0" w:line="167" w:lineRule="exact"/>
        <w:rPr>
          <w:sz w:val="20"/>
          <w:szCs w:val="20"/>
          <w:color w:val="auto"/>
        </w:rPr>
      </w:pPr>
    </w:p>
    <w:p>
      <w:pPr>
        <w:jc w:val="right"/>
        <w:ind w:right="218"/>
        <w:spacing w:after="0"/>
        <w:rPr>
          <w:sz w:val="20"/>
          <w:szCs w:val="20"/>
          <w:color w:val="auto"/>
        </w:rPr>
      </w:pPr>
      <w:r>
        <w:rPr>
          <w:rFonts w:ascii="Arial" w:cs="Arial" w:eastAsia="Arial" w:hAnsi="Arial"/>
          <w:sz w:val="14"/>
          <w:szCs w:val="14"/>
          <w:b w:val="1"/>
          <w:bCs w:val="1"/>
          <w:color w:val="auto"/>
        </w:rPr>
        <w:t>As of January 31, 2025</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82"/>
        <w:spacing w:after="0"/>
        <w:rPr>
          <w:sz w:val="20"/>
          <w:szCs w:val="20"/>
          <w:color w:val="auto"/>
        </w:rPr>
      </w:pPr>
      <w:r>
        <w:rPr>
          <w:rFonts w:ascii="Arial" w:cs="Arial" w:eastAsia="Arial" w:hAnsi="Arial"/>
          <w:sz w:val="14"/>
          <w:szCs w:val="14"/>
          <w:b w:val="1"/>
          <w:bCs w:val="1"/>
          <w:color w:val="auto"/>
        </w:rPr>
        <w:t>Carrying Amount</w:t>
      </w:r>
    </w:p>
    <w:p>
      <w:pPr>
        <w:spacing w:after="0" w:line="45" w:lineRule="exact"/>
        <w:rPr>
          <w:sz w:val="20"/>
          <w:szCs w:val="20"/>
          <w:color w:val="auto"/>
        </w:rPr>
      </w:pPr>
    </w:p>
    <w:p>
      <w:pPr>
        <w:ind w:left="842" w:hanging="842"/>
        <w:spacing w:after="0"/>
        <w:tabs>
          <w:tab w:leader="none" w:pos="84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209,305</w:t>
      </w:r>
    </w:p>
    <w:p>
      <w:pPr>
        <w:spacing w:after="0" w:line="31"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8"/>
          <w:szCs w:val="18"/>
          <w:color w:val="auto"/>
        </w:rPr>
        <w:t>6,288</w:t>
      </w:r>
    </w:p>
    <w:p>
      <w:pPr>
        <w:spacing w:after="0" w:line="22"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8"/>
          <w:szCs w:val="18"/>
          <w:color w:val="auto"/>
        </w:rPr>
        <w:t>4,948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10033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7" w:lineRule="exact"/>
        <w:rPr>
          <w:sz w:val="20"/>
          <w:szCs w:val="20"/>
          <w:color w:val="auto"/>
        </w:rPr>
      </w:pPr>
    </w:p>
    <w:p>
      <w:pPr>
        <w:ind w:left="842" w:hanging="842"/>
        <w:spacing w:after="0"/>
        <w:tabs>
          <w:tab w:leader="none" w:pos="84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220,541</w:t>
      </w:r>
    </w:p>
    <w:p>
      <w:pPr>
        <w:spacing w:after="0" w:line="31"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8"/>
          <w:szCs w:val="18"/>
          <w:color w:val="auto"/>
        </w:rPr>
        <w:t>4,006</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(4,819)</w:t>
      </w:r>
    </w:p>
    <w:p>
      <w:pPr>
        <w:spacing w:after="0" w:line="27" w:lineRule="exact"/>
        <w:rPr>
          <w:sz w:val="20"/>
          <w:szCs w:val="20"/>
          <w:color w:val="auto"/>
        </w:rPr>
      </w:pPr>
    </w:p>
    <w:p>
      <w:pPr>
        <w:ind w:left="842" w:hanging="842"/>
        <w:spacing w:after="0"/>
        <w:tabs>
          <w:tab w:leader="none" w:pos="84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219,728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033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645" w:lineRule="exact"/>
        <w:rPr>
          <w:sz w:val="20"/>
          <w:szCs w:val="20"/>
          <w:color w:val="auto"/>
        </w:rPr>
      </w:pPr>
    </w:p>
    <w:p>
      <w:pPr>
        <w:sectPr>
          <w:pgSz w:w="11900" w:h="16838" w:orient="portrait"/>
          <w:cols w:equalWidth="0" w:num="2">
            <w:col w:w="8958" w:space="720"/>
            <w:col w:w="1562"/>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4680" w:type="dxa"/>
            <w:vAlign w:val="bottom"/>
          </w:tcPr>
          <w:p>
            <w:pPr>
              <w:spacing w:after="0"/>
              <w:rPr>
                <w:sz w:val="12"/>
                <w:szCs w:val="12"/>
                <w:color w:val="auto"/>
              </w:rPr>
            </w:pPr>
          </w:p>
        </w:tc>
        <w:tc>
          <w:tcPr>
            <w:tcW w:w="1640" w:type="dxa"/>
            <w:vAlign w:val="bottom"/>
            <w:tcBorders>
              <w:top w:val="single" w:sz="8" w:color="auto"/>
            </w:tcBorders>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rPr>
              <w:t>Weighted-Average</w:t>
            </w: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Gross Carrying</w:t>
            </w:r>
          </w:p>
        </w:tc>
        <w:tc>
          <w:tcPr>
            <w:tcW w:w="2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Remaining Life</w:t>
            </w: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15.2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34,978</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27,989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20,068</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Domain names</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intangible assets</w:t>
            </w: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68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As of January 31, 2024</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6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Remaining Life</w:t>
            </w: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22,019</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Domain names</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intangible assets</w:t>
            </w: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During the year ended January 31, 2025, amortization expense related to intangible assets of $5.0 million was recorded in sales and marketing expense, and $0.3 million was recorded in cost of revenue within the consolidated statement of operations.</w:t>
      </w:r>
    </w:p>
    <w:p>
      <w:pPr>
        <w:spacing w:after="0" w:line="99"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During the year ended January 31, 2024, amortization expense related to intangible assets of $4.8 million was recorded in sales and marketing expense, and $1.5 million was recorded in cost of revenue within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22" w:right="339" w:bottom="1440" w:gutter="0" w:footer="0" w:header="0"/>
          <w:type w:val="continuous"/>
        </w:sectPr>
      </w:pPr>
    </w:p>
    <w:bookmarkStart w:id="244" w:name="page245"/>
    <w:bookmarkEnd w:id="2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future amortization expenses related to intangible assets as of January 31, 2025 were as follows (in thousands):</w:t>
      </w:r>
    </w:p>
    <w:p>
      <w:pPr>
        <w:spacing w:after="0" w:line="221" w:lineRule="exact"/>
        <w:rPr>
          <w:sz w:val="20"/>
          <w:szCs w:val="20"/>
          <w:color w:val="auto"/>
        </w:rPr>
      </w:pPr>
    </w:p>
    <w:p>
      <w:pPr>
        <w:ind w:left="20"/>
        <w:spacing w:after="0"/>
        <w:tabs>
          <w:tab w:leader="none" w:pos="10160" w:val="left"/>
        </w:tabs>
        <w:rPr>
          <w:sz w:val="20"/>
          <w:szCs w:val="20"/>
          <w:color w:val="auto"/>
        </w:rPr>
      </w:pPr>
      <w:r>
        <w:rPr>
          <w:rFonts w:ascii="Arial" w:cs="Arial" w:eastAsia="Arial" w:hAnsi="Arial"/>
          <w:sz w:val="14"/>
          <w:szCs w:val="14"/>
          <w:b w:val="1"/>
          <w:bCs w:val="1"/>
          <w:color w:val="auto"/>
        </w:rPr>
        <w:t>Year Ended January 31,</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2030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had the following debt outstanding (in thousands):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100" w:hanging="1042"/>
        <w:spacing w:after="0"/>
        <w:tabs>
          <w:tab w:leader="none" w:pos="21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4,937</w:t>
      </w:r>
    </w:p>
    <w:p>
      <w:pPr>
        <w:spacing w:after="0" w:line="43" w:lineRule="exact"/>
        <w:rPr>
          <w:rFonts w:ascii="Arial" w:cs="Arial" w:eastAsia="Arial" w:hAnsi="Arial"/>
          <w:sz w:val="17"/>
          <w:szCs w:val="17"/>
          <w:color w:val="auto"/>
        </w:rPr>
      </w:pPr>
    </w:p>
    <w:p>
      <w:pPr>
        <w:ind w:left="2100"/>
        <w:spacing w:after="0"/>
        <w:rPr>
          <w:rFonts w:ascii="Arial" w:cs="Arial" w:eastAsia="Arial" w:hAnsi="Arial"/>
          <w:sz w:val="17"/>
          <w:szCs w:val="17"/>
          <w:color w:val="auto"/>
        </w:rPr>
      </w:pPr>
      <w:r>
        <w:rPr>
          <w:rFonts w:ascii="Arial" w:cs="Arial" w:eastAsia="Arial" w:hAnsi="Arial"/>
          <w:sz w:val="17"/>
          <w:szCs w:val="17"/>
          <w:color w:val="auto"/>
        </w:rPr>
        <w:t>4,855</w:t>
      </w:r>
    </w:p>
    <w:p>
      <w:pPr>
        <w:spacing w:after="0" w:line="34" w:lineRule="exact"/>
        <w:rPr>
          <w:rFonts w:ascii="Arial" w:cs="Arial" w:eastAsia="Arial" w:hAnsi="Arial"/>
          <w:sz w:val="17"/>
          <w:szCs w:val="17"/>
          <w:color w:val="auto"/>
        </w:rPr>
      </w:pPr>
    </w:p>
    <w:p>
      <w:pPr>
        <w:ind w:left="2100"/>
        <w:spacing w:after="0"/>
        <w:rPr>
          <w:rFonts w:ascii="Arial" w:cs="Arial" w:eastAsia="Arial" w:hAnsi="Arial"/>
          <w:sz w:val="17"/>
          <w:szCs w:val="17"/>
          <w:color w:val="auto"/>
        </w:rPr>
      </w:pPr>
      <w:r>
        <w:rPr>
          <w:rFonts w:ascii="Arial" w:cs="Arial" w:eastAsia="Arial" w:hAnsi="Arial"/>
          <w:sz w:val="17"/>
          <w:szCs w:val="17"/>
          <w:color w:val="auto"/>
        </w:rPr>
        <w:t>4,643</w:t>
      </w:r>
    </w:p>
    <w:p>
      <w:pPr>
        <w:spacing w:after="0" w:line="34" w:lineRule="exact"/>
        <w:rPr>
          <w:rFonts w:ascii="Arial" w:cs="Arial" w:eastAsia="Arial" w:hAnsi="Arial"/>
          <w:sz w:val="17"/>
          <w:szCs w:val="17"/>
          <w:color w:val="auto"/>
        </w:rPr>
      </w:pPr>
    </w:p>
    <w:p>
      <w:pPr>
        <w:ind w:left="2100"/>
        <w:spacing w:after="0"/>
        <w:rPr>
          <w:rFonts w:ascii="Arial" w:cs="Arial" w:eastAsia="Arial" w:hAnsi="Arial"/>
          <w:sz w:val="17"/>
          <w:szCs w:val="17"/>
          <w:color w:val="auto"/>
        </w:rPr>
      </w:pPr>
      <w:r>
        <w:rPr>
          <w:rFonts w:ascii="Arial" w:cs="Arial" w:eastAsia="Arial" w:hAnsi="Arial"/>
          <w:sz w:val="17"/>
          <w:szCs w:val="17"/>
          <w:color w:val="auto"/>
        </w:rPr>
        <w:t>4,624</w:t>
      </w:r>
    </w:p>
    <w:p>
      <w:pPr>
        <w:spacing w:after="0" w:line="34" w:lineRule="exact"/>
        <w:rPr>
          <w:rFonts w:ascii="Arial" w:cs="Arial" w:eastAsia="Arial" w:hAnsi="Arial"/>
          <w:sz w:val="17"/>
          <w:szCs w:val="17"/>
          <w:color w:val="auto"/>
        </w:rPr>
      </w:pPr>
    </w:p>
    <w:p>
      <w:pPr>
        <w:ind w:left="2100"/>
        <w:spacing w:after="0"/>
        <w:rPr>
          <w:rFonts w:ascii="Arial" w:cs="Arial" w:eastAsia="Arial" w:hAnsi="Arial"/>
          <w:sz w:val="17"/>
          <w:szCs w:val="17"/>
          <w:color w:val="auto"/>
        </w:rPr>
      </w:pPr>
      <w:r>
        <w:rPr>
          <w:rFonts w:ascii="Arial" w:cs="Arial" w:eastAsia="Arial" w:hAnsi="Arial"/>
          <w:sz w:val="17"/>
          <w:szCs w:val="17"/>
          <w:color w:val="auto"/>
        </w:rPr>
        <w:t>4,553</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32,021</w:t>
      </w:r>
    </w:p>
    <w:p>
      <w:pPr>
        <w:spacing w:after="0" w:line="27" w:lineRule="exact"/>
        <w:rPr>
          <w:sz w:val="20"/>
          <w:szCs w:val="20"/>
          <w:color w:val="auto"/>
        </w:rPr>
      </w:pPr>
    </w:p>
    <w:p>
      <w:pPr>
        <w:ind w:left="2000" w:hanging="942"/>
        <w:spacing w:after="0"/>
        <w:tabs>
          <w:tab w:leader="none" w:pos="20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55,633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50800</wp:posOffset>
            </wp:positionV>
            <wp:extent cx="10033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As of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23495</wp:posOffset>
            </wp:positionV>
            <wp:extent cx="20656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35" w:lineRule="exact"/>
        <w:rPr>
          <w:sz w:val="20"/>
          <w:szCs w:val="20"/>
          <w:color w:val="auto"/>
        </w:rPr>
      </w:pPr>
    </w:p>
    <w:p>
      <w:pPr>
        <w:sectPr>
          <w:pgSz w:w="11900" w:h="16838" w:orient="portrait"/>
          <w:cols w:equalWidth="0" w:num="2">
            <w:col w:w="7900" w:space="720"/>
            <w:col w:w="26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Warehouse credit facility</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214,238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206,404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loan facility</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 promissory note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notes payable</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153,439</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principal amount of debt and borrowings</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484,843</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unamortized debt discount and issuance costs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(22,039)</w:t>
            </w:r>
          </w:p>
        </w:tc>
      </w:tr>
      <w:tr>
        <w:trPr>
          <w:trHeight w:val="230"/>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Plus: accrued interest</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value of debt and borrowings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522,855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6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June 2020, we issued convertible notes of $125.0 million in aggregate principal amount, net of $2.9 million in debt issuance costs, with an initial maturity of June 2025. During the year ended January 31, 2025, the holders exercised their option to extend the term of the convertible notes by two years from June 2025 to June 2027. Interest accrues on the principal amount at an initial rate of 7.5% per annum and is added to the principal as payment in kind (“PIK”) interest and compounded semi-annually. Beginning in June 2022, the stated interest rate escalates 1% biannually to 12.5% per annum through maturity. The interest rate remained unchanged through the extended term. The convertible notes contain certain affirmative or negative covenants applicable to the Company, including, among other things, restrictions on repurchases of stock, dividends and other distributions.</w:t>
      </w:r>
    </w:p>
    <w:p>
      <w:pPr>
        <w:spacing w:after="0" w:line="1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convertible notes also contain embedded features, including conversion options that are exercisable upon the occurrence of various contingencies. The conversion options involve a discount to the conversion price ranging from 20% to 35% that increases with the passage of time. The share-settled redemption features of the convertible notes represent embedded derivatives requiring bifurcation. We recorded the initial fair value of the embedded derivative liability of $43.1 million as a discount on the convertible notes’ face amount. Refer to Note 3</w:t>
      </w:r>
    </w:p>
    <w:p>
      <w:pPr>
        <w:spacing w:after="0" w:line="2"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 Fair Value Measurements for additional detail regarding the embedded derivative liability. The debt discount is amortized to interest expense at an effective interest rate of 13.5% through the extended maturity date. If no conversion or settlement event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22" w:right="339" w:bottom="1440" w:gutter="0" w:footer="0" w:header="0"/>
          <w:type w:val="continuous"/>
        </w:sectPr>
      </w:pPr>
    </w:p>
    <w:bookmarkStart w:id="245" w:name="page246"/>
    <w:bookmarkEnd w:id="2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triggered prior to the notes’ maturity, the convertible notes will be redeemed at a 12.5% internal rate of return (“IRR”). The 12.5% IRR payout at maturity is incorporated into the effective interest rate calculation.</w:t>
      </w:r>
    </w:p>
    <w:p>
      <w:pPr>
        <w:spacing w:after="0" w:line="99"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The convertible notes are presented on the consolidated balance sheets at their original issuance value plus PIK interest, net of the unamortized debt discount and issuance costs, and are not marked to fair value at each reporting period.</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carrying amount of the convertible notes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(13,581)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PIK interest added to principal balance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65,348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44,174</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carrying amount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154,687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Interest expense related to the convertible notes was as follows (in thousands):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PIK interest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16,155</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non-cash interest expense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26,040</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16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November 2022, Liquid Labs SPV, LLC (“Liquid Labs”), a wholly-owned subsidiary of the Company, entered into a loan agreement with a group of lenders for a revolving warehouse credit facility (“Warehouse Credit Facility”). Under the original terms of the agreement, the Warehouse Credit Facility had a maturity date of February 18, 2025, or earlier pursuant to the loan agreement, and had a total commitment amount of $ 200.0 million, consisting of a Class A facility and a Class B facility for $171.1 million and $28.9 million, respectively. The Warehouse Credit Facility was established to finance the Company’s expense management offering. Borrowings on the Warehouse Credit Facility bear interest at a floating rate based on SOFR plus an applicable margin, as defined by the loan agreement. The Warehouse Credit Facility has a minimum utilization of 50.0% of the committed amount, and any unused portion of the Warehouse Credit Facility will bear interest at 0.50% per annum. Borrowings under the Warehouse Credit Facility are secured by the corporate card receivables.</w:t>
      </w:r>
    </w:p>
    <w:p>
      <w:pPr>
        <w:spacing w:after="0" w:line="11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Warehouse Credit Facility was amended multiple times during the years ended January 31, 2025 and 2024. As of January 31, 2025, the amended terms of the Warehouse Credit Facility include total available borrowings of $275.0 million, an extended maturity date of February 2026, an expanded borrowing base to include receivables generated in foreign currency, and amendments to certain financial covenants. Subject to the amended terms, the available borrowings will decrease to $250.0 million in April 2025 through the maturity date.</w:t>
      </w:r>
    </w:p>
    <w:p>
      <w:pPr>
        <w:spacing w:after="0" w:line="122"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 xml:space="preserve">The Warehouse Credit Facility contains mandatory and optional redemption features upon an event of default and other potential additional interest provisions that are bifurcated and treated as embedded derivative liabilities under the accounting guidance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At inception of the Warehouse Credit Facility, and as of January 31, 2025 and 2024, the fair value of the embedded</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liabilities was determined to be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22" w:right="3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color w:val="auto"/>
        </w:rPr>
        <w:t>We incurred upfront commitment fees of $2.0 million for the Warehouse Credit Facility, which were recorded as a deferred cost asset on the balance sheet and are amortized on a straight-line basis as incremental interest expense. We incurred incremental upfront commitment fees of $1.4 million upon the renewal of the Warehouse Credit Facility during the year ended January 31, 2025.</w:t>
      </w:r>
    </w:p>
    <w:p>
      <w:pPr>
        <w:spacing w:after="0" w:line="11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During the years ended January 31, 2025 and 2024, we drew down an aggregate of $37.8 million and $206.4 million on the Warehouse Credit Facility. During the year ended January 31, 2025, we repaid $ 30.0 million of the Warehouse Credit Facility. We did not make any repayments on the Warehouse Credit Facility during the year ended January 31, 2024. The amounts outstanding under the Warehouse Credit Facility are payable in February 2026.</w:t>
      </w:r>
    </w:p>
    <w:p>
      <w:pPr>
        <w:spacing w:after="0" w:line="12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During the years ended January 31, 2025 and 2024, we recognized $22.9 million and $15.0 million of interest expense, respectively. Interest expense recognized during the years ended January 31, 2025 and 2024 is comprised of $21.4 million and $14.0 million of interest paid and payable, and $1.5 million and $1.0 million interest for the amortization of debt issuance costs,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2025, we remain in compliance with the covenants of the loan agreement.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Loan Facility</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June 2024, the Company entered into a loan agreement with Citibank, N.A. (“Citibank”) for an uncommitted revolving line of credit facility (“Trade Loan Facility”), which was subsequently amended in July 2024 with changes to certain legal requirements. The loan agreement provides for a credit facility of up to $45.0 million and will remain effective until 30 days after the Company receives written notice from the lender, or until the date specified in a notice from the Company to the lender, the latter of which may be contingent upon the completion of another transaction. Borrowings under the facility must be repaid subject to the terms of each borrowing request, subject to a maximum term of 90 days. Borrowings on the Trade Loan Facility bear interest on a floating rate based on SOFR plus 2%. Borrowings under the Trade Loan Facility are secured by the Company’s billed accounts receivables. During the year ended January 31, 2025, the Company drew down a total of $45.0 million on the Trade Loan Facility.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2022 Promissory Note and Other Debt</w:t>
      </w:r>
    </w:p>
    <w:p>
      <w:pPr>
        <w:spacing w:after="0" w:line="16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September 2022, the Company issued a promissory note (the “2022 Promissory Note”) to a lender for $150.0 million, which matures on September 26, 2025. In conjunction with the 2022 Promissory Note, the Company issued 1,797,840 common stock warrants. Interest accrues on the principal amount at 11.5% per annum and is comprised of cash interest of 4% and PIK interest of 7.5%. Interest is payable quarterly in arrears and PIK interest is added to the principal balance and compounded on a quarterly basis. The Company may prepay the 2022 Promissory Note at any time. Should the Company prepay the 2022 Promissory Note, the total prepayment amount would be the greater of: (a) 1.3 times the original promissory note amount of $150.0 million, plus any unpaid interest and expenses then accrued and unpaid as of such date, and (b) the aggregate principal amount as of such date, plus any unpaid interest and expenses then accrued and unpaid as of such date.</w:t>
      </w:r>
    </w:p>
    <w:p>
      <w:pPr>
        <w:spacing w:after="0" w:line="13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At issuance of the 2022 Promissory Note, the fair value of the common stock warrants was $11.8 million and was recorded as a debt discount. Debt issuance costs were approximately $0.1 million, consisting of advisor fees, legal fees and other related expenses. Both amounts were recorded as a reduction of the carrying amount of the debt liability. The debt discount and debt issuance costs are amortized to interest expense at an effective interest rate of 14.5% over the term of the loan. The common stock warrants were subsequently exercised during the year ended January 31, 2023.</w:t>
      </w:r>
    </w:p>
    <w:p>
      <w:pPr>
        <w:spacing w:after="0" w:line="1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2022 Promissory Note contains certain affirmative or negative covenants including, among other things, restrictions on repurchases of stock, dividends and other distributions. As of January 31, 2025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80"/>
          </w:cols>
          <w:pgMar w:left="320" w:top="122" w:right="39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2024, we remain in compliance with all covenants. The net carrying amount of the 2022 Promissory Note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PIK interest added to principal balance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15,877</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carrying amount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175,338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158,325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Interest expense related to the 2022 Promissory Note was as follows (in thousands):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PIK interest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interest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interest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payments of principal associated with the 2022 Promissory Note and other notes payable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Year Ended January 31,</w:t>
            </w:r>
          </w:p>
        </w:tc>
        <w:tc>
          <w:tcPr>
            <w:tcW w:w="320" w:type="dxa"/>
            <w:vAlign w:val="bottom"/>
          </w:tcPr>
          <w:p>
            <w:pPr>
              <w:spacing w:after="0"/>
              <w:rPr>
                <w:sz w:val="20"/>
                <w:szCs w:val="20"/>
                <w:color w:val="auto"/>
              </w:rPr>
            </w:pP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150,586</w:t>
            </w:r>
          </w:p>
        </w:tc>
        <w:tc>
          <w:tcPr>
            <w:tcW w:w="0" w:type="dxa"/>
            <w:vAlign w:val="bottom"/>
          </w:tcPr>
          <w:p>
            <w:pPr>
              <w:spacing w:after="0"/>
              <w:rPr>
                <w:sz w:val="1"/>
                <w:szCs w:val="1"/>
                <w:color w:val="auto"/>
              </w:rPr>
            </w:pP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 outstanding</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150,968</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Less: Unamortized issuance costs and debt discounts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30"/>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PIK interest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28,709</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Notes payable, current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(175,913)</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payable, non-current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Credit Agreement</w:t>
      </w:r>
    </w:p>
    <w:p>
      <w:pPr>
        <w:spacing w:after="0" w:line="16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In December 2019, the Company entered into a credit agreement with a group of lenders (the “Credit Agreement”). The Credit Agreement, as amended from time to time, provides for a credit facility of up to $100.0 million and includes a revolving credit facility, as well as a swingline sub-facility with borrowings of up to $20.0 million and a letter of credit sub-facility with borrowings of up to $10.0 million.</w:t>
      </w:r>
    </w:p>
    <w:p>
      <w:pPr>
        <w:spacing w:after="0" w:line="117"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From November 2021 through November 2022, the Company entered into multiple amendments to the Credit Agreement to extend the maturity date, to change the size of the facility, and to change the interest rates applicable to the borrowings.</w:t>
      </w:r>
    </w:p>
    <w:p>
      <w:pPr>
        <w:spacing w:after="0" w:line="99" w:lineRule="exact"/>
        <w:rPr>
          <w:sz w:val="20"/>
          <w:szCs w:val="20"/>
          <w:color w:val="auto"/>
        </w:rPr>
      </w:pPr>
    </w:p>
    <w:p>
      <w:pPr>
        <w:ind w:right="1060" w:firstLine="324"/>
        <w:spacing w:after="0" w:line="287" w:lineRule="auto"/>
        <w:rPr>
          <w:sz w:val="20"/>
          <w:szCs w:val="20"/>
          <w:color w:val="auto"/>
        </w:rPr>
      </w:pPr>
      <w:r>
        <w:rPr>
          <w:rFonts w:ascii="Arial" w:cs="Arial" w:eastAsia="Arial" w:hAnsi="Arial"/>
          <w:sz w:val="18"/>
          <w:szCs w:val="18"/>
          <w:color w:val="auto"/>
        </w:rPr>
        <w:t>Interest expense associated with the Credit Agreement during the year ended January 31, 2024 was $0.6 million for unused commitment, amortization of debt issuance costs and stated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22" w:right="3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On April 27, 2023, we entered into an agreement to terminate the Credit Agreement effective May 1, 2023. There were no outstanding balances on the Credit Agreement at the time of termination.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VARIABLE INTEREST ENTITIES</w:t>
      </w:r>
    </w:p>
    <w:p>
      <w:pPr>
        <w:spacing w:after="0" w:line="171"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VIEs are legal entities that lack sufficient equity to finance their activities without future subordinated financial support. We consolidate the assets and liabilities of VIEs in which we hold a variable interest and are the primary beneficiary.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 Labs</w:t>
      </w:r>
    </w:p>
    <w:p>
      <w:pPr>
        <w:spacing w:after="0" w:line="16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August 2022, we created Liquid Labs, a Delaware limited liability company, with the Company as the sole shareholder. Liquid Labs was established to facilitate the funding of the corporate card offering by purchasing receivables from the Company using proceeds from the Warehouse Credit Facility. Refer to Note 8 — Debt for further information on the Warehouse Credit Facility.</w:t>
      </w:r>
    </w:p>
    <w:p>
      <w:pPr>
        <w:spacing w:after="0" w:line="117"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The Company is a limited guarantor of certain obligations of Liquid Labs related to the Warehouse Credit Facility. During the periods presented, the Company has not provided financial support to Liquid Labs. Under the Warehouse Credit Facility, Liquid Labs pledges corporate card receivables purchased from the Company as collateral.</w:t>
      </w:r>
    </w:p>
    <w:p>
      <w:pPr>
        <w:spacing w:after="0" w:line="117"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We have determined Liquid Labs is a VIE as the equity at risk is not sufficient to finance Liquid Labs operations. As the sole shareholder and holder of 100% of the equity investment in the entity, we consolidate Liquid Labs as we are the primary beneficiary.</w:t>
      </w:r>
    </w:p>
    <w:p>
      <w:pPr>
        <w:spacing w:after="0" w:line="9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Pursuant to the contractual arrangements with Liquid Labs, the Company has the power to direct activities of the VIE and can have assets transferred freely out of the VIE without any restrictions. Therefore, we have determined that there is no asset of the consolidated VIE that can be used only to settle obligations of the VIE. The creditors of the consolidated VIE do not have recourse to the Company other than to the assets of the consolidated VIE. As a result, the material liabilities of the VIE are separately presented within the consolidated balance sheets.</w:t>
      </w:r>
    </w:p>
    <w:p>
      <w:pPr>
        <w:spacing w:after="0" w:line="125"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The carrying amounts of Liquid Labs’ assets and liabilities included in our consolidated balance sheets are summarized below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 of Liquid Labs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57,535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30,845</w:t>
            </w:r>
          </w:p>
        </w:tc>
      </w:tr>
      <w:tr>
        <w:trPr>
          <w:trHeight w:val="229"/>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Corporate card receivables</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192,454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 held by VIE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Credit Facility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206,404</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 Corporate card receivables as of January 31, 2025 and 2024 represent pledged customer receivables from Navan, Inc. to Liquid Labs.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INCENTIVE PLAN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6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In 2015, the Company’s Board of Directors (the “Board of Directors”) approved the adoption of the 2015 Equity Incentive Plan (the “Plan”). The Plan provides for the grant of incentive and nonstatutory stock options to employees, non-employee directors and consultants of the Company. Options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22" w:right="3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under the Plan continue to vest until the last day of employment and generally vest over four years and expire 10 years from the date of grant.</w:t>
      </w:r>
    </w:p>
    <w:p>
      <w:pPr>
        <w:spacing w:after="0" w:line="9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Under the Plan, 761,757,000 shares of common stock have been authorized for issuance and 16,451,535 shares of common stock remain available for issuance as of January 31, 2025. During the year ended January 31, 2025, the Board of Directors approved an increase of 14,300,000 shares reserved for issuance, for a total of 194,135,100 shares reserved under the Plan.</w:t>
      </w:r>
    </w:p>
    <w:p>
      <w:pPr>
        <w:spacing w:after="0" w:line="117"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exercise price of options granted under the Plan must be at least equal to 100% of the fair value of the Company’s common stock at the date of grant as determined by the Board of Directors. During the years ended January 31, 2025 and 2024, no options have been granted to purchase stock at a price less than its fair value as determined by the Board of Directors at the time of grant.</w:t>
      </w:r>
    </w:p>
    <w:p>
      <w:pPr>
        <w:spacing w:after="0" w:line="11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b w:val="1"/>
          <w:bCs w:val="1"/>
          <w:u w:val="single" w:color="auto"/>
          <w:color w:val="auto"/>
        </w:rPr>
        <w:t>Early Exercise of Common Stock</w:t>
      </w:r>
      <w:r>
        <w:rPr>
          <w:rFonts w:ascii="Arial" w:cs="Arial" w:eastAsia="Arial" w:hAnsi="Arial"/>
          <w:sz w:val="18"/>
          <w:szCs w:val="18"/>
          <w:b w:val="1"/>
          <w:bCs w:val="1"/>
          <w:color w:val="auto"/>
        </w:rPr>
        <w:t xml:space="preserve"> — </w:t>
      </w:r>
      <w:r>
        <w:rPr>
          <w:rFonts w:ascii="Arial" w:cs="Arial" w:eastAsia="Arial" w:hAnsi="Arial"/>
          <w:sz w:val="18"/>
          <w:szCs w:val="18"/>
          <w:color w:val="auto"/>
        </w:rPr>
        <w:t>Certain stock options granted under the Plan provide option holders the right to elect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unvested options in exchange for shares of common stock. Such unvested shares of common stock are subject to a repurchase right held by the Company at the original issuance price in the event the optionee’s service to the Company is terminated either voluntarily or involuntarily. The repurchase right lapses as the underlying shares vest. The proceeds from the early exercise of stock options are treated as a refundable deposit and are recorded within accrued expenses and other liabilities on the consolidated balance sheets, and reclassified to additional paid-in capital as the Company’s repurchase right lapses. Common stock purchased pursuant to an early exercise of stock options is not deemed to be outstanding for accounting purposes until those shares vest. The Company includes unvested shares subject to repurchase in the number of shares of common stock outstanding in the consolidated balance sheets and statements of redeemable convertible preferred stock and stockholders’ deficit.</w:t>
      </w:r>
    </w:p>
    <w:p>
      <w:pPr>
        <w:spacing w:after="0" w:line="6" w:lineRule="exact"/>
        <w:rPr>
          <w:sz w:val="20"/>
          <w:szCs w:val="20"/>
          <w:color w:val="auto"/>
        </w:rPr>
      </w:pPr>
    </w:p>
    <w:p>
      <w:pPr>
        <w:ind w:right="740" w:firstLine="324"/>
        <w:spacing w:after="0" w:line="266" w:lineRule="auto"/>
        <w:rPr>
          <w:sz w:val="20"/>
          <w:szCs w:val="20"/>
          <w:color w:val="auto"/>
        </w:rPr>
      </w:pPr>
      <w:r>
        <w:rPr>
          <w:rFonts w:ascii="Arial" w:cs="Arial" w:eastAsia="Arial" w:hAnsi="Arial"/>
          <w:sz w:val="18"/>
          <w:szCs w:val="18"/>
          <w:color w:val="auto"/>
        </w:rPr>
        <w:t>As of January 31, 2025 and 2024, there were 149,291 and 400,020 shares subject to repurchase due to early exercises and the corresponding liability was $1.0 million and $2.6 million, respectively.</w:t>
      </w:r>
    </w:p>
    <w:p>
      <w:pPr>
        <w:spacing w:after="0" w:line="117"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b w:val="1"/>
          <w:bCs w:val="1"/>
          <w:u w:val="single" w:color="auto"/>
          <w:color w:val="auto"/>
        </w:rPr>
        <w:t>Stock Options</w:t>
      </w:r>
      <w:r>
        <w:rPr>
          <w:rFonts w:ascii="Arial" w:cs="Arial" w:eastAsia="Arial" w:hAnsi="Arial"/>
          <w:sz w:val="18"/>
          <w:szCs w:val="18"/>
          <w:b w:val="1"/>
          <w:bCs w:val="1"/>
          <w:color w:val="auto"/>
        </w:rPr>
        <w:t xml:space="preserve"> — </w:t>
      </w:r>
      <w:r>
        <w:rPr>
          <w:rFonts w:ascii="Arial" w:cs="Arial" w:eastAsia="Arial" w:hAnsi="Arial"/>
          <w:sz w:val="18"/>
          <w:szCs w:val="18"/>
          <w:color w:val="auto"/>
        </w:rPr>
        <w:t>The fair value of the stock options granted was estimated using the following assumptions in the Black-Scholes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model:</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60" w:type="dxa"/>
            <w:vAlign w:val="bottom"/>
          </w:tcPr>
          <w:p>
            <w:pPr>
              <w:spacing w:after="0"/>
              <w:rPr>
                <w:sz w:val="17"/>
                <w:szCs w:val="17"/>
                <w:color w:val="auto"/>
              </w:rPr>
            </w:pPr>
          </w:p>
        </w:tc>
        <w:tc>
          <w:tcPr>
            <w:tcW w:w="4180" w:type="dxa"/>
            <w:vAlign w:val="bottom"/>
            <w:tcBorders>
              <w:bottom w:val="single" w:sz="8" w:color="auto"/>
            </w:tcBorders>
            <w:gridSpan w:val="3"/>
          </w:tcPr>
          <w:p>
            <w:pPr>
              <w:jc w:val="right"/>
              <w:ind w:right="1194"/>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06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2024</w:t>
            </w: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 - 60.19%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 - 61.13%</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40" w:type="dxa"/>
            <w:vAlign w:val="bottom"/>
          </w:tcPr>
          <w:p>
            <w:pPr>
              <w:jc w:val="right"/>
              <w:spacing w:after="0"/>
              <w:rPr>
                <w:sz w:val="20"/>
                <w:szCs w:val="20"/>
                <w:color w:val="auto"/>
              </w:rPr>
            </w:pPr>
            <w:r>
              <w:rPr>
                <w:rFonts w:ascii="Arial" w:cs="Arial" w:eastAsia="Arial" w:hAnsi="Arial"/>
                <w:sz w:val="18"/>
                <w:szCs w:val="18"/>
                <w:color w:val="auto"/>
              </w:rPr>
              <w:t>3.86% - 4.60%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3.49% - 4.71%</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5.41 - 6.06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5.23 - 6.38</w:t>
            </w:r>
          </w:p>
        </w:tc>
      </w:tr>
      <w:tr>
        <w:trPr>
          <w:trHeight w:val="239"/>
        </w:trPr>
        <w:tc>
          <w:tcPr>
            <w:tcW w:w="70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 %</w:t>
            </w:r>
          </w:p>
        </w:tc>
        <w:tc>
          <w:tcPr>
            <w:tcW w:w="2040" w:type="dxa"/>
            <w:vAlign w:val="bottom"/>
          </w:tcPr>
          <w:p>
            <w:pPr>
              <w:jc w:val="center"/>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Given the absence of a public trading market, the fair value of the Company’s common stock is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Board of Directors based on a number of factors, including contemporaneous valuations of common stock performed by an unrelated valuation specialist, developments in the business and stage of development, the Company’s operational and financial performance and condition, issuances of redeemable convertible preferred stock and the rights and preferences of redeemable convertible preferred stock relative to common stock, current condition of capital markets and the likelihood of achieving a liquidity event, such as an initial public offering or sale of the Company, and the lack of marketability of the Company’s common stock. For financial reporting purposes, the Company considered the amount of time between the valuation date and the grant date to determine whether to use the latest common stock valuation or a straight-line interpolation between the two valuation dates. The determination included an evaluation of whether the subsequent valuation indicated that any significant change in valuation had occurred between the previous valuation and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22" w:right="3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never declared or paid any cash dividends and does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applied an expected dividend yield of zero.</w:t>
      </w:r>
    </w:p>
    <w:p>
      <w:pPr>
        <w:spacing w:after="0" w:line="9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yield available on U.S. Treasury zero-coupon issues with a term that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 expected term of the option.</w:t>
      </w:r>
    </w:p>
    <w:p>
      <w:pPr>
        <w:spacing w:after="0" w:line="99"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volatility is derived from the average historical stock volatilities of peer group public companies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considers to be comparable to its business over a period equivalent to the expected term of the stock-based grants.</w:t>
      </w:r>
    </w:p>
    <w:p>
      <w:pPr>
        <w:spacing w:after="0" w:line="9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term represents the period that stock-based awards are expected to be outstanding. Since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did not have sufficient historical information to develop reasonable expectations about future exercise behavior, the expected term for options issued to employees was calculated as the mean of the option vesting period and contractual term (the “Simplified Method”). The expected term for options issued to non-employees is the contractual term.</w:t>
      </w:r>
    </w:p>
    <w:p>
      <w:pPr>
        <w:spacing w:after="0" w:line="12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b w:val="1"/>
          <w:bCs w:val="1"/>
          <w:u w:val="single" w:color="auto"/>
          <w:color w:val="auto"/>
        </w:rPr>
        <w:t>Stock Option Modifications</w:t>
      </w:r>
      <w:r>
        <w:rPr>
          <w:rFonts w:ascii="Arial" w:cs="Arial" w:eastAsia="Arial" w:hAnsi="Arial"/>
          <w:sz w:val="18"/>
          <w:szCs w:val="18"/>
          <w:b w:val="1"/>
          <w:bCs w:val="1"/>
          <w:color w:val="auto"/>
        </w:rPr>
        <w:t xml:space="preserve"> — </w:t>
      </w:r>
      <w:r>
        <w:rPr>
          <w:rFonts w:ascii="Arial" w:cs="Arial" w:eastAsia="Arial" w:hAnsi="Arial"/>
          <w:sz w:val="18"/>
          <w:szCs w:val="18"/>
          <w:color w:val="auto"/>
        </w:rPr>
        <w:t>During the years ended January 31, 2025 and 2024, the Company modified certain stock option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termination of select former employees. The modifications included accelerated vesting and extension of the post-termination exercise period. The Company measured the modification charge as the difference between the fair value of the modified awards and the fair value of the original awards immediately prior to the modification. The incremental fair value associated with the modified awards during the years ended January 31, 2025 and 2024 was $2.1 million and $5.0 million, respectively, which was recognized at the modification date.</w:t>
      </w:r>
    </w:p>
    <w:p>
      <w:pPr>
        <w:spacing w:after="0" w:line="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During the year ended January 31, 2025, the Company modified stock options for 2,254 employees, one former employee and one member of the Board of Directors by amending the exercise price of the stock options. As a result of the modification, we recognized incremental stock-based compensation expense of $6.0 million for vested stock options on the modification date. An additional $7.0 million of incremental stock-based compensation expense will be recognized for unvested stock options over a weighted average period of 2.3 years as of the modification date.</w:t>
      </w:r>
    </w:p>
    <w:p>
      <w:pPr>
        <w:spacing w:after="0" w:line="129"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The following table summarizes stock option activity for the year ended January 31, 2025 (in thousands, except price per share, share and years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Weighted- Average</w:t>
            </w: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Number of Stock Options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6"/>
              </w:rPr>
              <w:t>Weighted-Average</w:t>
            </w:r>
          </w:p>
        </w:tc>
        <w:tc>
          <w:tcPr>
            <w:tcW w:w="164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96"/>
              </w:rPr>
              <w:t>Remaining Contractual</w:t>
            </w: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7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640" w:type="dxa"/>
            <w:vAlign w:val="bottom"/>
            <w:gridSpan w:val="2"/>
          </w:tcPr>
          <w:p>
            <w:pPr>
              <w:jc w:val="center"/>
              <w:ind w:right="140"/>
              <w:spacing w:after="0" w:line="120" w:lineRule="exact"/>
              <w:rPr>
                <w:sz w:val="20"/>
                <w:szCs w:val="20"/>
                <w:color w:val="auto"/>
              </w:rPr>
            </w:pPr>
            <w:r>
              <w:rPr>
                <w:rFonts w:ascii="Arial" w:cs="Arial" w:eastAsia="Arial" w:hAnsi="Arial"/>
                <w:sz w:val="13"/>
                <w:szCs w:val="13"/>
                <w:b w:val="1"/>
                <w:bCs w:val="1"/>
                <w:color w:val="auto"/>
                <w:w w:val="94"/>
              </w:rPr>
              <w:t>Life</w:t>
            </w:r>
          </w:p>
        </w:tc>
        <w:tc>
          <w:tcPr>
            <w:tcW w:w="15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6"/>
              </w:rPr>
              <w:t>Aggregate Intrinsic Value</w:t>
            </w:r>
          </w:p>
        </w:tc>
        <w:tc>
          <w:tcPr>
            <w:tcW w:w="0" w:type="dxa"/>
            <w:vAlign w:val="bottom"/>
          </w:tcPr>
          <w:p>
            <w:pPr>
              <w:spacing w:after="0"/>
              <w:rPr>
                <w:sz w:val="1"/>
                <w:szCs w:val="1"/>
                <w:color w:val="auto"/>
              </w:rPr>
            </w:pPr>
          </w:p>
        </w:tc>
      </w:tr>
      <w:tr>
        <w:trPr>
          <w:trHeight w:val="177"/>
        </w:trPr>
        <w:tc>
          <w:tcPr>
            <w:tcW w:w="4700" w:type="dxa"/>
            <w:vAlign w:val="bottom"/>
          </w:tcPr>
          <w:p>
            <w:pPr>
              <w:spacing w:after="0"/>
              <w:rPr>
                <w:sz w:val="15"/>
                <w:szCs w:val="15"/>
                <w:color w:val="auto"/>
              </w:rPr>
            </w:pPr>
          </w:p>
        </w:tc>
        <w:tc>
          <w:tcPr>
            <w:tcW w:w="1560" w:type="dxa"/>
            <w:vAlign w:val="bottom"/>
          </w:tcPr>
          <w:p>
            <w:pPr>
              <w:jc w:val="right"/>
              <w:ind w:right="343"/>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5"/>
                <w:szCs w:val="15"/>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Exercise Price per Share</w:t>
            </w: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(Years)</w:t>
            </w: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31, 2024</w:t>
            </w:r>
          </w:p>
        </w:tc>
        <w:tc>
          <w:tcPr>
            <w:tcW w:w="1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125,313,916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183,079</w:t>
            </w:r>
          </w:p>
        </w:tc>
        <w:tc>
          <w:tcPr>
            <w:tcW w:w="0" w:type="dxa"/>
            <w:vAlign w:val="bottom"/>
          </w:tcPr>
          <w:p>
            <w:pPr>
              <w:spacing w:after="0"/>
              <w:rPr>
                <w:sz w:val="1"/>
                <w:szCs w:val="1"/>
                <w:color w:val="auto"/>
              </w:rPr>
            </w:pPr>
          </w:p>
        </w:tc>
      </w:tr>
      <w:tr>
        <w:trPr>
          <w:trHeight w:val="215"/>
        </w:trPr>
        <w:tc>
          <w:tcPr>
            <w:tcW w:w="470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13,278,030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(1,997,981)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9,104</w:t>
            </w:r>
          </w:p>
        </w:tc>
        <w:tc>
          <w:tcPr>
            <w:tcW w:w="0" w:type="dxa"/>
            <w:vAlign w:val="bottom"/>
          </w:tcPr>
          <w:p>
            <w:pPr>
              <w:spacing w:after="0"/>
              <w:rPr>
                <w:sz w:val="1"/>
                <w:szCs w:val="1"/>
                <w:color w:val="auto"/>
              </w:rPr>
            </w:pPr>
          </w:p>
        </w:tc>
      </w:tr>
      <w:tr>
        <w:trPr>
          <w:trHeight w:val="215"/>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Cancelled/forfeited/expired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(13,677,661)</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31, 2025</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122,916,304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402,471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6"/>
                <w:szCs w:val="16"/>
                <w:color w:val="auto"/>
              </w:rPr>
              <w:t>Vested and expected to vest as of January 31, 2025</w:t>
            </w: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122,916,304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402,471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as of January 31, 2025</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96,311,576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349,174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grant date fair value of options granted during the years ended January 31, 2025 and 2024, were $3.96 and $3.59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per share, respectively. The intrinsic value of options exercised for the years ended January 31, 2025 and 2024 was $9.1 million and $6.0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respectively. The aggregate grant-date fair value of options that vested during the years ended January 31, 2025 and 2024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$135.9 million and $73.8 million, respectively. As of January 31, 2025, there was approximately $135.0 million of unrecognized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related to unvested stock options granted, which is expected to be recognized over a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22" w:right="3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9"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RSUs vest upon the satisfaction of both time-based service and performance-based conditions. The time-based service condition for these RSUs is generally four years. The performance-based vesting conditions are satisfied upon a liquidity event, defined as a change of control transaction or following the consummation of an initial public offering. Upon employee termination, RSUs that have satisfied the service condition remain outstanding until the earlier of a liquidity event or the expiration date, which is 10 years from the date of grant.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RSUs for the year ended January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560" w:type="dxa"/>
            <w:vAlign w:val="bottom"/>
          </w:tcPr>
          <w:p>
            <w:pPr>
              <w:jc w:val="right"/>
              <w:ind w:right="7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73"/>
              <w:spacing w:after="0"/>
              <w:rPr>
                <w:sz w:val="20"/>
                <w:szCs w:val="20"/>
                <w:color w:val="auto"/>
              </w:rPr>
            </w:pPr>
            <w:r>
              <w:rPr>
                <w:rFonts w:ascii="Arial" w:cs="Arial" w:eastAsia="Arial" w:hAnsi="Arial"/>
                <w:sz w:val="14"/>
                <w:szCs w:val="14"/>
                <w:b w:val="1"/>
                <w:bCs w:val="1"/>
                <w:color w:val="auto"/>
              </w:rPr>
              <w:t>Weighted-Average</w:t>
            </w:r>
          </w:p>
        </w:tc>
      </w:tr>
      <w:tr>
        <w:trPr>
          <w:trHeight w:val="185"/>
        </w:trPr>
        <w:tc>
          <w:tcPr>
            <w:tcW w:w="80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Subject to RSUs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Grant Date Fair Value</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31, 2024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11,333,057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29"/>
        </w:trPr>
        <w:tc>
          <w:tcPr>
            <w:tcW w:w="8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13,962,632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of January 31, 2025 and 2024, no stock-based compensation expense had been recognized for RSUs because a liquidity event had not yet occurred. When a liquidity event occurs, the Company will record cumulative stock-based compensation expense using the accelerated attribution method for those RSUs for which the service condition has been satisfied prior to the occurrence of the liquidity event. If the liquidity event had occurred on or was probable as of January 31, 2025, the Company would have recorded cumulative stock-based compensation expense of approximately $30.3 million related to RSUs that had previously satisfied the service condition. Unrecognized stock-based compensation expense related to unvested RSUs that have not met the service condition is $63.6 million, which would be recognized over a weighted-average period of approximately 3.7 years if the liquidity event had occurred on or was probable as of January 31, 2025.</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9"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Stock-based compensation is included in the following components of expenses within the consolidated statements of operations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30,408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27,039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17,077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15,872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24,919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28,189</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 net of amounts capitalized</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76,981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75,851</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stock-based compensation</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r>
      <w:tr>
        <w:trPr>
          <w:trHeight w:val="248"/>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cost</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79,300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76,981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22" w:right="3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DEFICIT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69"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Company’s authorized, issued and outstanding redeemable convertible preferred stock (collectively, the “Preferred Stock”) consisted of the following (in thousands, except price per share amounts and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jc w:val="center"/>
              <w:ind w:left="1061"/>
              <w:spacing w:after="0"/>
              <w:rPr>
                <w:sz w:val="20"/>
                <w:szCs w:val="20"/>
                <w:color w:val="auto"/>
              </w:rPr>
            </w:pPr>
            <w:r>
              <w:rPr>
                <w:rFonts w:ascii="Arial" w:cs="Arial" w:eastAsia="Arial" w:hAnsi="Arial"/>
                <w:sz w:val="14"/>
                <w:szCs w:val="14"/>
                <w:b w:val="1"/>
                <w:bCs w:val="1"/>
                <w:color w:val="auto"/>
              </w:rPr>
              <w:t>As of January 31, 2025 and 2024</w:t>
            </w: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5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Shares</w:t>
            </w:r>
          </w:p>
        </w:tc>
        <w:tc>
          <w:tcPr>
            <w:tcW w:w="1440" w:type="dxa"/>
            <w:vAlign w:val="bottom"/>
          </w:tcPr>
          <w:p>
            <w:pPr>
              <w:jc w:val="right"/>
              <w:ind w:right="1"/>
              <w:spacing w:after="0" w:line="147" w:lineRule="exact"/>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Original Issuance</w:t>
            </w:r>
          </w:p>
        </w:tc>
        <w:tc>
          <w:tcPr>
            <w:tcW w:w="320" w:type="dxa"/>
            <w:vAlign w:val="bottom"/>
          </w:tcPr>
          <w:p>
            <w:pPr>
              <w:spacing w:after="0"/>
              <w:rPr>
                <w:sz w:val="12"/>
                <w:szCs w:val="12"/>
                <w:color w:val="auto"/>
              </w:rPr>
            </w:pPr>
          </w:p>
        </w:tc>
        <w:tc>
          <w:tcPr>
            <w:tcW w:w="12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2"/>
                <w:szCs w:val="12"/>
                <w:color w:val="auto"/>
              </w:rPr>
            </w:pPr>
          </w:p>
        </w:tc>
        <w:tc>
          <w:tcPr>
            <w:tcW w:w="12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Authorized</w:t>
            </w:r>
          </w:p>
        </w:tc>
        <w:tc>
          <w:tcPr>
            <w:tcW w:w="1440" w:type="dxa"/>
            <w:vAlign w:val="bottom"/>
          </w:tcPr>
          <w:p>
            <w:pPr>
              <w:jc w:val="right"/>
              <w:ind w:right="22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 Per Share</w:t>
            </w: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Seed</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50,804,566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50,804,566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4,729</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Series A</w:t>
            </w:r>
          </w:p>
        </w:tc>
        <w:tc>
          <w:tcPr>
            <w:tcW w:w="1420" w:type="dxa"/>
            <w:vAlign w:val="bottom"/>
          </w:tcPr>
          <w:p>
            <w:pPr>
              <w:jc w:val="right"/>
              <w:spacing w:after="0"/>
              <w:rPr>
                <w:sz w:val="20"/>
                <w:szCs w:val="20"/>
                <w:color w:val="auto"/>
              </w:rPr>
            </w:pPr>
            <w:r>
              <w:rPr>
                <w:rFonts w:ascii="Arial" w:cs="Arial" w:eastAsia="Arial" w:hAnsi="Arial"/>
                <w:sz w:val="16"/>
                <w:szCs w:val="16"/>
                <w:color w:val="auto"/>
              </w:rPr>
              <w:t>61,148,064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61,148,064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10,288</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64,059,440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64,059,440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Series B</w:t>
            </w:r>
          </w:p>
        </w:tc>
        <w:tc>
          <w:tcPr>
            <w:tcW w:w="1420" w:type="dxa"/>
            <w:vAlign w:val="bottom"/>
          </w:tcPr>
          <w:p>
            <w:pPr>
              <w:jc w:val="right"/>
              <w:spacing w:after="0"/>
              <w:rPr>
                <w:sz w:val="20"/>
                <w:szCs w:val="20"/>
                <w:color w:val="auto"/>
              </w:rPr>
            </w:pPr>
            <w:r>
              <w:rPr>
                <w:rFonts w:ascii="Arial" w:cs="Arial" w:eastAsia="Arial" w:hAnsi="Arial"/>
                <w:sz w:val="16"/>
                <w:szCs w:val="16"/>
                <w:color w:val="auto"/>
              </w:rPr>
              <w:t>82,515,508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82,395,028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51,153</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63,474,833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59,311,289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142,398</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Series C-1</w:t>
            </w:r>
          </w:p>
        </w:tc>
        <w:tc>
          <w:tcPr>
            <w:tcW w:w="1420" w:type="dxa"/>
            <w:vAlign w:val="bottom"/>
          </w:tcPr>
          <w:p>
            <w:pPr>
              <w:jc w:val="right"/>
              <w:spacing w:after="0"/>
              <w:rPr>
                <w:sz w:val="20"/>
                <w:szCs w:val="20"/>
                <w:color w:val="auto"/>
              </w:rPr>
            </w:pPr>
            <w:r>
              <w:rPr>
                <w:rFonts w:ascii="Arial" w:cs="Arial" w:eastAsia="Arial" w:hAnsi="Arial"/>
                <w:sz w:val="16"/>
                <w:szCs w:val="16"/>
                <w:color w:val="auto"/>
              </w:rPr>
              <w:t>4,163,544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4,163,544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9,996</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37,778,170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37,778,170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279,676</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Series E</w:t>
            </w:r>
          </w:p>
        </w:tc>
        <w:tc>
          <w:tcPr>
            <w:tcW w:w="1420" w:type="dxa"/>
            <w:vAlign w:val="bottom"/>
          </w:tcPr>
          <w:p>
            <w:pPr>
              <w:jc w:val="right"/>
              <w:spacing w:after="0"/>
              <w:rPr>
                <w:sz w:val="20"/>
                <w:szCs w:val="20"/>
                <w:color w:val="auto"/>
              </w:rPr>
            </w:pPr>
            <w:r>
              <w:rPr>
                <w:rFonts w:ascii="Arial" w:cs="Arial" w:eastAsia="Arial" w:hAnsi="Arial"/>
                <w:sz w:val="16"/>
                <w:szCs w:val="16"/>
                <w:color w:val="auto"/>
              </w:rPr>
              <w:t>41,579,555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41,579,555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362,000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361,700</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F</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25,504,285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25,504,285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274,827</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Series G</w:t>
            </w:r>
          </w:p>
        </w:tc>
        <w:tc>
          <w:tcPr>
            <w:tcW w:w="1420" w:type="dxa"/>
            <w:vAlign w:val="bottom"/>
          </w:tcPr>
          <w:p>
            <w:pPr>
              <w:jc w:val="right"/>
              <w:spacing w:after="0"/>
              <w:rPr>
                <w:sz w:val="20"/>
                <w:szCs w:val="20"/>
                <w:color w:val="auto"/>
              </w:rPr>
            </w:pPr>
            <w:r>
              <w:rPr>
                <w:rFonts w:ascii="Arial" w:cs="Arial" w:eastAsia="Arial" w:hAnsi="Arial"/>
                <w:sz w:val="16"/>
                <w:szCs w:val="16"/>
                <w:color w:val="auto"/>
              </w:rPr>
              <w:t>24,032,867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8,010,958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99,794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G-1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16,021,909</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4,325,909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53,890</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471,082,741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439,080,808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1,301,402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1,301,121</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features of the Preferred Stock are as follows:</w:t>
      </w:r>
    </w:p>
    <w:p>
      <w:pPr>
        <w:spacing w:after="0" w:line="171"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b w:val="1"/>
          <w:bCs w:val="1"/>
          <w:color w:val="auto"/>
        </w:rPr>
        <w:t xml:space="preserve">Dividend Provisions </w:t>
      </w:r>
      <w:r>
        <w:rPr>
          <w:rFonts w:ascii="Arial" w:cs="Arial" w:eastAsia="Arial" w:hAnsi="Arial"/>
          <w:sz w:val="18"/>
          <w:szCs w:val="18"/>
          <w:color w:val="auto"/>
        </w:rPr>
        <w:t>- Holders of Preferred Stock shall be entitled to receive, when, and if declared by the Board of Directors, but only</w:t>
      </w:r>
      <w:r>
        <w:rPr>
          <w:rFonts w:ascii="Arial" w:cs="Arial" w:eastAsia="Arial" w:hAnsi="Arial"/>
          <w:sz w:val="18"/>
          <w:szCs w:val="18"/>
          <w:b w:val="1"/>
          <w:bCs w:val="1"/>
          <w:color w:val="auto"/>
        </w:rPr>
        <w:t xml:space="preserve"> </w:t>
      </w:r>
      <w:r>
        <w:rPr>
          <w:rFonts w:ascii="Arial" w:cs="Arial" w:eastAsia="Arial" w:hAnsi="Arial"/>
          <w:sz w:val="18"/>
          <w:szCs w:val="18"/>
          <w:color w:val="auto"/>
        </w:rPr>
        <w:t>out of funds that are legally available, cash dividends at the rate of 8% of the original issue price of each Preferred Stock series. Such dividends shall be payable on a pari passu basis and only when, and if declared by the Board of Directors and shall be non-cumulative. No dividends on Preferred Stock or common stock have been declared by the Board of Directors from inception through January 31, 2025.</w:t>
      </w:r>
    </w:p>
    <w:p>
      <w:pPr>
        <w:spacing w:after="0" w:line="122"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b w:val="1"/>
          <w:bCs w:val="1"/>
          <w:color w:val="auto"/>
        </w:rPr>
        <w:t xml:space="preserve">Liquidation Preference </w:t>
      </w:r>
      <w:r>
        <w:rPr>
          <w:rFonts w:ascii="Arial" w:cs="Arial" w:eastAsia="Arial" w:hAnsi="Arial"/>
          <w:sz w:val="17"/>
          <w:szCs w:val="17"/>
          <w:color w:val="auto"/>
        </w:rPr>
        <w:t>- In the event of any liquidation, dissolution or winding-up of the Company, whether voluntary or involuntary or</w:t>
      </w:r>
      <w:r>
        <w:rPr>
          <w:rFonts w:ascii="Arial" w:cs="Arial" w:eastAsia="Arial" w:hAnsi="Arial"/>
          <w:sz w:val="17"/>
          <w:szCs w:val="17"/>
          <w:b w:val="1"/>
          <w:bCs w:val="1"/>
          <w:color w:val="auto"/>
        </w:rPr>
        <w:t xml:space="preserve"> </w:t>
      </w:r>
      <w:r>
        <w:rPr>
          <w:rFonts w:ascii="Arial" w:cs="Arial" w:eastAsia="Arial" w:hAnsi="Arial"/>
          <w:sz w:val="17"/>
          <w:szCs w:val="17"/>
          <w:color w:val="auto"/>
        </w:rPr>
        <w:t>any deemed liquidation event (a “Liquidation Event”), the holders of Preferred Stock shall be entitled, on a pari passu basis among each other and before any payments to the holders of common stock, to be paid out of the assets of the Company available for distribution for each share of Preferred Stock, an amount per share of Preferred Stock equal to the greater of (a) the applicable original issuance price plus all declared but unpaid dividends on such Preferred Stock, or (b) such amount per share as would have been payable had all shares of (i) such series of Preferred Stock been converted into common stock, and (ii) each other series of Preferred Stock that would have received a greater amount per share had such other series been converted into common stock. If, upon any such Liquidation Event, the assets of the Company shall be insufficient to make payment in full to all holders of the Preferred Stock, then the assets shall be distributed among the holders of Preferred Stock on a pari passu basis, in proportion to the full amounts to which they would otherwise be respectively entitled.</w:t>
      </w:r>
    </w:p>
    <w:p>
      <w:pPr>
        <w:spacing w:after="0" w:line="120"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After the payment of the full liquidation preference to Preferred Stock above, the remaining assets of the corporation available for distribution to shareholders will be distributed ratably to the holders of common stock.</w:t>
      </w:r>
    </w:p>
    <w:p>
      <w:pPr>
        <w:spacing w:after="0" w:line="99"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color w:val="auto"/>
        </w:rPr>
        <w:t xml:space="preserve">Conversion Rights </w:t>
      </w:r>
      <w:r>
        <w:rPr>
          <w:rFonts w:ascii="Arial" w:cs="Arial" w:eastAsia="Arial" w:hAnsi="Arial"/>
          <w:sz w:val="18"/>
          <w:szCs w:val="18"/>
          <w:color w:val="auto"/>
        </w:rPr>
        <w:t>- Each share of Preferred Stock is convertible, at the option of the holder, into such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as is determined by dividing the applicable original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22" w:right="3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price for a share by the applicable conversion price at the time in effect for such share. Each share of Preferred Stock automatically converts into the number of shares of common stock into which such shares are convertible at the then-effective conversion ratio upon the closing of a public offering of common stock with gross proceeds of at least $100.0 million as of January 31, 2025.</w:t>
      </w:r>
    </w:p>
    <w:p>
      <w:pPr>
        <w:spacing w:after="0" w:line="117"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b w:val="1"/>
          <w:bCs w:val="1"/>
          <w:color w:val="auto"/>
        </w:rPr>
        <w:t xml:space="preserve">Redemption Rights </w:t>
      </w:r>
      <w:r>
        <w:rPr>
          <w:rFonts w:ascii="Arial" w:cs="Arial" w:eastAsia="Arial" w:hAnsi="Arial"/>
          <w:sz w:val="18"/>
          <w:szCs w:val="18"/>
          <w:color w:val="auto"/>
        </w:rPr>
        <w:t>- The Preferred Stock is not mandatorily redeemable. It will become redeemable upon the occurrence of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deemed liquidation events that are considered not solely within the Company’s control. Accordingly, the Preferred Stock is presented in the mezzanine section of the consolidated balance sheets.</w:t>
      </w:r>
    </w:p>
    <w:p>
      <w:pPr>
        <w:spacing w:after="0" w:line="117"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 The holders of each share of Preferred Stock are entitled to the number of votes equal to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into which such shares are convertible.</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holders of each share of common stock are entitled to one vote for each share of common stock issued and outstanding for the holders. The holders of common stock are also entitled to receive dividends whenever funds are available and when declared by the Board of Directors, subject to the priority rights of holders of all series of Preferred Stock outstanding.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reserved for issuance as of January 31, 2025 and 2024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933"/>
              <w:spacing w:after="0"/>
              <w:rPr>
                <w:sz w:val="20"/>
                <w:szCs w:val="20"/>
                <w:color w:val="auto"/>
              </w:rPr>
            </w:pPr>
            <w:r>
              <w:rPr>
                <w:rFonts w:ascii="Arial" w:cs="Arial" w:eastAsia="Arial" w:hAnsi="Arial"/>
                <w:sz w:val="14"/>
                <w:szCs w:val="14"/>
                <w:b w:val="1"/>
                <w:bCs w:val="1"/>
                <w:color w:val="auto"/>
              </w:rPr>
              <w:t>As of January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439,080,808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439,080,808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122,916,304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125,313,916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issued and outstanding</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13,962,632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2,847,353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Stock options and RSUs reserved for future issuance</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16,451,535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12,867,183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warrants</w:t>
            </w: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120,480</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common stock reserved for issuance</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592,531,759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580,229,740</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NOTE 12 - INCOME TAXES</w:t>
            </w: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7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980" w:type="dxa"/>
            <w:vAlign w:val="bottom"/>
          </w:tcPr>
          <w:p>
            <w:pPr>
              <w:ind w:left="340"/>
              <w:spacing w:after="0"/>
              <w:rPr>
                <w:sz w:val="20"/>
                <w:szCs w:val="20"/>
                <w:color w:val="auto"/>
              </w:rPr>
            </w:pPr>
            <w:r>
              <w:rPr>
                <w:rFonts w:ascii="Arial" w:cs="Arial" w:eastAsia="Arial" w:hAnsi="Arial"/>
                <w:sz w:val="18"/>
                <w:szCs w:val="18"/>
                <w:color w:val="auto"/>
              </w:rPr>
              <w:t>Loss before income tax expense is as follows (in thousands):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9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33"/>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(345,485)</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19,361</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(326,124)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22" w:right="33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tax expense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Federal</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State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expense (benefit)</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Historically, it has been the practice and intention of the Company to indefinitely reinvest the earnings of its non-U.S. subsidiaries. During the fiscal year ended January 31, 2024, the Company altered its capital allocation strategy and determined that certain non-US earnings, which can be distributed tax efficiently, are no longer permanently reinvested where earned. As of January 31, 2025 and 2024, the Company recognized a deferred tax liability of $0.3 million and $0.2 million, respectively, for additional taxes that would be incurred upon repatriation of the earnings that are no longer permanently reinvested.</w:t>
      </w:r>
    </w:p>
    <w:p>
      <w:pPr>
        <w:spacing w:after="0" w:line="125"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The income tax expense differs from the amount computed by applying the federal statutory income tax rate to income before taxes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(326,124)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Expected tax benefit at federal rate of 21%</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(68,486)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Taxes on foreign earnings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Disallowed interest on convertible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11,082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Effects of cross-border tax laws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22" w:right="3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deferred tax assets and liabilities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211,217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209,724</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14,031</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Reserves and accruals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14,378</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Capitalized research and development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38,764</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321,439</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(297,643)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right-of-use asset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Reserves and accruals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(13,902)</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net deferred tax assets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assets will be realized. The ultimate realization of deferred tax assets is dependent upon the generation of future taxable income during the periods in which those temporary differences become deductible. Based on the available objective evidence, the Company believes it is more likely than not that a portion of its net deferred tax assets may not be realized in the future. Accordingly, the Company established a full valuation allowance against its U.S. federal, certain states, and certain foreign deferred tax assets. The net change in the total valuation allowance for the years ended January 31, 2025 and 2024 was an increase of approximately $39.1 million and $70.0 million, respectively.</w:t>
      </w:r>
    </w:p>
    <w:p>
      <w:pPr>
        <w:spacing w:after="0" w:line="129"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As of January 31, 2025, the Company had approximately $ 805.0 million of federal, $628.6 million of state, and $20.0 million of foreign net operating loss carryforwards as reported on our tax returns available to reduce future taxable income. Of the $805.0 million federal net operating loss carryforwards, $789.9 million may be carried forward indefinitely with utilization limited to 80% of taxable income, and the remaining $15.1 million will begin to expire in 2036. State NOL carryforwards will begin to expire in 2027, unless utilized. The foreign net operating loss carryforwards will carryforward indefinitely. As of January 31, 2025, the Company also had federal and state research and development tax credit carryforwards as reported on our tax returns of approximately $15.5 million and $ 11.1 million, respectively. The federal tax credits will expire at various dates beginning in 2036, unless utilized. The state tax credits do not expire and will carry forward indefinitely until utilized.</w:t>
      </w:r>
    </w:p>
    <w:p>
      <w:pPr>
        <w:spacing w:after="0" w:line="13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As of January 31, 2024, the Company had approximately $ 789.6 million of federal, $568.1 million of state, and $30.7 million of foreign net operating loss carryforwards as reported on our tax returns available to reduce future taxable income. Of the $789.6 million federal net operating loss carryforwards, $774.5 million may be carried forward indefinitely with utilization limited to 80% of taxable income, and the remaining $15.1 million will begin to expire in 2036. State NOL carryforwards will begin to expire in 2027, unless utilized. The foreign net operating loss carryforwards will carryforward indefinitely. As of January 31, 2024, the Company also had federal and state research and development tax credit carryforwards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22" w:right="3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reported on our tax returns of approximately $12.0 million and $8.5 million, respectively. The federal tax credits will expire at various dates beginning in 2036, unless utilized. The state tax credits do not expire and will carry forward indefinitely until utilized.</w:t>
      </w:r>
    </w:p>
    <w:p>
      <w:pPr>
        <w:spacing w:after="0" w:line="9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Federal and state tax laws impose substantial restrictions on the utilization of the net operating loss and credit carryforwards in the event of an ownership change as defined in Section 382 of the Internal Revenue Code. Accordingly, the Company’s ability to utilize these carryforwards may be limited as a result of such ownership change.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 Subsequent ownership changes in respect to these tax attributes may further affect the limitation in future years.</w:t>
      </w:r>
    </w:p>
    <w:p>
      <w:pPr>
        <w:spacing w:after="0" w:line="12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Company recognizes uncertain tax positions in the consolidated financial statements if that position is more likely than not of being sustained upon audit, based on the technical merits of the position. In the preparation of income tax returns in federal, foreign, and state jurisdictions, the Company asserts certain tax positions based on its understanding and interpretation of income tax laws. The taxing authorities may challenge such positions, and the resolution of such matters could result in recognition of income tax expense in the Company’s consolidated financial statements. As of January 31, 2025, the Company had unrecognized tax benefits of $9.5 million, of which $1.9 million, if recognized, would favorably impact the effective tax rate. As of January 31, 2024, the Company had unrecognized tax benefits of $8.8 million, of which $2.4 million, if recognized, would favorably impact the effective tax rate.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aggregate changes in the Company’s total gross amount of unrecognized tax benefits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Additions based on tax position related to the current year</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for the prior year</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Decrease related to prior year tax positions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related to expiration of statute of limitations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8,783</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140" w:firstLine="324"/>
        <w:spacing w:after="0" w:line="287" w:lineRule="auto"/>
        <w:rPr>
          <w:sz w:val="20"/>
          <w:szCs w:val="20"/>
          <w:color w:val="auto"/>
        </w:rPr>
      </w:pPr>
      <w:r>
        <w:rPr>
          <w:rFonts w:ascii="Arial" w:cs="Arial" w:eastAsia="Arial" w:hAnsi="Arial"/>
          <w:sz w:val="18"/>
          <w:szCs w:val="18"/>
          <w:color w:val="auto"/>
        </w:rPr>
        <w:t>The Company includes interest and penalties related to unrecognized tax benefits through income tax expense. As of January 31, 2025 and 2024, the amount of accrued interest and penalties related to uncertain tax positions was $0.4 million.</w:t>
      </w:r>
    </w:p>
    <w:p>
      <w:pPr>
        <w:spacing w:after="0" w:line="99" w:lineRule="exact"/>
        <w:rPr>
          <w:sz w:val="20"/>
          <w:szCs w:val="20"/>
          <w:color w:val="auto"/>
        </w:rPr>
      </w:pPr>
    </w:p>
    <w:p>
      <w:pPr>
        <w:jc w:val="both"/>
        <w:ind w:right="140" w:firstLine="324"/>
        <w:spacing w:after="0" w:line="262" w:lineRule="auto"/>
        <w:rPr>
          <w:sz w:val="20"/>
          <w:szCs w:val="20"/>
          <w:color w:val="auto"/>
        </w:rPr>
      </w:pPr>
      <w:r>
        <w:rPr>
          <w:rFonts w:ascii="Arial" w:cs="Arial" w:eastAsia="Arial" w:hAnsi="Arial"/>
          <w:sz w:val="18"/>
          <w:szCs w:val="18"/>
          <w:color w:val="auto"/>
        </w:rPr>
        <w:t>Although it is reasonably possible that certain unrecognized tax benefits may increase or decrease within the next 12 months due to tax examination changes, settlement activities, or the impact on recognition and measurement considerations related to the results of published tax cases or other similar activities, the Company does not anticipate any significant changes to unrecognized tax benefits over the next 12 months.</w:t>
      </w:r>
    </w:p>
    <w:p>
      <w:pPr>
        <w:spacing w:after="0" w:line="122" w:lineRule="exact"/>
        <w:rPr>
          <w:sz w:val="20"/>
          <w:szCs w:val="20"/>
          <w:color w:val="auto"/>
        </w:rPr>
      </w:pPr>
    </w:p>
    <w:p>
      <w:pPr>
        <w:ind w:right="760" w:firstLine="324"/>
        <w:spacing w:after="0" w:line="287" w:lineRule="auto"/>
        <w:rPr>
          <w:sz w:val="20"/>
          <w:szCs w:val="20"/>
          <w:color w:val="auto"/>
        </w:rPr>
      </w:pPr>
      <w:r>
        <w:rPr>
          <w:rFonts w:ascii="Arial" w:cs="Arial" w:eastAsia="Arial" w:hAnsi="Arial"/>
          <w:sz w:val="18"/>
          <w:szCs w:val="18"/>
          <w:color w:val="auto"/>
        </w:rPr>
        <w:t>The Company files federal, state, and foreign tax returns with varying statutes of limitations. The tax years since inception of the Company in 2015 remain open to examination due to the carryover of unused net operating losses and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22" w:right="3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69"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In the normal course of business, the Company enters into non-cancelable purchase commitments with various parties primarily related to the purchase of cloud hosting arrangements and software subscriptions. The table below presents the summarized purchase obligations as of January 31, 2025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6"/>
          </w:tcPr>
          <w:p>
            <w:pPr>
              <w:jc w:val="center"/>
              <w:ind w:left="102"/>
              <w:spacing w:after="0"/>
              <w:rPr>
                <w:sz w:val="20"/>
                <w:szCs w:val="20"/>
                <w:color w:val="auto"/>
              </w:rPr>
            </w:pPr>
            <w:r>
              <w:rPr>
                <w:rFonts w:ascii="Arial" w:cs="Arial" w:eastAsia="Arial" w:hAnsi="Arial"/>
                <w:sz w:val="14"/>
                <w:szCs w:val="14"/>
                <w:b w:val="1"/>
                <w:bCs w:val="1"/>
                <w:color w:val="auto"/>
              </w:rPr>
              <w:t>Payments Due By Period as of January 31, 2025</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96"/>
        </w:trPr>
        <w:tc>
          <w:tcPr>
            <w:tcW w:w="3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Less than 1 Year</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1 - 3 Years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3 - 5 Years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More than 5 Years</w:t>
            </w:r>
          </w:p>
        </w:tc>
      </w:tr>
      <w:tr>
        <w:trPr>
          <w:trHeight w:val="224"/>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21,556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6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the ordinary course of business, the Company may be subject from time to time to various litigation and administrative proceedings, disputes or claims. In the event that the Company becomes a party to litigation in the future, the Company will record a liability when a loss is considered probable and the amount can be reasonably estimated. For legal proceedings for which there is a reasonable possibility of loss (meaning those losses for which the likelihood is more than remote but less than probable), the Company has determined it does not have material exposure on an aggregate basis. As of January 31, 2025, the Company is not subject to any currently pending legal matters or claims that could have a material adverse effect on its financial position, results of operations, or cash flows should such litigation be resolved unfavorably.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Repayment of Government Grants</w:t>
      </w:r>
    </w:p>
    <w:p>
      <w:pPr>
        <w:spacing w:after="0" w:line="169"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During the years ended January 31, 2022 and 2021, the Company received $6.0 million in grants from the Dutch government under the NOW Scheme. The Company’s application for relief under the NOW Scheme is currently under review. If the Dutch government concludes that the Company does not qualify under the conditions stipulated for the government grants, the Company may have to repay the Dutch government for grants provided. We recognized the $6.0 million in grants received as a liability in the period received.</w:t>
      </w:r>
    </w:p>
    <w:p>
      <w:pPr>
        <w:spacing w:after="0" w:line="122"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During the year ended January 31, 2023, the Company received a tentative payment schedule from the Dutch government. The NOW Scheme liability balances as of January 31, 2025 and 2024, and the changes in fiscal 2025 and 2024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0" w:type="dxa"/>
            <w:vAlign w:val="bottom"/>
          </w:tcPr>
          <w:p>
            <w:pPr>
              <w:spacing w:after="0"/>
              <w:rPr>
                <w:sz w:val="17"/>
                <w:szCs w:val="17"/>
                <w:color w:val="auto"/>
              </w:rPr>
            </w:pPr>
          </w:p>
        </w:tc>
        <w:tc>
          <w:tcPr>
            <w:tcW w:w="266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bottom w:val="single" w:sz="8" w:color="auto"/>
            </w:tcBorders>
          </w:tcPr>
          <w:p>
            <w:pPr>
              <w:spacing w:after="0"/>
              <w:rPr>
                <w:sz w:val="17"/>
                <w:szCs w:val="17"/>
                <w:color w:val="auto"/>
              </w:rPr>
            </w:pPr>
          </w:p>
        </w:tc>
      </w:tr>
      <w:tr>
        <w:trPr>
          <w:trHeight w:val="196"/>
        </w:trPr>
        <w:tc>
          <w:tcPr>
            <w:tcW w:w="80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224"/>
        </w:trPr>
        <w:tc>
          <w:tcPr>
            <w:tcW w:w="80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Balance at beginning of period</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5,648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Repayments</w:t>
            </w:r>
          </w:p>
        </w:tc>
        <w:tc>
          <w:tcPr>
            <w:tcW w:w="9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8"/>
              </w:rPr>
              <w:t>(1,118)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impact</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7"/>
              </w:rPr>
              <w:t>4,315</w:t>
            </w:r>
          </w:p>
        </w:tc>
        <w:tc>
          <w:tcPr>
            <w:tcW w:w="100" w:type="dxa"/>
            <w:vAlign w:val="bottom"/>
          </w:tcPr>
          <w:p>
            <w:pPr>
              <w:spacing w:after="0"/>
              <w:rPr>
                <w:sz w:val="19"/>
                <w:szCs w:val="19"/>
                <w:color w:val="auto"/>
              </w:rPr>
            </w:pP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5,648</w:t>
            </w:r>
          </w:p>
        </w:tc>
      </w:tr>
      <w:tr>
        <w:trPr>
          <w:trHeight w:val="229"/>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balance in Accrued expenses and other 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3"/>
        </w:trPr>
        <w:tc>
          <w:tcPr>
            <w:tcW w:w="8000" w:type="dxa"/>
            <w:vAlign w:val="bottom"/>
          </w:tcPr>
          <w:p>
            <w:pPr>
              <w:ind w:left="240"/>
              <w:spacing w:after="0"/>
              <w:rPr>
                <w:sz w:val="20"/>
                <w:szCs w:val="20"/>
                <w:color w:val="auto"/>
              </w:rPr>
            </w:pPr>
            <w:r>
              <w:rPr>
                <w:rFonts w:ascii="Arial" w:cs="Arial" w:eastAsia="Arial" w:hAnsi="Arial"/>
                <w:sz w:val="18"/>
                <w:szCs w:val="18"/>
                <w:color w:val="auto"/>
              </w:rPr>
              <w:t>Balance in Other non-current liabilities</w:t>
            </w:r>
          </w:p>
        </w:tc>
        <w:tc>
          <w:tcPr>
            <w:tcW w:w="98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3,806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r>
      <w:tr>
        <w:trPr>
          <w:trHeight w:val="21"/>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31" w:lineRule="exact"/>
        <w:rPr>
          <w:sz w:val="20"/>
          <w:szCs w:val="20"/>
          <w:color w:val="auto"/>
        </w:rPr>
      </w:pPr>
    </w:p>
    <w:p>
      <w:pPr>
        <w:ind w:left="340" w:right="260" w:hanging="332"/>
        <w:spacing w:after="0" w:line="270" w:lineRule="auto"/>
        <w:tabs>
          <w:tab w:leader="none" w:pos="33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During the year ended January 31, 2023, the NOW Scheme liability had a foreign currency translation impact of $0.2 million, leading to a decrease of the liability from $6.0 million to $5.8 million.</w:t>
      </w:r>
    </w:p>
    <w:p>
      <w:pPr>
        <w:spacing w:after="0" w:line="10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As of January 31, 2025, the Company’s application for relief is still under review with the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22" w:right="3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EMPLOYEE BENEFIT PLAN</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Company sponsors a 401(k) defined contribution retirement plan (the “401(k) Plan”) covering certain U.S. employees. Participants may contribute a portion of their compensation to the Plan, subject to limitations under the Internal Revenue Code. During the year ended January 31, 2024, the Company paused 401(k) Plan matching contributions for employees. The Company also maintains certain other defined contribution plans outside of the United States for which it provides contributions for participating employees in the regions in which matching contributions is applicable. The Company’s contributions for all defined contribution retirement plans were $6.1 million and $7.4 million for the years ended January 31, 2025 and 2024,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LOSS PER SHARE</w:t>
      </w:r>
    </w:p>
    <w:p>
      <w:pPr>
        <w:spacing w:after="0" w:line="171"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(331,552)</w:t>
            </w: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outstanding used to compute net loss per share attributable to common</w:t>
            </w:r>
          </w:p>
        </w:tc>
        <w:tc>
          <w:tcPr>
            <w:tcW w:w="3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135,818,454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133,754,772</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stockholders, basic and diluted</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During the years ended January 31, 2025 and 2024, the Company was in a net loss position. As a result, basic net loss per share is the same as diluted net loss per share, as the inclusion of all potential shares of common stock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3220" w:type="dxa"/>
            <w:vAlign w:val="bottom"/>
            <w:tcBorders>
              <w:bottom w:val="single" w:sz="8" w:color="auto"/>
            </w:tcBorders>
            <w:gridSpan w:val="3"/>
          </w:tcPr>
          <w:p>
            <w:pPr>
              <w:jc w:val="right"/>
              <w:ind w:right="932"/>
              <w:spacing w:after="0"/>
              <w:rPr>
                <w:sz w:val="20"/>
                <w:szCs w:val="20"/>
                <w:color w:val="auto"/>
              </w:rPr>
            </w:pPr>
            <w:r>
              <w:rPr>
                <w:rFonts w:ascii="Arial" w:cs="Arial" w:eastAsia="Arial" w:hAnsi="Arial"/>
                <w:sz w:val="14"/>
                <w:szCs w:val="14"/>
                <w:b w:val="1"/>
                <w:bCs w:val="1"/>
                <w:color w:val="auto"/>
              </w:rPr>
              <w:t>As of January 31,</w:t>
            </w:r>
          </w:p>
        </w:tc>
      </w:tr>
      <w:tr>
        <w:trPr>
          <w:trHeight w:val="196"/>
        </w:trPr>
        <w:tc>
          <w:tcPr>
            <w:tcW w:w="80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shares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439,080,808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439,080,808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122,916,304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125,313,916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issued and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13,962,632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2,847,353</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Warrants to purchase redeemable convertible preferred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120,480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120,480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subject to repurchase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149,291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400,020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Convertible notes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38,838,512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41,942,500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615,068,027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609,705,077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171"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During the three months ended April 30, 2025, we issued a term loan and common stock warrants in exchange for cash proceeds of $130.0 million, and also executed Simple Agreements for Future Equity (“SAFEs”) and common stock warrants in exchange for total proceeds of $155.0 million. We also settled the 2022 Promissory Note for a cash payment of $198.1 million. We are in the process of evaluating the accounting impact of these transactions.</w:t>
      </w:r>
    </w:p>
    <w:p>
      <w:pPr>
        <w:spacing w:after="0" w:line="12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During the three months ended April 30, 2025, we amended the Warehouse Credit Facility to extend the maturity date to February 2028. We also repaid the Trade Loan Facility, and executed a new revolving line of credit with Citibank. The new revolving line of credit has a borrowing limit of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22" w:right="3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million, and a term through March 2028. We are in the process of evaluating the accounting impact of these transactions.</w:t>
      </w:r>
    </w:p>
    <w:p>
      <w:pPr>
        <w:spacing w:after="0" w:line="171"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Subsequent events have been evaluated through April 30, 2025, the date the consolidated financial statements were available to be issued.</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Subsequent to Original Issuance of Financial Statements (Unaudited)</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Company evaluated subsequent events through July 25, 2025, the date these consolidated financial statements were available to be reissued.</w:t>
      </w:r>
    </w:p>
    <w:p>
      <w:pPr>
        <w:spacing w:after="0" w:line="9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Since February 1, 2025 and through the date these consolidated financial statements were available to be reissued, we granted 7,724,766 stock options that vest over four years based on service-only conditions. We also granted 8,232,996 RSUs that vest upon the satisfaction of both a performance and a service condition, where the performance condition is satisfied by either a sale of the Company or following the effective date of an initial public offering, and the service condition is satisfied generally over a period of four years. In addition, we granted 1,581,369 RSUs which vest over four years based solely on service-only conditions.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Vista Facility</w:t>
      </w:r>
    </w:p>
    <w:p>
      <w:pPr>
        <w:spacing w:after="0" w:line="169" w:lineRule="exact"/>
        <w:rPr>
          <w:sz w:val="20"/>
          <w:szCs w:val="20"/>
          <w:color w:val="auto"/>
        </w:rPr>
      </w:pPr>
    </w:p>
    <w:p>
      <w:pPr>
        <w:jc w:val="both"/>
        <w:ind w:right="280" w:firstLine="324"/>
        <w:spacing w:after="0" w:line="268" w:lineRule="auto"/>
        <w:rPr>
          <w:sz w:val="20"/>
          <w:szCs w:val="20"/>
          <w:color w:val="auto"/>
        </w:rPr>
      </w:pPr>
      <w:r>
        <w:rPr>
          <w:rFonts w:ascii="Arial" w:cs="Arial" w:eastAsia="Arial" w:hAnsi="Arial"/>
          <w:sz w:val="18"/>
          <w:szCs w:val="18"/>
          <w:color w:val="auto"/>
        </w:rPr>
        <w:t>In February 2025, we entered into a credit agreement with VCP Capital Markets, LLC, under which we issued term loans to lenders in exchange for proceeds of $130.0 million, which mature on February 24, 2030 (the “Vista Facility”). In connection with the Vista Facility, we issued warrants covering 1,459,768 shares of common stock.</w:t>
      </w:r>
    </w:p>
    <w:p>
      <w:pPr>
        <w:spacing w:after="0" w:line="11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Upon issuance of the Vista Facility, the common stock warrants had a fair value of $11.0 million which was recorded as a debt discount. Debt issuance costs were recorded as a reduction to the debt liability. The debt discount and debt issuance costs are amortized to interest expense at an effective interest rate of 12.8% over the term of the loan. The common stock warrants are equity classified within additional paid-in capital.</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Simple Agreements for Future Equity (SAFEs) and Common Stock Warrants</w:t>
      </w:r>
    </w:p>
    <w:p>
      <w:pPr>
        <w:spacing w:after="0" w:line="169"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During the three months ended April 30, 2025, we entered into SAFEs with multiple investors in exchange for cash proceeds of $155.0 million, with an interest rate of 12% per annum. The SAFEs contain various conversion features.</w:t>
      </w:r>
    </w:p>
    <w:p>
      <w:pPr>
        <w:spacing w:after="0" w:line="9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issued common stock warrants to investors together with the SAFEs. The number of shares that can be issued upon exercise of the common stock warrants is determined based on a fixed percentage of the fully diluted capitalization prior to the earliest to occur of (a) a deemed liquidation event, (b) a liquidity event, and (c) the date of exercise.</w:t>
      </w:r>
    </w:p>
    <w:p>
      <w:pPr>
        <w:spacing w:after="0" w:line="117" w:lineRule="exact"/>
        <w:rPr>
          <w:sz w:val="20"/>
          <w:szCs w:val="20"/>
          <w:color w:val="auto"/>
        </w:rPr>
      </w:pPr>
    </w:p>
    <w:p>
      <w:pPr>
        <w:jc w:val="both"/>
        <w:ind w:right="180" w:firstLine="324"/>
        <w:spacing w:after="0" w:line="268" w:lineRule="auto"/>
        <w:rPr>
          <w:sz w:val="20"/>
          <w:szCs w:val="20"/>
          <w:color w:val="auto"/>
        </w:rPr>
      </w:pPr>
      <w:r>
        <w:rPr>
          <w:rFonts w:ascii="Arial" w:cs="Arial" w:eastAsia="Arial" w:hAnsi="Arial"/>
          <w:sz w:val="18"/>
          <w:szCs w:val="18"/>
          <w:color w:val="auto"/>
        </w:rPr>
        <w:t>We incurred debt issuance costs of $2.9 million in connection with the issuance of the SAFEs and common stock warrants, which were expensed when incurred. The SAFEs and common stock warrants are classified as liabilities and are measured at fair value on a recurring basis.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2022 Promissory Note</w:t>
      </w:r>
    </w:p>
    <w:p>
      <w:pPr>
        <w:spacing w:after="0" w:line="169" w:lineRule="exact"/>
        <w:rPr>
          <w:sz w:val="20"/>
          <w:szCs w:val="20"/>
          <w:color w:val="auto"/>
        </w:rPr>
      </w:pPr>
    </w:p>
    <w:p>
      <w:pPr>
        <w:ind w:right="1020" w:firstLine="324"/>
        <w:spacing w:after="0" w:line="287" w:lineRule="auto"/>
        <w:rPr>
          <w:sz w:val="20"/>
          <w:szCs w:val="20"/>
          <w:color w:val="auto"/>
        </w:rPr>
      </w:pPr>
      <w:r>
        <w:rPr>
          <w:rFonts w:ascii="Arial" w:cs="Arial" w:eastAsia="Arial" w:hAnsi="Arial"/>
          <w:sz w:val="18"/>
          <w:szCs w:val="18"/>
          <w:color w:val="auto"/>
        </w:rPr>
        <w:t>In February 2025, we paid $198.1 million to settle the 2022 Promissory Note and recognized a $20.5 million loss on the debt extinguishment.</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Warehouse Credit Facility</w:t>
      </w:r>
    </w:p>
    <w:p>
      <w:pPr>
        <w:spacing w:after="0" w:line="169" w:lineRule="exact"/>
        <w:rPr>
          <w:sz w:val="20"/>
          <w:szCs w:val="20"/>
          <w:color w:val="auto"/>
        </w:rPr>
      </w:pPr>
    </w:p>
    <w:p>
      <w:pPr>
        <w:ind w:right="600" w:firstLine="324"/>
        <w:spacing w:after="0" w:line="287" w:lineRule="auto"/>
        <w:rPr>
          <w:sz w:val="20"/>
          <w:szCs w:val="20"/>
          <w:color w:val="auto"/>
        </w:rPr>
      </w:pPr>
      <w:r>
        <w:rPr>
          <w:rFonts w:ascii="Arial" w:cs="Arial" w:eastAsia="Arial" w:hAnsi="Arial"/>
          <w:sz w:val="18"/>
          <w:szCs w:val="18"/>
          <w:color w:val="auto"/>
        </w:rPr>
        <w:t>We incurred incremental upfront commitment fees in connection with extending the maturity date of the Warehouse Credit Facility through February 18, 2028. The upfront commitment fees are capitalized and amortized over the remaining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320" w:top="122" w:right="3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ABL Facility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March 2025, we executed an asset-based lending revolving line of credit with Citibank (“ABL Facility”) for a term through March 2028.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ABL Facility has a borrowing limit of $100.0 million. The available borrowings are based on eligible U.S. and UK travel receivables.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Issuance fees incurred in connection with the ABL Facility are capitalized and amortized over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122" w:right="439" w:bottom="1440" w:gutter="0" w:footer="0" w:header="0"/>
        </w:sectPr>
      </w:pPr>
    </w:p>
    <w:bookmarkStart w:id="261" w:name="page262"/>
    <w:bookmarkEnd w:id="261"/>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813435</wp:posOffset>
            </wp:positionV>
            <wp:extent cx="3000375" cy="10026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00375" cy="100266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1"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following table sets forth all costs and expenses to be paid by the Registrant, other than underwriting discounts and commissions, in connection with the sale of Class A common stock being registered hereby. All amounts shown are estimates except for the Securities and Exchange Commission, or the SEC, registration fee, the Financial Industry Regulatory Authority, or FINRA, filing fee and the listing fee: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Amount Paid or to be</w:t>
            </w:r>
          </w:p>
        </w:tc>
        <w:tc>
          <w:tcPr>
            <w:tcW w:w="0" w:type="dxa"/>
            <w:vAlign w:val="bottom"/>
          </w:tcPr>
          <w:p>
            <w:pPr>
              <w:spacing w:after="0"/>
              <w:rPr>
                <w:sz w:val="1"/>
                <w:szCs w:val="1"/>
                <w:color w:val="auto"/>
              </w:rPr>
            </w:pPr>
          </w:p>
        </w:tc>
      </w:tr>
      <w:tr>
        <w:trPr>
          <w:trHeight w:val="185"/>
        </w:trPr>
        <w:tc>
          <w:tcPr>
            <w:tcW w:w="9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223"/>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Listing fee</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 and expenses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Miscellaneous expenses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4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9420" w:type="dxa"/>
            <w:vAlign w:val="bottom"/>
          </w:tcPr>
          <w:p>
            <w:pPr>
              <w:spacing w:after="0"/>
              <w:rPr>
                <w:sz w:val="20"/>
                <w:szCs w:val="20"/>
                <w:color w:val="auto"/>
              </w:rPr>
            </w:pPr>
            <w:r>
              <w:rPr>
                <w:rFonts w:ascii="Arial" w:cs="Arial" w:eastAsia="Arial" w:hAnsi="Arial"/>
                <w:sz w:val="16"/>
                <w:szCs w:val="16"/>
                <w:color w:val="auto"/>
              </w:rPr>
              <w:t>*   To be provided by amendment.</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Section 145 of the Delaware General Corporation Law, or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spacing w:after="0" w:line="122"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As permitted by the DGCL, the Registrant’s amended and restated certificate of incorporation to be effective upon the completion of this offering contains provisions that eliminate the personal liability of its directors and officers for monetary damages for any breach of fiduciary duties as a director or officer, except liability for the following:</w:t>
      </w:r>
    </w:p>
    <w:p>
      <w:pPr>
        <w:spacing w:after="0" w:line="117"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the Registrant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under Section 174 of the DGCL (regarding unlawful dividends and stock purchases);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 respect to officers, any action by or in the right of the corporation.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permitted by the DGCL, the Registrant’s restated bylaws to be effective upon the completion of this offering, provide that:</w:t>
      </w:r>
    </w:p>
    <w:p>
      <w:pPr>
        <w:spacing w:after="0" w:line="171" w:lineRule="exact"/>
        <w:rPr>
          <w:sz w:val="20"/>
          <w:szCs w:val="20"/>
          <w:color w:val="auto"/>
        </w:rPr>
      </w:pPr>
    </w:p>
    <w:p>
      <w:pPr>
        <w:ind w:left="660" w:right="100" w:hanging="328"/>
        <w:spacing w:after="0" w:line="287" w:lineRule="auto"/>
        <w:tabs>
          <w:tab w:leader="none" w:pos="6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DGCL, subject to very limited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22" w:right="3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171"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171"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Prior to completion of this offering, the Registrant intends to enter into indemnification agreements with each of its then-current directors and executive officers to provide these directors and executive officers additional contractual assurances regarding the scope of the indemnification set forth in its amended and restated certificate of incorporation and restated bylaws and to provide additional procedural protections. There is no pending litigation or proceeding involving a director or executive officer of the Registrant for which indemnification is sought. The indemnification provisions in its amended and restated certificate of incorporation, restated bylaws and the indemnification agreements entered into or to be entered into between the Registrant and each of its directors and executive officers may be sufficiently broad to permit indemnification of the directors and executive officers for liabilities arising under the Securities Act.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of the Registrant’s directors are also indemnified by their employers with regard to service on the Registrant’s board of directors.</w:t>
      </w:r>
    </w:p>
    <w:p>
      <w:pPr>
        <w:spacing w:after="0" w:line="171" w:lineRule="exact"/>
        <w:rPr>
          <w:sz w:val="20"/>
          <w:szCs w:val="20"/>
          <w:color w:val="auto"/>
        </w:rPr>
      </w:pPr>
    </w:p>
    <w:p>
      <w:pPr>
        <w:ind w:right="320" w:firstLine="324"/>
        <w:spacing w:after="0" w:line="328" w:lineRule="auto"/>
        <w:rPr>
          <w:sz w:val="20"/>
          <w:szCs w:val="20"/>
          <w:color w:val="auto"/>
        </w:rPr>
      </w:pPr>
      <w:r>
        <w:rPr>
          <w:rFonts w:ascii="Arial" w:cs="Arial" w:eastAsia="Arial" w:hAnsi="Arial"/>
          <w:sz w:val="17"/>
          <w:szCs w:val="17"/>
          <w:b w:val="1"/>
          <w:bCs w:val="1"/>
          <w:color w:val="auto"/>
        </w:rPr>
        <w:t>In addition, the underwriting agreement filed as Exhibit 1.1 to this registration statement provides for indemnification by the underwriters of the Registrant and its officers and directors for certain liabilities arising under the Securities Act, or otherwise.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February 1, 2022, the Registrant has issued and sold the following securities:</w:t>
      </w:r>
    </w:p>
    <w:p>
      <w:pPr>
        <w:spacing w:after="0" w:line="171"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April 2025, the Registrant issued SAFEs to accredited investors in an aggregate principal amount of $53.8 million.</w:t>
      </w:r>
    </w:p>
    <w:p>
      <w:pPr>
        <w:spacing w:after="0" w:line="171"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April 2025, the Registrant issued warrants to purchase up to approximately 0.16% of the Registrant’s capital stock on a fully diluted basis, calculated as of the initial public filing of this registration statement, to accredited investors at an exercise price of $0.01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February 2025, the Registrant issued SAFEs to accredited investors in an aggregate principal amount of $101.2 million.</w:t>
      </w:r>
    </w:p>
    <w:p>
      <w:pPr>
        <w:spacing w:after="0" w:line="171"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February 2025, the Registrant issued warrants to purchase up to approximately 0.29% of the Registrant’s capital stock on a fully diluted basis, calculated as of the initial public filing of this registration statement, to accredited investors at an exercise price of $0.01 per share.</w:t>
      </w:r>
    </w:p>
    <w:p>
      <w:pPr>
        <w:spacing w:after="0" w:line="116"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February 2025, the Registrant issued warrants to purchase up to 1,459,768 shares of its Class A common stock to accredited investors at an exercise price of $0.01 per share.</w:t>
      </w:r>
    </w:p>
    <w:p>
      <w:pPr>
        <w:spacing w:after="0" w:line="98"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September 2022, the Registrant issued a warrant to purchase up to 1,797,840 shares of its Class A common stock to an accredited investor at an exercise price of $0.01 per share. In November 2022, the Registrant issued 1,797,840 shares of its Class A common stock to the aforementioned accredited investor upon the exercise of the warrant.</w:t>
      </w:r>
    </w:p>
    <w:p>
      <w:pPr>
        <w:spacing w:after="0" w:line="116"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Between July and September 2022, the Registrant sold an aggregate of 8,010,958 shares of its Series G redeemable convertible preferred stock and an aggregate of 4,325,909 shares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122" w:right="35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right="560"/>
        <w:spacing w:after="0" w:line="287" w:lineRule="auto"/>
        <w:rPr>
          <w:sz w:val="20"/>
          <w:szCs w:val="20"/>
          <w:color w:val="auto"/>
        </w:rPr>
      </w:pPr>
      <w:r>
        <w:rPr>
          <w:rFonts w:ascii="Arial" w:cs="Arial" w:eastAsia="Arial" w:hAnsi="Arial"/>
          <w:sz w:val="18"/>
          <w:szCs w:val="18"/>
          <w:color w:val="auto"/>
        </w:rPr>
        <w:t>Series G-1 redeemable convertible preferred stock to 14 accredited investors at a purchase price of $12.4829 per share for an aggregate purchase price of approximately $154.0 million.</w:t>
      </w:r>
    </w:p>
    <w:p>
      <w:pPr>
        <w:spacing w:after="0" w:line="99" w:lineRule="exact"/>
        <w:rPr>
          <w:sz w:val="20"/>
          <w:szCs w:val="20"/>
          <w:color w:val="auto"/>
        </w:rPr>
      </w:pPr>
    </w:p>
    <w:p>
      <w:pPr>
        <w:jc w:val="both"/>
        <w:ind w:left="660" w:right="320" w:hanging="328"/>
        <w:spacing w:after="0" w:line="268"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Between February 9, 2022 and April 20, 2022, the Registrant granted restricted stock awards to certain of its service providers to purchase an aggregate 305,578 shares of its Class A common stock under the 2015 Plan with per share purchase prices ranging from $0.2275 to $1.43.</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 granted options to its directors, officers, employees, consultants, and other service providers to purchase an</w:t>
      </w:r>
    </w:p>
    <w:p>
      <w:pPr>
        <w:sectPr>
          <w:pgSz w:w="11900" w:h="16838" w:orient="portrait"/>
          <w:cols w:equalWidth="0" w:num="1">
            <w:col w:w="11240"/>
          </w:cols>
          <w:pgMar w:left="320" w:top="122" w:right="339" w:bottom="1440" w:gutter="0" w:footer="0" w:header="0"/>
        </w:sectPr>
      </w:pPr>
    </w:p>
    <w:p>
      <w:pPr>
        <w:spacing w:after="0" w:line="32" w:lineRule="exact"/>
        <w:rPr>
          <w:sz w:val="20"/>
          <w:szCs w:val="20"/>
          <w:color w:val="auto"/>
        </w:rPr>
      </w:pPr>
    </w:p>
    <w:p>
      <w:pPr>
        <w:ind w:left="660" w:right="60"/>
        <w:spacing w:after="0" w:line="260" w:lineRule="auto"/>
        <w:rPr>
          <w:sz w:val="20"/>
          <w:szCs w:val="20"/>
          <w:color w:val="auto"/>
        </w:rPr>
      </w:pPr>
      <w:r>
        <w:rPr>
          <w:rFonts w:ascii="Arial" w:cs="Arial" w:eastAsia="Arial" w:hAnsi="Arial"/>
          <w:sz w:val="18"/>
          <w:szCs w:val="18"/>
          <w:color w:val="auto"/>
        </w:rPr>
        <w:t>aggregate of shares of its Class A common stock under the 2015 Plan with per share exercise prices ranging from $ to $ , and the Registrant issued of its Class A common stock upon exercise of stock options under its 2015 Equity Incentive Plan, or 2015 Plan.</w:t>
      </w:r>
    </w:p>
    <w:p>
      <w:pPr>
        <w:sectPr>
          <w:pgSz w:w="11900" w:h="16838" w:orient="portrait"/>
          <w:cols w:equalWidth="0" w:num="1">
            <w:col w:w="11240"/>
          </w:cols>
          <w:pgMar w:left="320" w:top="122" w:right="339" w:bottom="1440" w:gutter="0" w:footer="0" w:header="0"/>
          <w:type w:val="continuous"/>
        </w:sectPr>
      </w:pPr>
    </w:p>
    <w:p>
      <w:pPr>
        <w:spacing w:after="0" w:line="3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hanging="4"/>
        <w:spacing w:after="0" w:line="287" w:lineRule="auto"/>
        <w:rPr>
          <w:sz w:val="20"/>
          <w:szCs w:val="20"/>
          <w:color w:val="auto"/>
        </w:rPr>
      </w:pPr>
      <w:r>
        <w:rPr>
          <w:rFonts w:ascii="Arial" w:cs="Arial" w:eastAsia="Arial" w:hAnsi="Arial"/>
          <w:sz w:val="18"/>
          <w:szCs w:val="18"/>
          <w:color w:val="auto"/>
        </w:rPr>
        <w:t>The Registrant granted to its employees, consultants, and other service providers an aggregate of settled in shares of Class A common stock under the 2015 Plan.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to be</w:t>
      </w:r>
    </w:p>
    <w:p>
      <w:pPr>
        <w:spacing w:after="0" w:line="387" w:lineRule="exact"/>
        <w:rPr>
          <w:sz w:val="20"/>
          <w:szCs w:val="20"/>
          <w:color w:val="auto"/>
        </w:rPr>
      </w:pPr>
    </w:p>
    <w:p>
      <w:pPr>
        <w:sectPr>
          <w:pgSz w:w="11900" w:h="16838" w:orient="portrait"/>
          <w:cols w:equalWidth="0" w:num="3">
            <w:col w:w="400" w:space="260"/>
            <w:col w:w="7780" w:space="540"/>
            <w:col w:w="2260"/>
          </w:cols>
          <w:pgMar w:left="320" w:top="122" w:right="339" w:bottom="1440" w:gutter="0" w:footer="0" w:header="0"/>
          <w:type w:val="continuous"/>
        </w:sectPr>
      </w:pPr>
    </w:p>
    <w:p>
      <w:pPr>
        <w:ind w:right="180" w:firstLine="324"/>
        <w:spacing w:after="0" w:line="257" w:lineRule="auto"/>
        <w:rPr>
          <w:sz w:val="20"/>
          <w:szCs w:val="20"/>
          <w:color w:val="auto"/>
        </w:rPr>
      </w:pPr>
      <w:r>
        <w:rPr>
          <w:rFonts w:ascii="Arial" w:cs="Arial" w:eastAsia="Arial" w:hAnsi="Arial"/>
          <w:sz w:val="18"/>
          <w:szCs w:val="18"/>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or Rule 701,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6480" w:type="dxa"/>
            <w:vAlign w:val="bottom"/>
            <w:vMerge w:val="restart"/>
          </w:tcPr>
          <w:p>
            <w:pPr>
              <w:ind w:left="4220"/>
              <w:spacing w:after="0"/>
              <w:rPr>
                <w:sz w:val="20"/>
                <w:szCs w:val="20"/>
                <w:color w:val="auto"/>
              </w:rPr>
            </w:pPr>
            <w:r>
              <w:rPr>
                <w:rFonts w:ascii="Arial" w:cs="Arial" w:eastAsia="Arial" w:hAnsi="Arial"/>
                <w:sz w:val="14"/>
                <w:szCs w:val="14"/>
                <w:b w:val="1"/>
                <w:bCs w:val="1"/>
                <w:color w:val="auto"/>
              </w:rPr>
              <w:t>Description of Document</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6480" w:type="dxa"/>
            <w:vAlign w:val="bottom"/>
            <w:vMerge w:val="continue"/>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Underwriting Agreement.</w:t>
            </w:r>
          </w:p>
        </w:tc>
        <w:tc>
          <w:tcPr>
            <w:tcW w:w="3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0160" w:type="dxa"/>
            <w:vAlign w:val="bottom"/>
            <w:gridSpan w:val="2"/>
          </w:tcPr>
          <w:p>
            <w:pPr>
              <w:ind w:left="20"/>
              <w:spacing w:after="0"/>
              <w:rPr>
                <w:sz w:val="20"/>
                <w:szCs w:val="20"/>
                <w:color w:val="auto"/>
              </w:rPr>
            </w:pPr>
            <w:r>
              <w:rPr>
                <w:rFonts w:ascii="Arial" w:cs="Arial" w:eastAsia="Arial" w:hAnsi="Arial"/>
                <w:sz w:val="18"/>
                <w:szCs w:val="18"/>
                <w:color w:val="auto"/>
              </w:rPr>
              <w:t>Amended and Restated Certificate of Incorporation of Navan, Inc., as currently in effect.</w:t>
            </w: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0160" w:type="dxa"/>
            <w:vAlign w:val="bottom"/>
            <w:gridSpan w:val="2"/>
          </w:tcPr>
          <w:p>
            <w:pPr>
              <w:ind w:left="20"/>
              <w:spacing w:after="0"/>
              <w:rPr>
                <w:sz w:val="20"/>
                <w:szCs w:val="20"/>
                <w:color w:val="auto"/>
              </w:rPr>
            </w:pPr>
            <w:r>
              <w:rPr>
                <w:rFonts w:ascii="Arial" w:cs="Arial" w:eastAsia="Arial" w:hAnsi="Arial"/>
                <w:sz w:val="18"/>
                <w:szCs w:val="18"/>
                <w:color w:val="auto"/>
              </w:rPr>
              <w:t>Form of Amended and Restated Certificate of Incorporation of Navan, Inc., to be in effect upon the completion of this offering.</w:t>
            </w: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Bylaws of Navan, Inc. as currently in effect.</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0160" w:type="dxa"/>
            <w:vAlign w:val="bottom"/>
            <w:gridSpan w:val="2"/>
          </w:tcPr>
          <w:p>
            <w:pPr>
              <w:ind w:left="20"/>
              <w:spacing w:after="0"/>
              <w:rPr>
                <w:sz w:val="20"/>
                <w:szCs w:val="20"/>
                <w:color w:val="auto"/>
              </w:rPr>
            </w:pPr>
            <w:r>
              <w:rPr>
                <w:rFonts w:ascii="Arial" w:cs="Arial" w:eastAsia="Arial" w:hAnsi="Arial"/>
                <w:sz w:val="18"/>
                <w:szCs w:val="18"/>
                <w:color w:val="auto"/>
              </w:rPr>
              <w:t>Form of Restated Bylaws of Navan, Inc., to be in effect upon the completion of this offering.</w:t>
            </w: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Form of Class A Common Stock certificate of Navan, Inc.</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000" w:type="dxa"/>
            <w:vAlign w:val="bottom"/>
          </w:tcPr>
          <w:p>
            <w:pPr>
              <w:ind w:left="20"/>
              <w:spacing w:after="0" w:line="181"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5"/>
                <w:szCs w:val="15"/>
                <w:color w:val="auto"/>
              </w:rPr>
            </w:pPr>
          </w:p>
        </w:tc>
        <w:tc>
          <w:tcPr>
            <w:tcW w:w="101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Amended and Restated Investors’ Rights Agreement among TripActions, Inc. (n/k/a/ Navan, Inc.) and certain holders of its</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capital stock, dated July 28, 2022.</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0160" w:type="dxa"/>
            <w:vAlign w:val="bottom"/>
            <w:gridSpan w:val="2"/>
          </w:tcPr>
          <w:p>
            <w:pPr>
              <w:ind w:left="20"/>
              <w:spacing w:after="0"/>
              <w:rPr>
                <w:sz w:val="20"/>
                <w:szCs w:val="20"/>
                <w:color w:val="auto"/>
              </w:rPr>
            </w:pPr>
            <w:r>
              <w:rPr>
                <w:rFonts w:ascii="Arial" w:cs="Arial" w:eastAsia="Arial" w:hAnsi="Arial"/>
                <w:sz w:val="18"/>
                <w:szCs w:val="18"/>
                <w:color w:val="auto"/>
              </w:rPr>
              <w:t>Warrant to Purchase Stock between TripActions, Inc. (n/k/a/ Navan, Inc.) and Comerica Bank, dated September 10, 2018.</w:t>
            </w: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Opinion of Cooley LLP.</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0160" w:type="dxa"/>
            <w:vAlign w:val="bottom"/>
            <w:gridSpan w:val="2"/>
          </w:tcPr>
          <w:p>
            <w:pPr>
              <w:ind w:left="20"/>
              <w:spacing w:after="0"/>
              <w:rPr>
                <w:sz w:val="20"/>
                <w:szCs w:val="20"/>
                <w:color w:val="auto"/>
              </w:rPr>
            </w:pPr>
            <w:r>
              <w:rPr>
                <w:rFonts w:ascii="Arial" w:cs="Arial" w:eastAsia="Arial" w:hAnsi="Arial"/>
                <w:sz w:val="18"/>
                <w:szCs w:val="18"/>
                <w:color w:val="auto"/>
              </w:rPr>
              <w:t>Form of Indemnification Agreement between Navan, Inc. and each of its directors and executive officers.</w:t>
            </w: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10160" w:type="dxa"/>
            <w:vAlign w:val="bottom"/>
            <w:gridSpan w:val="2"/>
          </w:tcPr>
          <w:p>
            <w:pPr>
              <w:ind w:left="20"/>
              <w:spacing w:after="0"/>
              <w:rPr>
                <w:sz w:val="20"/>
                <w:szCs w:val="20"/>
                <w:color w:val="auto"/>
              </w:rPr>
            </w:pPr>
            <w:r>
              <w:rPr>
                <w:rFonts w:ascii="Arial" w:cs="Arial" w:eastAsia="Arial" w:hAnsi="Arial"/>
                <w:sz w:val="18"/>
                <w:szCs w:val="18"/>
                <w:color w:val="auto"/>
              </w:rPr>
              <w:t>Navan, Inc. 2015 Equity Incentive Plan, as amended, and related form agreements.</w:t>
            </w: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Navan, Inc. 2025 Equity Incentive Plan and related form agreements.</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Navan, Inc. 2025 Employee Stock Purchase Plan and related form agreements.</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Confirmatory Offer Letter between Ariel Cohen and Navan, Inc., dated</w:t>
            </w:r>
          </w:p>
        </w:tc>
        <w:tc>
          <w:tcPr>
            <w:tcW w:w="3680" w:type="dxa"/>
            <w:vAlign w:val="bottom"/>
          </w:tcPr>
          <w:p>
            <w:pPr>
              <w:jc w:val="right"/>
              <w:ind w:right="3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00" w:type="dxa"/>
            <w:vAlign w:val="bottom"/>
          </w:tcPr>
          <w:p>
            <w:pPr>
              <w:ind w:lef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Confirmatory Offer Letter between Michael Sindicich and Navan, Inc., dated</w:t>
            </w:r>
          </w:p>
        </w:tc>
        <w:tc>
          <w:tcPr>
            <w:tcW w:w="3680" w:type="dxa"/>
            <w:vAlign w:val="bottom"/>
          </w:tcPr>
          <w:p>
            <w:pPr>
              <w:jc w:val="right"/>
              <w:ind w:right="2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22" w:right="339" w:bottom="1440" w:gutter="0" w:footer="0" w:header="0"/>
          <w:type w:val="continuous"/>
        </w:sectPr>
      </w:pPr>
    </w:p>
    <w:bookmarkStart w:id="265" w:name="page266"/>
    <w:bookmarkEnd w:id="2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6620" w:type="dxa"/>
            <w:vAlign w:val="bottom"/>
          </w:tcPr>
          <w:p>
            <w:pPr>
              <w:ind w:left="280"/>
              <w:spacing w:after="0"/>
              <w:rPr>
                <w:sz w:val="20"/>
                <w:szCs w:val="20"/>
                <w:color w:val="auto"/>
              </w:rPr>
            </w:pPr>
            <w:r>
              <w:rPr>
                <w:rFonts w:ascii="Arial" w:cs="Arial" w:eastAsia="Arial" w:hAnsi="Arial"/>
                <w:sz w:val="18"/>
                <w:szCs w:val="18"/>
                <w:color w:val="auto"/>
              </w:rPr>
              <w:t>Confirmatory Offer Letter between Ilan Twig and Navan, Inc., dated</w:t>
            </w:r>
          </w:p>
        </w:tc>
        <w:tc>
          <w:tcPr>
            <w:tcW w:w="3540" w:type="dxa"/>
            <w:vAlign w:val="bottom"/>
          </w:tcPr>
          <w:p>
            <w:pPr>
              <w:jc w:val="right"/>
              <w:ind w:right="3390"/>
              <w:spacing w:after="0"/>
              <w:rPr>
                <w:sz w:val="20"/>
                <w:szCs w:val="20"/>
                <w:color w:val="auto"/>
              </w:rPr>
            </w:pPr>
            <w:r>
              <w:rPr>
                <w:rFonts w:ascii="Arial" w:cs="Arial" w:eastAsia="Arial" w:hAnsi="Arial"/>
                <w:sz w:val="18"/>
                <w:szCs w:val="18"/>
                <w:color w:val="auto"/>
                <w:w w:val="78"/>
              </w:rPr>
              <w:t>.</w:t>
            </w: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10.8*</w:t>
            </w:r>
          </w:p>
        </w:tc>
        <w:tc>
          <w:tcPr>
            <w:tcW w:w="10160" w:type="dxa"/>
            <w:vAlign w:val="bottom"/>
            <w:gridSpan w:val="2"/>
          </w:tcPr>
          <w:p>
            <w:pPr>
              <w:ind w:left="280"/>
              <w:spacing w:after="0"/>
              <w:rPr>
                <w:sz w:val="20"/>
                <w:szCs w:val="20"/>
                <w:color w:val="auto"/>
              </w:rPr>
            </w:pPr>
            <w:r>
              <w:rPr>
                <w:rFonts w:ascii="Arial" w:cs="Arial" w:eastAsia="Arial" w:hAnsi="Arial"/>
                <w:sz w:val="18"/>
                <w:szCs w:val="18"/>
                <w:color w:val="auto"/>
              </w:rPr>
              <w:t>Form of Change of Control and Severance Agreement between Navan, Inc. and each of its named executive officers.</w:t>
            </w:r>
          </w:p>
        </w:tc>
      </w:tr>
      <w:tr>
        <w:trPr>
          <w:trHeight w:val="181"/>
        </w:trPr>
        <w:tc>
          <w:tcPr>
            <w:tcW w:w="800" w:type="dxa"/>
            <w:vAlign w:val="bottom"/>
          </w:tcPr>
          <w:p>
            <w:pPr>
              <w:spacing w:after="0" w:line="181" w:lineRule="exact"/>
              <w:rPr>
                <w:sz w:val="20"/>
                <w:szCs w:val="20"/>
                <w:color w:val="auto"/>
              </w:rPr>
            </w:pPr>
            <w:r>
              <w:rPr>
                <w:rFonts w:ascii="Arial" w:cs="Arial" w:eastAsia="Arial" w:hAnsi="Arial"/>
                <w:sz w:val="18"/>
                <w:szCs w:val="18"/>
                <w:color w:val="auto"/>
              </w:rPr>
              <w:t>10.9*</w:t>
            </w:r>
          </w:p>
        </w:tc>
        <w:tc>
          <w:tcPr>
            <w:tcW w:w="10160" w:type="dxa"/>
            <w:vAlign w:val="bottom"/>
            <w:gridSpan w:val="2"/>
          </w:tcPr>
          <w:p>
            <w:pPr>
              <w:ind w:left="280"/>
              <w:spacing w:after="0" w:line="181" w:lineRule="exact"/>
              <w:rPr>
                <w:sz w:val="20"/>
                <w:szCs w:val="20"/>
                <w:color w:val="auto"/>
              </w:rPr>
            </w:pPr>
            <w:r>
              <w:rPr>
                <w:rFonts w:ascii="Arial" w:cs="Arial" w:eastAsia="Arial" w:hAnsi="Arial"/>
                <w:sz w:val="18"/>
                <w:szCs w:val="18"/>
                <w:color w:val="auto"/>
              </w:rPr>
              <w:t>Triple Net Space Lease (Single Tenant), between 3045 Park Property LLC and TripActions, Inc. (n/k/a/ Navan, Inc.), dated</w:t>
            </w:r>
          </w:p>
        </w:tc>
      </w:tr>
      <w:tr>
        <w:trPr>
          <w:trHeight w:val="238"/>
        </w:trPr>
        <w:tc>
          <w:tcPr>
            <w:tcW w:w="800" w:type="dxa"/>
            <w:vAlign w:val="bottom"/>
          </w:tcPr>
          <w:p>
            <w:pPr>
              <w:spacing w:after="0"/>
              <w:rPr>
                <w:sz w:val="20"/>
                <w:szCs w:val="20"/>
                <w:color w:val="auto"/>
              </w:rPr>
            </w:pPr>
          </w:p>
        </w:tc>
        <w:tc>
          <w:tcPr>
            <w:tcW w:w="6620" w:type="dxa"/>
            <w:vAlign w:val="bottom"/>
          </w:tcPr>
          <w:p>
            <w:pPr>
              <w:ind w:left="280"/>
              <w:spacing w:after="0"/>
              <w:rPr>
                <w:sz w:val="20"/>
                <w:szCs w:val="20"/>
                <w:color w:val="auto"/>
              </w:rPr>
            </w:pPr>
            <w:r>
              <w:rPr>
                <w:rFonts w:ascii="Arial" w:cs="Arial" w:eastAsia="Arial" w:hAnsi="Arial"/>
                <w:sz w:val="18"/>
                <w:szCs w:val="18"/>
                <w:color w:val="auto"/>
              </w:rPr>
              <w:t>June 24, 2022.</w:t>
            </w:r>
          </w:p>
        </w:tc>
        <w:tc>
          <w:tcPr>
            <w:tcW w:w="3540" w:type="dxa"/>
            <w:vAlign w:val="bottom"/>
          </w:tcPr>
          <w:p>
            <w:pPr>
              <w:spacing w:after="0"/>
              <w:rPr>
                <w:sz w:val="20"/>
                <w:szCs w:val="20"/>
                <w:color w:val="auto"/>
              </w:rPr>
            </w:pPr>
          </w:p>
        </w:tc>
      </w:tr>
      <w:tr>
        <w:trPr>
          <w:trHeight w:val="181"/>
        </w:trPr>
        <w:tc>
          <w:tcPr>
            <w:tcW w:w="800" w:type="dxa"/>
            <w:vAlign w:val="bottom"/>
          </w:tcPr>
          <w:p>
            <w:pPr>
              <w:spacing w:after="0" w:line="181" w:lineRule="exact"/>
              <w:rPr>
                <w:sz w:val="20"/>
                <w:szCs w:val="20"/>
                <w:color w:val="auto"/>
              </w:rPr>
            </w:pPr>
            <w:r>
              <w:rPr>
                <w:rFonts w:ascii="Arial" w:cs="Arial" w:eastAsia="Arial" w:hAnsi="Arial"/>
                <w:sz w:val="18"/>
                <w:szCs w:val="18"/>
                <w:color w:val="auto"/>
              </w:rPr>
              <w:t>10.10*</w:t>
            </w:r>
          </w:p>
        </w:tc>
        <w:tc>
          <w:tcPr>
            <w:tcW w:w="10160" w:type="dxa"/>
            <w:vAlign w:val="bottom"/>
            <w:gridSpan w:val="2"/>
          </w:tcPr>
          <w:p>
            <w:pPr>
              <w:ind w:left="280"/>
              <w:spacing w:after="0" w:line="181" w:lineRule="exact"/>
              <w:rPr>
                <w:sz w:val="20"/>
                <w:szCs w:val="20"/>
                <w:color w:val="auto"/>
              </w:rPr>
            </w:pPr>
            <w:r>
              <w:rPr>
                <w:rFonts w:ascii="Arial" w:cs="Arial" w:eastAsia="Arial" w:hAnsi="Arial"/>
                <w:sz w:val="18"/>
                <w:szCs w:val="18"/>
                <w:color w:val="auto"/>
                <w:w w:val="99"/>
              </w:rPr>
              <w:t>Credit Agreement among Navan, Inc., Reed &amp; Mackay Travel Inc., Reed &amp; Mackay Travel Limited, and Citibank, N.A., dated</w:t>
            </w:r>
          </w:p>
        </w:tc>
      </w:tr>
      <w:tr>
        <w:trPr>
          <w:trHeight w:val="238"/>
        </w:trPr>
        <w:tc>
          <w:tcPr>
            <w:tcW w:w="800" w:type="dxa"/>
            <w:vAlign w:val="bottom"/>
          </w:tcPr>
          <w:p>
            <w:pPr>
              <w:spacing w:after="0"/>
              <w:rPr>
                <w:sz w:val="20"/>
                <w:szCs w:val="20"/>
                <w:color w:val="auto"/>
              </w:rPr>
            </w:pPr>
          </w:p>
        </w:tc>
        <w:tc>
          <w:tcPr>
            <w:tcW w:w="6620" w:type="dxa"/>
            <w:vAlign w:val="bottom"/>
          </w:tcPr>
          <w:p>
            <w:pPr>
              <w:ind w:left="280"/>
              <w:spacing w:after="0"/>
              <w:rPr>
                <w:sz w:val="20"/>
                <w:szCs w:val="20"/>
                <w:color w:val="auto"/>
              </w:rPr>
            </w:pPr>
            <w:r>
              <w:rPr>
                <w:rFonts w:ascii="Arial" w:cs="Arial" w:eastAsia="Arial" w:hAnsi="Arial"/>
                <w:sz w:val="18"/>
                <w:szCs w:val="18"/>
                <w:color w:val="auto"/>
              </w:rPr>
              <w:t>March 14, 2025.</w:t>
            </w:r>
          </w:p>
        </w:tc>
        <w:tc>
          <w:tcPr>
            <w:tcW w:w="3540" w:type="dxa"/>
            <w:vAlign w:val="bottom"/>
          </w:tcPr>
          <w:p>
            <w:pPr>
              <w:spacing w:after="0"/>
              <w:rPr>
                <w:sz w:val="20"/>
                <w:szCs w:val="20"/>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10160" w:type="dxa"/>
            <w:vAlign w:val="bottom"/>
            <w:gridSpan w:val="2"/>
          </w:tcPr>
          <w:p>
            <w:pPr>
              <w:ind w:left="280"/>
              <w:spacing w:after="0"/>
              <w:rPr>
                <w:sz w:val="20"/>
                <w:szCs w:val="20"/>
                <w:color w:val="auto"/>
              </w:rPr>
            </w:pPr>
            <w:r>
              <w:rPr>
                <w:rFonts w:ascii="Arial" w:cs="Arial" w:eastAsia="Arial" w:hAnsi="Arial"/>
                <w:sz w:val="18"/>
                <w:szCs w:val="18"/>
                <w:color w:val="auto"/>
              </w:rPr>
              <w:t>Credit Agreement among Navan, Inc. and VCP Capital Markets, LLC, dated February 24, 2025.</w:t>
            </w:r>
          </w:p>
        </w:tc>
      </w:tr>
      <w:tr>
        <w:trPr>
          <w:trHeight w:val="181"/>
        </w:trPr>
        <w:tc>
          <w:tcPr>
            <w:tcW w:w="800" w:type="dxa"/>
            <w:vAlign w:val="bottom"/>
          </w:tcPr>
          <w:p>
            <w:pPr>
              <w:spacing w:after="0" w:line="181" w:lineRule="exact"/>
              <w:rPr>
                <w:sz w:val="20"/>
                <w:szCs w:val="20"/>
                <w:color w:val="auto"/>
              </w:rPr>
            </w:pPr>
            <w:r>
              <w:rPr>
                <w:rFonts w:ascii="Arial" w:cs="Arial" w:eastAsia="Arial" w:hAnsi="Arial"/>
                <w:sz w:val="18"/>
                <w:szCs w:val="18"/>
                <w:color w:val="auto"/>
              </w:rPr>
              <w:t>10.12*</w:t>
            </w:r>
          </w:p>
        </w:tc>
        <w:tc>
          <w:tcPr>
            <w:tcW w:w="10160" w:type="dxa"/>
            <w:vAlign w:val="bottom"/>
            <w:gridSpan w:val="2"/>
          </w:tcPr>
          <w:p>
            <w:pPr>
              <w:ind w:left="280"/>
              <w:spacing w:after="0" w:line="181" w:lineRule="exact"/>
              <w:rPr>
                <w:sz w:val="20"/>
                <w:szCs w:val="20"/>
                <w:color w:val="auto"/>
              </w:rPr>
            </w:pPr>
            <w:r>
              <w:rPr>
                <w:rFonts w:ascii="Arial" w:cs="Arial" w:eastAsia="Arial" w:hAnsi="Arial"/>
                <w:sz w:val="18"/>
                <w:szCs w:val="18"/>
                <w:color w:val="auto"/>
              </w:rPr>
              <w:t>Revolving Credit and Security Agreement among Liquid Labs SPV, LLC, a wholly owned subsidiary of Navan, Inc., and</w:t>
            </w:r>
          </w:p>
        </w:tc>
      </w:tr>
      <w:tr>
        <w:trPr>
          <w:trHeight w:val="238"/>
        </w:trPr>
        <w:tc>
          <w:tcPr>
            <w:tcW w:w="800" w:type="dxa"/>
            <w:vAlign w:val="bottom"/>
          </w:tcPr>
          <w:p>
            <w:pPr>
              <w:spacing w:after="0"/>
              <w:rPr>
                <w:sz w:val="20"/>
                <w:szCs w:val="20"/>
                <w:color w:val="auto"/>
              </w:rPr>
            </w:pPr>
          </w:p>
        </w:tc>
        <w:tc>
          <w:tcPr>
            <w:tcW w:w="10160" w:type="dxa"/>
            <w:vAlign w:val="bottom"/>
            <w:gridSpan w:val="2"/>
          </w:tcPr>
          <w:p>
            <w:pPr>
              <w:ind w:left="280"/>
              <w:spacing w:after="0"/>
              <w:rPr>
                <w:sz w:val="20"/>
                <w:szCs w:val="20"/>
                <w:color w:val="auto"/>
              </w:rPr>
            </w:pPr>
            <w:r>
              <w:rPr>
                <w:rFonts w:ascii="Arial" w:cs="Arial" w:eastAsia="Arial" w:hAnsi="Arial"/>
                <w:sz w:val="18"/>
                <w:szCs w:val="18"/>
                <w:color w:val="auto"/>
              </w:rPr>
              <w:t>Goldman Sachs Bank USA, dated November 18, 2022 (the “Warehouse Facility Agreement”).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6620" w:type="dxa"/>
            <w:vAlign w:val="bottom"/>
          </w:tcPr>
          <w:p>
            <w:pPr>
              <w:ind w:left="280"/>
              <w:spacing w:after="0"/>
              <w:rPr>
                <w:sz w:val="20"/>
                <w:szCs w:val="20"/>
                <w:color w:val="auto"/>
              </w:rPr>
            </w:pPr>
            <w:r>
              <w:rPr>
                <w:rFonts w:ascii="Arial" w:cs="Arial" w:eastAsia="Arial" w:hAnsi="Arial"/>
                <w:sz w:val="18"/>
                <w:szCs w:val="18"/>
                <w:color w:val="auto"/>
                <w:w w:val="99"/>
              </w:rPr>
              <w:t>Amendment No. 10 to the Warehouse Facility Agreement, dated April 16, 2025.</w:t>
            </w:r>
          </w:p>
        </w:tc>
        <w:tc>
          <w:tcPr>
            <w:tcW w:w="3540" w:type="dxa"/>
            <w:vAlign w:val="bottom"/>
          </w:tcPr>
          <w:p>
            <w:pPr>
              <w:spacing w:after="0"/>
              <w:rPr>
                <w:sz w:val="19"/>
                <w:szCs w:val="19"/>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6620" w:type="dxa"/>
            <w:vAlign w:val="bottom"/>
          </w:tcPr>
          <w:p>
            <w:pPr>
              <w:ind w:left="280"/>
              <w:spacing w:after="0"/>
              <w:rPr>
                <w:sz w:val="20"/>
                <w:szCs w:val="20"/>
                <w:color w:val="auto"/>
              </w:rPr>
            </w:pPr>
            <w:r>
              <w:rPr>
                <w:rFonts w:ascii="Arial" w:cs="Arial" w:eastAsia="Arial" w:hAnsi="Arial"/>
                <w:sz w:val="18"/>
                <w:szCs w:val="18"/>
                <w:color w:val="auto"/>
              </w:rPr>
              <w:t>Exchange Agreement between Navan, Inc., Ariel Cohen, and Ilan Twig.</w:t>
            </w:r>
          </w:p>
        </w:tc>
        <w:tc>
          <w:tcPr>
            <w:tcW w:w="3540" w:type="dxa"/>
            <w:vAlign w:val="bottom"/>
          </w:tcPr>
          <w:p>
            <w:pPr>
              <w:spacing w:after="0"/>
              <w:rPr>
                <w:sz w:val="19"/>
                <w:szCs w:val="19"/>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10.15*</w:t>
            </w:r>
          </w:p>
        </w:tc>
        <w:tc>
          <w:tcPr>
            <w:tcW w:w="10160" w:type="dxa"/>
            <w:vAlign w:val="bottom"/>
            <w:gridSpan w:val="2"/>
          </w:tcPr>
          <w:p>
            <w:pPr>
              <w:ind w:left="280"/>
              <w:spacing w:after="0"/>
              <w:rPr>
                <w:sz w:val="20"/>
                <w:szCs w:val="20"/>
                <w:color w:val="auto"/>
              </w:rPr>
            </w:pPr>
            <w:r>
              <w:rPr>
                <w:rFonts w:ascii="Arial" w:cs="Arial" w:eastAsia="Arial" w:hAnsi="Arial"/>
                <w:sz w:val="18"/>
                <w:szCs w:val="18"/>
                <w:color w:val="auto"/>
              </w:rPr>
              <w:t>Form of Equity Exchange Right Agreement between Navan, Inc. and each of Ariel Cohen and Ilan Twig.</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16.1*</w:t>
            </w:r>
          </w:p>
        </w:tc>
        <w:tc>
          <w:tcPr>
            <w:tcW w:w="6620" w:type="dxa"/>
            <w:vAlign w:val="bottom"/>
          </w:tcPr>
          <w:p>
            <w:pPr>
              <w:ind w:left="280"/>
              <w:spacing w:after="0"/>
              <w:rPr>
                <w:sz w:val="20"/>
                <w:szCs w:val="20"/>
                <w:color w:val="auto"/>
              </w:rPr>
            </w:pPr>
            <w:r>
              <w:rPr>
                <w:rFonts w:ascii="Arial" w:cs="Arial" w:eastAsia="Arial" w:hAnsi="Arial"/>
                <w:sz w:val="18"/>
                <w:szCs w:val="18"/>
                <w:color w:val="auto"/>
              </w:rPr>
              <w:t>Letter Regarding Change in Certifying Accountant.</w:t>
            </w:r>
          </w:p>
        </w:tc>
        <w:tc>
          <w:tcPr>
            <w:tcW w:w="3540" w:type="dxa"/>
            <w:vAlign w:val="bottom"/>
          </w:tcPr>
          <w:p>
            <w:pPr>
              <w:spacing w:after="0"/>
              <w:rPr>
                <w:sz w:val="19"/>
                <w:szCs w:val="19"/>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21.1*</w:t>
            </w:r>
          </w:p>
        </w:tc>
        <w:tc>
          <w:tcPr>
            <w:tcW w:w="6620" w:type="dxa"/>
            <w:vAlign w:val="bottom"/>
          </w:tcPr>
          <w:p>
            <w:pPr>
              <w:ind w:left="280"/>
              <w:spacing w:after="0"/>
              <w:rPr>
                <w:sz w:val="20"/>
                <w:szCs w:val="20"/>
                <w:color w:val="auto"/>
              </w:rPr>
            </w:pPr>
            <w:r>
              <w:rPr>
                <w:rFonts w:ascii="Arial" w:cs="Arial" w:eastAsia="Arial" w:hAnsi="Arial"/>
                <w:sz w:val="18"/>
                <w:szCs w:val="18"/>
                <w:color w:val="auto"/>
              </w:rPr>
              <w:t>List of Subsidiaries of Navan, Inc.</w:t>
            </w:r>
          </w:p>
        </w:tc>
        <w:tc>
          <w:tcPr>
            <w:tcW w:w="3540" w:type="dxa"/>
            <w:vAlign w:val="bottom"/>
          </w:tcPr>
          <w:p>
            <w:pPr>
              <w:spacing w:after="0"/>
              <w:rPr>
                <w:sz w:val="19"/>
                <w:szCs w:val="19"/>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10160" w:type="dxa"/>
            <w:vAlign w:val="bottom"/>
            <w:gridSpan w:val="2"/>
          </w:tcPr>
          <w:p>
            <w:pPr>
              <w:ind w:left="28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6620" w:type="dxa"/>
            <w:vAlign w:val="bottom"/>
          </w:tcPr>
          <w:p>
            <w:pPr>
              <w:ind w:left="280"/>
              <w:spacing w:after="0"/>
              <w:rPr>
                <w:sz w:val="20"/>
                <w:szCs w:val="20"/>
                <w:color w:val="auto"/>
              </w:rPr>
            </w:pPr>
            <w:r>
              <w:rPr>
                <w:rFonts w:ascii="Arial" w:cs="Arial" w:eastAsia="Arial" w:hAnsi="Arial"/>
                <w:sz w:val="18"/>
                <w:szCs w:val="18"/>
                <w:color w:val="auto"/>
              </w:rPr>
              <w:t>Consent of Cooley LLP (included in Exhibit 5.1).</w:t>
            </w:r>
          </w:p>
        </w:tc>
        <w:tc>
          <w:tcPr>
            <w:tcW w:w="3540" w:type="dxa"/>
            <w:vAlign w:val="bottom"/>
          </w:tcPr>
          <w:p>
            <w:pPr>
              <w:spacing w:after="0"/>
              <w:rPr>
                <w:sz w:val="19"/>
                <w:szCs w:val="19"/>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23.3#</w:t>
            </w:r>
          </w:p>
        </w:tc>
        <w:tc>
          <w:tcPr>
            <w:tcW w:w="6620" w:type="dxa"/>
            <w:vAlign w:val="bottom"/>
          </w:tcPr>
          <w:p>
            <w:pPr>
              <w:ind w:left="280"/>
              <w:spacing w:after="0"/>
              <w:rPr>
                <w:sz w:val="20"/>
                <w:szCs w:val="20"/>
                <w:color w:val="auto"/>
              </w:rPr>
            </w:pPr>
            <w:r>
              <w:rPr>
                <w:rFonts w:ascii="Arial" w:cs="Arial" w:eastAsia="Arial" w:hAnsi="Arial"/>
                <w:sz w:val="18"/>
                <w:szCs w:val="18"/>
                <w:color w:val="auto"/>
              </w:rPr>
              <w:t>Consent of Euromonitor International Limited.</w:t>
            </w:r>
          </w:p>
        </w:tc>
        <w:tc>
          <w:tcPr>
            <w:tcW w:w="354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24.1*</w:t>
            </w:r>
          </w:p>
        </w:tc>
        <w:tc>
          <w:tcPr>
            <w:tcW w:w="10160" w:type="dxa"/>
            <w:vAlign w:val="bottom"/>
            <w:gridSpan w:val="2"/>
          </w:tcPr>
          <w:p>
            <w:pPr>
              <w:ind w:left="280"/>
              <w:spacing w:after="0"/>
              <w:rPr>
                <w:sz w:val="20"/>
                <w:szCs w:val="20"/>
                <w:color w:val="auto"/>
              </w:rPr>
            </w:pPr>
            <w:r>
              <w:rPr>
                <w:rFonts w:ascii="Arial" w:cs="Arial" w:eastAsia="Arial" w:hAnsi="Arial"/>
                <w:sz w:val="18"/>
                <w:szCs w:val="18"/>
                <w:color w:val="auto"/>
              </w:rPr>
              <w:t>Power of Attorney (included in the signature page to this Registration Statement on Form S-1).</w:t>
            </w:r>
          </w:p>
        </w:tc>
      </w:t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6620" w:type="dxa"/>
            <w:vAlign w:val="bottom"/>
          </w:tcPr>
          <w:p>
            <w:pPr>
              <w:ind w:left="280"/>
              <w:spacing w:after="0"/>
              <w:rPr>
                <w:sz w:val="20"/>
                <w:szCs w:val="20"/>
                <w:color w:val="auto"/>
              </w:rPr>
            </w:pPr>
            <w:r>
              <w:rPr>
                <w:rFonts w:ascii="Arial" w:cs="Arial" w:eastAsia="Arial" w:hAnsi="Arial"/>
                <w:sz w:val="18"/>
                <w:szCs w:val="18"/>
                <w:color w:val="auto"/>
              </w:rPr>
              <w:t>Filing Fee Table.</w:t>
            </w:r>
          </w:p>
        </w:tc>
        <w:tc>
          <w:tcPr>
            <w:tcW w:w="3540" w:type="dxa"/>
            <w:vAlign w:val="bottom"/>
          </w:tcPr>
          <w:p>
            <w:pPr>
              <w:spacing w:after="0"/>
              <w:rPr>
                <w:sz w:val="20"/>
                <w:szCs w:val="20"/>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be submitted or filed by amendment.</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Previously filed.</w:t>
      </w:r>
    </w:p>
    <w:p>
      <w:pPr>
        <w:spacing w:after="0" w:line="1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Compensatory plan or arrangement</w:t>
      </w:r>
    </w:p>
    <w:p>
      <w:pPr>
        <w:spacing w:after="0" w:line="150" w:lineRule="exact"/>
        <w:rPr>
          <w:rFonts w:ascii="Arial" w:cs="Arial" w:eastAsia="Arial" w:hAnsi="Arial"/>
          <w:sz w:val="16"/>
          <w:szCs w:val="16"/>
          <w:color w:val="auto"/>
        </w:rPr>
      </w:pPr>
    </w:p>
    <w:p>
      <w:pPr>
        <w:ind w:left="640" w:hanging="308"/>
        <w:spacing w:after="0"/>
        <w:tabs>
          <w:tab w:leader="none" w:pos="6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1" w:lineRule="exact"/>
        <w:rPr>
          <w:sz w:val="20"/>
          <w:szCs w:val="20"/>
          <w:color w:val="auto"/>
        </w:rPr>
      </w:pPr>
    </w:p>
    <w:p>
      <w:pPr>
        <w:ind w:firstLine="324"/>
        <w:spacing w:after="0" w:line="31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320" w:top="122" w:right="37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660" w:hanging="328"/>
        <w:spacing w:after="0" w:line="262" w:lineRule="auto"/>
        <w:tabs>
          <w:tab w:leader="none" w:pos="65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2" w:lineRule="exact"/>
        <w:rPr>
          <w:rFonts w:ascii="Arial" w:cs="Arial" w:eastAsia="Arial" w:hAnsi="Arial"/>
          <w:sz w:val="18"/>
          <w:szCs w:val="18"/>
          <w:color w:val="auto"/>
        </w:rPr>
      </w:pPr>
    </w:p>
    <w:p>
      <w:pPr>
        <w:ind w:left="660" w:right="340" w:hanging="328"/>
        <w:spacing w:after="0" w:line="268" w:lineRule="auto"/>
        <w:tabs>
          <w:tab w:leader="none" w:pos="65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122" w:right="4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960" w:type="dxa"/>
            <w:vAlign w:val="bottom"/>
          </w:tcPr>
          <w:p>
            <w:pPr>
              <w:spacing w:after="0"/>
              <w:rPr>
                <w:sz w:val="20"/>
                <w:szCs w:val="20"/>
                <w:color w:val="auto"/>
              </w:rPr>
            </w:pPr>
            <w:r>
              <w:rPr>
                <w:rFonts w:ascii="Arial" w:cs="Arial" w:eastAsia="Arial" w:hAnsi="Arial"/>
                <w:sz w:val="18"/>
                <w:szCs w:val="18"/>
                <w:color w:val="auto"/>
              </w:rPr>
              <w:t>Form S-1 to be signed on its behalf by the undersigned, thereunto duly authorized, in Palo Alto, California, on the day of</w:t>
            </w:r>
          </w:p>
        </w:tc>
        <w:tc>
          <w:tcPr>
            <w:tcW w:w="980" w:type="dxa"/>
            <w:vAlign w:val="bottom"/>
          </w:tcPr>
          <w:p>
            <w:pPr>
              <w:jc w:val="right"/>
              <w:spacing w:after="0"/>
              <w:rPr>
                <w:sz w:val="20"/>
                <w:szCs w:val="20"/>
                <w:color w:val="auto"/>
              </w:rPr>
            </w:pPr>
            <w:r>
              <w:rPr>
                <w:rFonts w:ascii="Arial" w:cs="Arial" w:eastAsia="Arial" w:hAnsi="Arial"/>
                <w:sz w:val="18"/>
                <w:szCs w:val="18"/>
                <w:color w:val="auto"/>
              </w:rPr>
              <w:t>, 2025.</w:t>
            </w:r>
          </w:p>
        </w:tc>
      </w:tr>
    </w:tbl>
    <w:p>
      <w:pPr>
        <w:spacing w:after="0" w:line="16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NAVAN, INC.</w:t>
      </w:r>
    </w:p>
    <w:p>
      <w:pPr>
        <w:spacing w:after="0" w:line="29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17780</wp:posOffset>
            </wp:positionV>
            <wp:extent cx="30518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Ariel Cohen</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Chairperson of the Board of Directors and Chief Executive</w:t>
      </w:r>
    </w:p>
    <w:p>
      <w:pPr>
        <w:ind w:left="6460"/>
        <w:spacing w:after="0"/>
        <w:rPr>
          <w:sz w:val="20"/>
          <w:szCs w:val="20"/>
          <w:color w:val="auto"/>
        </w:rPr>
      </w:pPr>
      <w:r>
        <w:rPr>
          <w:rFonts w:ascii="Arial" w:cs="Arial" w:eastAsia="Arial" w:hAnsi="Arial"/>
          <w:sz w:val="18"/>
          <w:szCs w:val="18"/>
          <w:color w:val="auto"/>
        </w:rPr>
        <w:t>Officer</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 Ariel</w:t>
      </w:r>
      <w:r>
        <w:rPr>
          <w:rFonts w:ascii="Arial" w:cs="Arial" w:eastAsia="Arial" w:hAnsi="Arial"/>
          <w:sz w:val="18"/>
          <w:szCs w:val="18"/>
          <w:i w:val="1"/>
          <w:iCs w:val="1"/>
          <w:color w:val="auto"/>
        </w:rPr>
        <w:t xml:space="preserve"> </w:t>
      </w:r>
      <w:r>
        <w:rPr>
          <w:rFonts w:ascii="Arial" w:cs="Arial" w:eastAsia="Arial" w:hAnsi="Arial"/>
          <w:sz w:val="18"/>
          <w:szCs w:val="18"/>
          <w:color w:val="auto"/>
        </w:rPr>
        <w:t>Cohen, Amy Butte, and Howard Baik, and each of them, as his or her true and lawful attorneys-in-fact, proxies, and agents, each with full power of substitution and resubstitution, for him or her in any and all capacities, to sign any and all amendments to this registration statement (including post-effective amendments or any abbreviated registration statement and any amendments thereto filed pursuant to Rule 462(b) under the Securities Act of 1933, as amended,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320" w:top="122" w:right="35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ectPr>
          <w:pgSz w:w="11900" w:h="16838" w:orient="portrait"/>
          <w:cols w:equalWidth="0" w:num="1">
            <w:col w:w="11160"/>
          </w:cols>
          <w:pgMar w:left="320" w:top="122" w:right="419" w:bottom="1440" w:gutter="0" w:footer="0" w:header="0"/>
        </w:sectPr>
      </w:pP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8599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18599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9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8599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Amy Butte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599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Anne Giviskos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599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1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Ben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599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Arif Janmohamed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8599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Michael Kourey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599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Clara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599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1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Sandesh Patnam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8599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6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Ilan Twig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8599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Anré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8599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6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Oren Zeev</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571"/>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23495</wp:posOffset>
            </wp:positionV>
            <wp:extent cx="38576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160"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Chairperson of the Board of Directors and Chief Executive Officer</w:t>
      </w:r>
    </w:p>
    <w:p>
      <w:pPr>
        <w:jc w:val="center"/>
        <w:ind w:right="57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Chief Financial Officer</w:t>
      </w:r>
    </w:p>
    <w:p>
      <w:pPr>
        <w:jc w:val="center"/>
        <w:ind w:right="57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126"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Chief Accounting Officer</w:t>
      </w:r>
    </w:p>
    <w:p>
      <w:pPr>
        <w:jc w:val="center"/>
        <w:ind w:right="57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234"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Chief Technology Officer and Director</w:t>
      </w:r>
    </w:p>
    <w:p>
      <w:pPr>
        <w:spacing w:after="0" w:line="387"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89"/>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23495</wp:posOffset>
            </wp:positionV>
            <wp:extent cx="12941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68" w:lineRule="exact"/>
        <w:rPr>
          <w:sz w:val="20"/>
          <w:szCs w:val="20"/>
          <w:color w:val="auto"/>
        </w:rPr>
      </w:pPr>
    </w:p>
    <w:p>
      <w:pPr>
        <w:ind w:left="109" w:hanging="109"/>
        <w:spacing w:after="0"/>
        <w:tabs>
          <w:tab w:leader="none" w:pos="10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2025</w:t>
      </w:r>
    </w:p>
    <w:p>
      <w:pPr>
        <w:spacing w:after="0" w:line="200" w:lineRule="exact"/>
        <w:rPr>
          <w:rFonts w:ascii="Arial" w:cs="Arial" w:eastAsia="Arial" w:hAnsi="Arial"/>
          <w:sz w:val="17"/>
          <w:szCs w:val="17"/>
          <w:color w:val="auto"/>
        </w:rPr>
      </w:pPr>
    </w:p>
    <w:p>
      <w:pPr>
        <w:spacing w:after="0" w:line="212" w:lineRule="exact"/>
        <w:rPr>
          <w:rFonts w:ascii="Arial" w:cs="Arial" w:eastAsia="Arial" w:hAnsi="Arial"/>
          <w:sz w:val="17"/>
          <w:szCs w:val="17"/>
          <w:color w:val="auto"/>
        </w:rPr>
      </w:pPr>
    </w:p>
    <w:p>
      <w:pPr>
        <w:ind w:left="109" w:hanging="109"/>
        <w:spacing w:after="0"/>
        <w:tabs>
          <w:tab w:leader="none" w:pos="10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2025</w:t>
      </w:r>
    </w:p>
    <w:p>
      <w:pPr>
        <w:spacing w:after="0" w:line="344" w:lineRule="exact"/>
        <w:rPr>
          <w:rFonts w:ascii="Arial" w:cs="Arial" w:eastAsia="Arial" w:hAnsi="Arial"/>
          <w:sz w:val="17"/>
          <w:szCs w:val="17"/>
          <w:color w:val="auto"/>
        </w:rPr>
      </w:pPr>
    </w:p>
    <w:p>
      <w:pPr>
        <w:ind w:left="109" w:hanging="109"/>
        <w:spacing w:after="0"/>
        <w:tabs>
          <w:tab w:leader="none" w:pos="10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2025</w:t>
      </w:r>
    </w:p>
    <w:p>
      <w:pPr>
        <w:spacing w:after="0" w:line="344" w:lineRule="exact"/>
        <w:rPr>
          <w:rFonts w:ascii="Arial" w:cs="Arial" w:eastAsia="Arial" w:hAnsi="Arial"/>
          <w:sz w:val="17"/>
          <w:szCs w:val="17"/>
          <w:color w:val="auto"/>
        </w:rPr>
      </w:pPr>
    </w:p>
    <w:p>
      <w:pPr>
        <w:ind w:left="109" w:hanging="109"/>
        <w:spacing w:after="0"/>
        <w:tabs>
          <w:tab w:leader="none" w:pos="10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2025</w:t>
      </w:r>
    </w:p>
    <w:p>
      <w:pPr>
        <w:spacing w:after="0" w:line="344" w:lineRule="exact"/>
        <w:rPr>
          <w:rFonts w:ascii="Arial" w:cs="Arial" w:eastAsia="Arial" w:hAnsi="Arial"/>
          <w:sz w:val="17"/>
          <w:szCs w:val="17"/>
          <w:color w:val="auto"/>
        </w:rPr>
      </w:pPr>
    </w:p>
    <w:p>
      <w:pPr>
        <w:ind w:left="109" w:hanging="109"/>
        <w:spacing w:after="0"/>
        <w:tabs>
          <w:tab w:leader="none" w:pos="10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2025</w:t>
      </w:r>
    </w:p>
    <w:p>
      <w:pPr>
        <w:spacing w:after="0" w:line="371" w:lineRule="exact"/>
        <w:rPr>
          <w:rFonts w:ascii="Arial" w:cs="Arial" w:eastAsia="Arial" w:hAnsi="Arial"/>
          <w:sz w:val="17"/>
          <w:szCs w:val="17"/>
          <w:color w:val="auto"/>
        </w:rPr>
      </w:pPr>
    </w:p>
    <w:p>
      <w:pPr>
        <w:ind w:left="109" w:hanging="109"/>
        <w:spacing w:after="0"/>
        <w:tabs>
          <w:tab w:leader="none" w:pos="10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2025</w:t>
      </w:r>
    </w:p>
    <w:p>
      <w:pPr>
        <w:spacing w:after="0" w:line="358" w:lineRule="exact"/>
        <w:rPr>
          <w:rFonts w:ascii="Arial" w:cs="Arial" w:eastAsia="Arial" w:hAnsi="Arial"/>
          <w:sz w:val="17"/>
          <w:szCs w:val="17"/>
          <w:color w:val="auto"/>
        </w:rPr>
      </w:pPr>
    </w:p>
    <w:p>
      <w:pPr>
        <w:ind w:left="109" w:hanging="109"/>
        <w:spacing w:after="0"/>
        <w:tabs>
          <w:tab w:leader="none" w:pos="10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2025</w:t>
      </w:r>
    </w:p>
    <w:p>
      <w:pPr>
        <w:spacing w:after="0" w:line="344" w:lineRule="exact"/>
        <w:rPr>
          <w:rFonts w:ascii="Arial" w:cs="Arial" w:eastAsia="Arial" w:hAnsi="Arial"/>
          <w:sz w:val="17"/>
          <w:szCs w:val="17"/>
          <w:color w:val="auto"/>
        </w:rPr>
      </w:pPr>
    </w:p>
    <w:p>
      <w:pPr>
        <w:ind w:left="109" w:hanging="109"/>
        <w:spacing w:after="0"/>
        <w:tabs>
          <w:tab w:leader="none" w:pos="10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2025</w:t>
      </w:r>
    </w:p>
    <w:p>
      <w:pPr>
        <w:spacing w:after="0" w:line="371" w:lineRule="exact"/>
        <w:rPr>
          <w:rFonts w:ascii="Arial" w:cs="Arial" w:eastAsia="Arial" w:hAnsi="Arial"/>
          <w:sz w:val="17"/>
          <w:szCs w:val="17"/>
          <w:color w:val="auto"/>
        </w:rPr>
      </w:pPr>
    </w:p>
    <w:p>
      <w:pPr>
        <w:ind w:left="109" w:hanging="109"/>
        <w:spacing w:after="0"/>
        <w:tabs>
          <w:tab w:leader="none" w:pos="10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2025</w:t>
      </w:r>
    </w:p>
    <w:p>
      <w:pPr>
        <w:spacing w:after="0" w:line="398" w:lineRule="exact"/>
        <w:rPr>
          <w:rFonts w:ascii="Arial" w:cs="Arial" w:eastAsia="Arial" w:hAnsi="Arial"/>
          <w:sz w:val="17"/>
          <w:szCs w:val="17"/>
          <w:color w:val="auto"/>
        </w:rPr>
      </w:pPr>
    </w:p>
    <w:p>
      <w:pPr>
        <w:ind w:left="109" w:hanging="109"/>
        <w:spacing w:after="0"/>
        <w:tabs>
          <w:tab w:leader="none" w:pos="10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2025</w:t>
      </w:r>
    </w:p>
    <w:p>
      <w:pPr>
        <w:spacing w:after="0" w:line="398" w:lineRule="exact"/>
        <w:rPr>
          <w:rFonts w:ascii="Arial" w:cs="Arial" w:eastAsia="Arial" w:hAnsi="Arial"/>
          <w:sz w:val="17"/>
          <w:szCs w:val="17"/>
          <w:color w:val="auto"/>
        </w:rPr>
      </w:pPr>
    </w:p>
    <w:p>
      <w:pPr>
        <w:ind w:left="109" w:hanging="109"/>
        <w:spacing w:after="0"/>
        <w:tabs>
          <w:tab w:leader="none" w:pos="10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2025</w:t>
      </w:r>
    </w:p>
    <w:p>
      <w:pPr>
        <w:spacing w:after="0" w:line="346" w:lineRule="exact"/>
        <w:rPr>
          <w:sz w:val="20"/>
          <w:szCs w:val="20"/>
          <w:color w:val="auto"/>
        </w:rPr>
      </w:pPr>
    </w:p>
    <w:p>
      <w:pPr>
        <w:sectPr>
          <w:pgSz w:w="11900" w:h="16838" w:orient="portrait"/>
          <w:cols w:equalWidth="0" w:num="3">
            <w:col w:w="2740" w:space="720"/>
            <w:col w:w="5791" w:space="720"/>
            <w:col w:w="1189"/>
          </w:cols>
          <w:pgMar w:left="320" w:top="122"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II-7</w:t>
      </w:r>
    </w:p>
    <w:p>
      <w:pPr>
        <w:sectPr>
          <w:pgSz w:w="11900" w:h="16838" w:orient="portrait"/>
          <w:cols w:equalWidth="0" w:num="1">
            <w:col w:w="11160"/>
          </w:cols>
          <w:pgMar w:left="320" w:top="122" w:right="419" w:bottom="1440" w:gutter="0" w:footer="0" w:header="0"/>
          <w:type w:val="continuous"/>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1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ADOPTED ON FEBRUARY 12, 2015</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AS AMENDED ON APRIL 2, 2015</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AS AMENDED ON FEBRUARY 3, 2016</w:t>
      </w:r>
    </w:p>
    <w:p>
      <w:pPr>
        <w:spacing w:after="0" w:line="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AS AMENDED ON APRIL 28, 2017</w:t>
      </w:r>
    </w:p>
    <w:p>
      <w:pPr>
        <w:spacing w:after="0" w:line="1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AS AMENDED ON FEBRUARY 16, 2018</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AS AMENDED ON OCTOBER 25, 2018</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AS AMENDED ON JUNE 25, 2019</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AS AMENDED ON JANUARY 19, 2021</w:t>
      </w:r>
    </w:p>
    <w:p>
      <w:pPr>
        <w:spacing w:after="0" w:line="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AS AMENDED ON APRIL 24, 2021</w:t>
      </w:r>
    </w:p>
    <w:p>
      <w:pPr>
        <w:spacing w:after="0" w:line="1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AS AMENDED ON MAY 14, 2021</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AS AMENDED ON OCTOBER 11, 2021</w:t>
      </w:r>
    </w:p>
    <w:p>
      <w:pPr>
        <w:spacing w:after="0" w:line="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AS AMENDED ON JUNE 7, 2022</w:t>
      </w:r>
    </w:p>
    <w:p>
      <w:pPr>
        <w:spacing w:after="0" w:line="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AS AMENDED ON APRIL 10, 2023</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AS AMENDED ON JUNE 30, 2024</w:t>
      </w:r>
    </w:p>
    <w:p>
      <w:pPr>
        <w:spacing w:after="0" w:line="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AS AMENDED ON APRIL 24, 2025</w:t>
      </w:r>
    </w:p>
    <w:p>
      <w:pPr>
        <w:spacing w:after="0" w:line="200" w:lineRule="exact"/>
        <w:rPr>
          <w:sz w:val="20"/>
          <w:szCs w:val="20"/>
          <w:color w:val="auto"/>
        </w:rPr>
      </w:pPr>
    </w:p>
    <w:p>
      <w:pPr>
        <w:spacing w:after="0" w:line="212" w:lineRule="exact"/>
        <w:rPr>
          <w:sz w:val="20"/>
          <w:szCs w:val="20"/>
          <w:color w:val="auto"/>
        </w:rPr>
      </w:pPr>
    </w:p>
    <w:p>
      <w:pPr>
        <w:jc w:val="both"/>
        <w:ind w:firstLine="656"/>
        <w:spacing w:after="0" w:line="254" w:lineRule="auto"/>
        <w:tabs>
          <w:tab w:leader="none" w:pos="1021"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color w:val="auto"/>
        </w:rPr>
        <w:t>. The purpose of this Plan is to provide incentives to attract, retain and motivate eligible persons whose present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potential contributions are important to the success 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 Section 25102(o) need not apply if the Committee so provides.</w:t>
      </w:r>
    </w:p>
    <w:p>
      <w:pPr>
        <w:spacing w:after="0" w:line="186"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SHARES SUBJECT TO THE PLAN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2.1 </w:t>
      </w:r>
      <w:r>
        <w:rPr>
          <w:rFonts w:ascii="Times New Roman" w:cs="Times New Roman" w:eastAsia="Times New Roman" w:hAnsi="Times New Roman"/>
          <w:sz w:val="19"/>
          <w:szCs w:val="19"/>
          <w:b w:val="1"/>
          <w:bCs w:val="1"/>
          <w:u w:val="single" w:color="auto"/>
          <w:color w:val="auto"/>
        </w:rPr>
        <w:t>Number of Shares Available</w:t>
      </w:r>
      <w:r>
        <w:rPr>
          <w:rFonts w:ascii="Times New Roman" w:cs="Times New Roman" w:eastAsia="Times New Roman" w:hAnsi="Times New Roman"/>
          <w:sz w:val="19"/>
          <w:szCs w:val="19"/>
          <w:color w:val="auto"/>
        </w:rPr>
        <w:t>. Subject to Sections 2.2 and 11 hereof, the total number of Shares reserved and available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grant and issuance pursuant to this Plan will be 208,135,100 Shares. Subject to Sections 2.2 and 11 hereof, Shares subject to Awards that are cancelled, forfeited, settled in cash, used to pay withholding obligations or pay the exercise price of an Option or that expire by their terms at any time will again be available for grant and issuance in connection with other Awards. In the event that Shares previously issued under the Plan are reacquired by the Company pursuant to a forfeiture provision, right of first refusal, or repurchase by the Company, such Shares shall be added to the number of Shares then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forfeited or repurchased by the Company as a separate issuance) under the Plan upon exercise of ISOs exceed 416,270,200 Shares (adjusted in proportion to any adjustments under Section 2.2 hereof) over the term of the Plan (the “</w:t>
      </w:r>
      <w:r>
        <w:rPr>
          <w:rFonts w:ascii="Times New Roman" w:cs="Times New Roman" w:eastAsia="Times New Roman" w:hAnsi="Times New Roman"/>
          <w:sz w:val="19"/>
          <w:szCs w:val="19"/>
          <w:b w:val="1"/>
          <w:bCs w:val="1"/>
          <w:i w:val="1"/>
          <w:iCs w:val="1"/>
          <w:color w:val="auto"/>
        </w:rPr>
        <w:t>ISO Limit</w:t>
      </w:r>
      <w:r>
        <w:rPr>
          <w:rFonts w:ascii="Times New Roman" w:cs="Times New Roman" w:eastAsia="Times New Roman" w:hAnsi="Times New Roman"/>
          <w:sz w:val="19"/>
          <w:szCs w:val="19"/>
          <w:color w:val="auto"/>
        </w:rPr>
        <w:t>”). Subject to Sections 2.2 and 11 hereof, in the event that the number of Shares reserved for issuance under the Plan is increased, the ISO Limit shall be automatically increased by such number of Shares such that the ISO Limit equals (a) two (2) multiplied by (b) the number of Shares reserved for issuance under the Plan.</w:t>
      </w:r>
    </w:p>
    <w:p>
      <w:pPr>
        <w:sectPr>
          <w:pgSz w:w="11900" w:h="16838" w:orient="portrait"/>
          <w:cols w:equalWidth="0" w:num="1">
            <w:col w:w="11240"/>
          </w:cols>
          <w:pgMar w:left="320" w:top="117" w:right="339" w:bottom="1440" w:gutter="0" w:footer="0" w:header="0"/>
        </w:sectPr>
      </w:pPr>
    </w:p>
    <w:bookmarkStart w:id="270" w:name="page271"/>
    <w:bookmarkEnd w:id="270"/>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2.2 </w:t>
      </w:r>
      <w:r>
        <w:rPr>
          <w:rFonts w:ascii="Times New Roman" w:cs="Times New Roman" w:eastAsia="Times New Roman" w:hAnsi="Times New Roman"/>
          <w:sz w:val="20"/>
          <w:szCs w:val="20"/>
          <w:b w:val="1"/>
          <w:bCs w:val="1"/>
          <w:u w:val="single" w:color="auto"/>
          <w:color w:val="auto"/>
        </w:rPr>
        <w:t>Adjustment of Shares</w:t>
      </w:r>
      <w:r>
        <w:rPr>
          <w:rFonts w:ascii="Times New Roman" w:cs="Times New Roman" w:eastAsia="Times New Roman" w:hAnsi="Times New Roman"/>
          <w:sz w:val="20"/>
          <w:szCs w:val="20"/>
          <w:color w:val="auto"/>
        </w:rPr>
        <w:t>. In the event that the number of outstanding shares of the Company’s Common Stock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changed by a stock dividend, recapitalization, stock split, 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Plan (a) the number of Shares reserved for issuance under this Plan, (b) the Exercise Prices of and number of Shares subject to outstanding Options and SARs, and (c) the Purchase Prices of and/or number of Shares subject to other outstanding Awards will (to the extent appropriate) be proportionately adjusted, subject to any required action by the Board or the stockholders of the Company and compliance with applicable securities laws; provided, however, that fractions of a Share will not be issued but will either be paid in cash at the Fair Market Value of such fraction of a Share or will be rounded down to the nearest whole Share, as determined by the Committee.</w:t>
      </w:r>
    </w:p>
    <w:p>
      <w:pPr>
        <w:spacing w:after="0" w:line="176" w:lineRule="exact"/>
        <w:rPr>
          <w:sz w:val="20"/>
          <w:szCs w:val="20"/>
          <w:color w:val="auto"/>
        </w:rPr>
      </w:pPr>
    </w:p>
    <w:p>
      <w:pPr>
        <w:ind w:left="1000" w:hanging="344"/>
        <w:spacing w:after="0"/>
        <w:tabs>
          <w:tab w:leader="none" w:pos="100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PLAN FOR BENEFIT OF SERVICE PROVIDERS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Eligibility</w:t>
      </w:r>
      <w:r>
        <w:rPr>
          <w:rFonts w:ascii="Times New Roman" w:cs="Times New Roman" w:eastAsia="Times New Roman" w:hAnsi="Times New Roman"/>
          <w:sz w:val="20"/>
          <w:szCs w:val="20"/>
          <w:color w:val="auto"/>
        </w:rPr>
        <w:t>. The Committee will have the authority to select persons to receive Awards. ISOs (as defined in Section 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hereof) may be granted only to employees (including 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such consultants render bona fide services not in connection with the offer and sale of securities in a capital-raising transaction when Rule 701 is to apply to the Award granted for such services. A person may be granted more than one Award under this Plan.</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No Obligation to Employ</w:t>
      </w:r>
      <w:r>
        <w:rPr>
          <w:rFonts w:ascii="Times New Roman" w:cs="Times New Roman" w:eastAsia="Times New Roman" w:hAnsi="Times New Roman"/>
          <w:sz w:val="20"/>
          <w:szCs w:val="20"/>
          <w:color w:val="auto"/>
        </w:rPr>
        <w:t>. Nothing in this Plan or any Award granted under this Plan will confer or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confer on any Participant any right to continue in the employ of, or to continue any other relationship with, the Company or any Parent or Subsidiary or limit in any way the right of the Company or any Parent or Subsidiary to terminate Participant’s employment or other relationship at any time, with or without Cause.</w:t>
      </w:r>
    </w:p>
    <w:p>
      <w:pPr>
        <w:spacing w:after="0" w:line="184" w:lineRule="exact"/>
        <w:rPr>
          <w:sz w:val="20"/>
          <w:szCs w:val="20"/>
          <w:color w:val="auto"/>
        </w:rPr>
      </w:pPr>
    </w:p>
    <w:p>
      <w:pPr>
        <w:jc w:val="both"/>
        <w:ind w:firstLine="656"/>
        <w:spacing w:after="0" w:line="260" w:lineRule="auto"/>
        <w:tabs>
          <w:tab w:leader="none" w:pos="994"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OPTIONS</w:t>
      </w:r>
      <w:r>
        <w:rPr>
          <w:rFonts w:ascii="Times New Roman" w:cs="Times New Roman" w:eastAsia="Times New Roman" w:hAnsi="Times New Roman"/>
          <w:sz w:val="20"/>
          <w:szCs w:val="20"/>
          <w:color w:val="auto"/>
        </w:rPr>
        <w:t>. The Committee may grant Options to eligible persons described in Section 3 hereof and will determine whether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Options will be Incentive Stock Options within the meaning of the Code (“</w:t>
      </w:r>
      <w:r>
        <w:rPr>
          <w:rFonts w:ascii="Times New Roman" w:cs="Times New Roman" w:eastAsia="Times New Roman" w:hAnsi="Times New Roman"/>
          <w:sz w:val="20"/>
          <w:szCs w:val="20"/>
          <w:b w:val="1"/>
          <w:bCs w:val="1"/>
          <w:i w:val="1"/>
          <w:iCs w:val="1"/>
          <w:color w:val="auto"/>
        </w:rPr>
        <w:t>ISOs</w:t>
      </w:r>
      <w:r>
        <w:rPr>
          <w:rFonts w:ascii="Times New Roman" w:cs="Times New Roman" w:eastAsia="Times New Roman" w:hAnsi="Times New Roman"/>
          <w:sz w:val="20"/>
          <w:szCs w:val="20"/>
          <w:color w:val="auto"/>
        </w:rPr>
        <w:t>”) or Nonqualified Stock Options (“</w:t>
      </w:r>
      <w:r>
        <w:rPr>
          <w:rFonts w:ascii="Times New Roman" w:cs="Times New Roman" w:eastAsia="Times New Roman" w:hAnsi="Times New Roman"/>
          <w:sz w:val="20"/>
          <w:szCs w:val="20"/>
          <w:b w:val="1"/>
          <w:bCs w:val="1"/>
          <w:i w:val="1"/>
          <w:iCs w:val="1"/>
          <w:color w:val="auto"/>
        </w:rPr>
        <w:t>NQSOs</w:t>
      </w:r>
      <w:r>
        <w:rPr>
          <w:rFonts w:ascii="Times New Roman" w:cs="Times New Roman" w:eastAsia="Times New Roman" w:hAnsi="Times New Roman"/>
          <w:sz w:val="20"/>
          <w:szCs w:val="20"/>
          <w:color w:val="auto"/>
        </w:rPr>
        <w:t>”), the number of Shares subject to the Option, the Exercise Price of the Option, the period during which the Option may be exercised, and all other terms and conditions of the Option, subject to the following.</w:t>
      </w:r>
    </w:p>
    <w:p>
      <w:pPr>
        <w:spacing w:after="0" w:line="164"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b w:val="1"/>
          <w:bCs w:val="1"/>
          <w:u w:val="single" w:color="auto"/>
          <w:color w:val="auto"/>
        </w:rPr>
        <w:t>Form of Option Grant</w:t>
      </w:r>
      <w:r>
        <w:rPr>
          <w:rFonts w:ascii="Times New Roman" w:cs="Times New Roman" w:eastAsia="Times New Roman" w:hAnsi="Times New Roman"/>
          <w:sz w:val="20"/>
          <w:szCs w:val="20"/>
          <w:color w:val="auto"/>
        </w:rPr>
        <w:t>. Each Option granted under this Plan will be evidenced by an Award Agreement which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expressly identify the Option as an ISO or an NQSO (“</w:t>
      </w:r>
      <w:r>
        <w:rPr>
          <w:rFonts w:ascii="Times New Roman" w:cs="Times New Roman" w:eastAsia="Times New Roman" w:hAnsi="Times New Roman"/>
          <w:sz w:val="20"/>
          <w:szCs w:val="20"/>
          <w:b w:val="1"/>
          <w:bCs w:val="1"/>
          <w:i w:val="1"/>
          <w:iCs w:val="1"/>
          <w:color w:val="auto"/>
        </w:rPr>
        <w:t>Stock Option Agreement</w:t>
      </w:r>
      <w:r>
        <w:rPr>
          <w:rFonts w:ascii="Times New Roman" w:cs="Times New Roman" w:eastAsia="Times New Roman" w:hAnsi="Times New Roman"/>
          <w:sz w:val="20"/>
          <w:szCs w:val="20"/>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178"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Date of Grant</w:t>
      </w:r>
      <w:r>
        <w:rPr>
          <w:rFonts w:ascii="Times New Roman" w:cs="Times New Roman" w:eastAsia="Times New Roman" w:hAnsi="Times New Roman"/>
          <w:sz w:val="20"/>
          <w:szCs w:val="20"/>
          <w:color w:val="auto"/>
        </w:rPr>
        <w:t>. The date of grant of an Option will be the date on which the Committee makes the determination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such Option, unless a later date is otherwise specified by the Committee. The Stock Option Agreement and a copy of this Plan will be delivered to the Participant within a reasonable time after the granting of the Option.</w:t>
      </w:r>
    </w:p>
    <w:p>
      <w:pPr>
        <w:spacing w:after="0" w:line="162"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b w:val="1"/>
          <w:bCs w:val="1"/>
          <w:u w:val="single" w:color="auto"/>
          <w:color w:val="auto"/>
        </w:rPr>
        <w:t>Exercise Period</w:t>
      </w:r>
      <w:r>
        <w:rPr>
          <w:rFonts w:ascii="Times New Roman" w:cs="Times New Roman" w:eastAsia="Times New Roman" w:hAnsi="Times New Roman"/>
          <w:sz w:val="20"/>
          <w:szCs w:val="20"/>
          <w:color w:val="auto"/>
        </w:rPr>
        <w:t>. Options may be exercisable within the time or upon the events determined by the Committee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Agreement and may be awarded as immediately exercisable but subject to repurchase pursuant to Section 10 hereof or may be exercisable within the times or upon the</w:t>
      </w:r>
    </w:p>
    <w:p>
      <w:pPr>
        <w:sectPr>
          <w:pgSz w:w="11900" w:h="16838" w:orient="portrait"/>
          <w:cols w:equalWidth="0" w:num="1">
            <w:col w:w="11240"/>
          </w:cols>
          <w:pgMar w:left="320" w:top="1409" w:right="339" w:bottom="1440" w:gutter="0" w:footer="0" w:header="0"/>
        </w:sectPr>
      </w:pPr>
    </w:p>
    <w:bookmarkStart w:id="271" w:name="page272"/>
    <w:bookmarkEnd w:id="271"/>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events determined by the Committee as set forth in the Stock Option Agreement governing such Option;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(a) no Option will be exercisable after the expiration of ten (10) years from the date the Option is granted; and (b) no ISO granted to a person who directly or by attribution owns more than ten percent (10%) of the total combined voting power of all classes of stock of the Company or of any Parent or Subsidiary (“</w:t>
      </w:r>
      <w:r>
        <w:rPr>
          <w:rFonts w:ascii="Times New Roman" w:cs="Times New Roman" w:eastAsia="Times New Roman" w:hAnsi="Times New Roman"/>
          <w:sz w:val="20"/>
          <w:szCs w:val="20"/>
          <w:b w:val="1"/>
          <w:bCs w:val="1"/>
          <w:i w:val="1"/>
          <w:iCs w:val="1"/>
          <w:color w:val="auto"/>
        </w:rPr>
        <w:t>Ten Percent Stockholder</w:t>
      </w:r>
      <w:r>
        <w:rPr>
          <w:rFonts w:ascii="Times New Roman" w:cs="Times New Roman" w:eastAsia="Times New Roman" w:hAnsi="Times New Roman"/>
          <w:sz w:val="20"/>
          <w:szCs w:val="20"/>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87"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4.4 </w:t>
      </w:r>
      <w:r>
        <w:rPr>
          <w:rFonts w:ascii="Times New Roman" w:cs="Times New Roman" w:eastAsia="Times New Roman" w:hAnsi="Times New Roman"/>
          <w:sz w:val="19"/>
          <w:szCs w:val="19"/>
          <w:b w:val="1"/>
          <w:bCs w:val="1"/>
          <w:u w:val="single" w:color="auto"/>
          <w:color w:val="auto"/>
        </w:rPr>
        <w:t>Exercise Price</w:t>
      </w:r>
      <w:r>
        <w:rPr>
          <w:rFonts w:ascii="Times New Roman" w:cs="Times New Roman" w:eastAsia="Times New Roman" w:hAnsi="Times New Roman"/>
          <w:sz w:val="19"/>
          <w:szCs w:val="19"/>
          <w:color w:val="auto"/>
        </w:rPr>
        <w:t>. The Exercise Price of an Option will be determined by the Committee when the Option is granted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shall not be less than the Fair Market Value per Share unless expressly determined in writing by the Committee on the Option’s date of grant;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the Exercise Price of an ISO granted to a Ten Percent Stockholder will not be less than one hundred ten percent (110%)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Fair Market Value of the Shares on the date of grant. Payment for the Shares purchased must be made in accordance with Section 8 hereof.</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4.5 </w:t>
      </w:r>
      <w:r>
        <w:rPr>
          <w:rFonts w:ascii="Times New Roman" w:cs="Times New Roman" w:eastAsia="Times New Roman" w:hAnsi="Times New Roman"/>
          <w:sz w:val="20"/>
          <w:szCs w:val="20"/>
          <w:b w:val="1"/>
          <w:bCs w:val="1"/>
          <w:u w:val="single" w:color="auto"/>
          <w:color w:val="auto"/>
        </w:rPr>
        <w:t>Method of Exercise</w:t>
      </w:r>
      <w:r>
        <w:rPr>
          <w:rFonts w:ascii="Times New Roman" w:cs="Times New Roman" w:eastAsia="Times New Roman" w:hAnsi="Times New Roman"/>
          <w:sz w:val="20"/>
          <w:szCs w:val="20"/>
          <w:color w:val="auto"/>
        </w:rPr>
        <w:t>. Options may be exercised only by delivery to the Company of a written stock option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w:t>
      </w:r>
      <w:r>
        <w:rPr>
          <w:rFonts w:ascii="Times New Roman" w:cs="Times New Roman" w:eastAsia="Times New Roman" w:hAnsi="Times New Roman"/>
          <w:sz w:val="20"/>
          <w:szCs w:val="20"/>
          <w:b w:val="1"/>
          <w:bCs w:val="1"/>
          <w:i w:val="1"/>
          <w:iCs w:val="1"/>
          <w:color w:val="auto"/>
        </w:rPr>
        <w:t>Exercise Agreement</w:t>
      </w:r>
      <w:r>
        <w:rPr>
          <w:rFonts w:ascii="Times New Roman" w:cs="Times New Roman" w:eastAsia="Times New Roman" w:hAnsi="Times New Roman"/>
          <w:sz w:val="20"/>
          <w:szCs w:val="20"/>
          <w:color w:val="auto"/>
        </w:rPr>
        <w:t>”) in a form approved by the Committee (which need not be the same for each Participant). The Exercise Agreement will state (a) the number of Shares being 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laws. Each Participant’s Exercise Agreement may be modified by (i) agreement of Participant and the Company or (ii) substitution by the Company, upon becoming a public company, in order to add the payment terms set forth in Section 8.1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payment of any applicable taxes. No adjustment will be made for a dividend or other right for which the record date is prior to the date the Shares are issued, except as provided in Section 2.2 of the Plan. Exercising an Option in any manner will decrease the number of Shares thereafter available, both for purposes of the Plan and for sale under the Option, by the number of Shares as to which the Option is exercised.</w:t>
      </w:r>
    </w:p>
    <w:p>
      <w:pPr>
        <w:spacing w:after="0" w:line="193"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4.6 </w:t>
      </w: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color w:val="auto"/>
        </w:rPr>
        <w:t>. Subject to earlier termination pursuant to Sections 11 and 13.3 hereof and notwithstanding the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periods set forth in the Stock Option Agreement, exercise of an Option will always be subject to the following terms and conditions.</w:t>
      </w:r>
    </w:p>
    <w:p>
      <w:pPr>
        <w:spacing w:after="0" w:line="169"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9"/>
          <w:szCs w:val="19"/>
          <w:color w:val="auto"/>
        </w:rPr>
        <w:t xml:space="preserve">4.6.1 </w:t>
      </w:r>
      <w:r>
        <w:rPr>
          <w:rFonts w:ascii="Times New Roman" w:cs="Times New Roman" w:eastAsia="Times New Roman" w:hAnsi="Times New Roman"/>
          <w:sz w:val="19"/>
          <w:szCs w:val="19"/>
          <w:u w:val="single" w:color="auto"/>
          <w:color w:val="auto"/>
        </w:rPr>
        <w:t>Other than Death or Disability or for Cause</w:t>
      </w:r>
      <w:r>
        <w:rPr>
          <w:rFonts w:ascii="Times New Roman" w:cs="Times New Roman" w:eastAsia="Times New Roman" w:hAnsi="Times New Roman"/>
          <w:sz w:val="19"/>
          <w:szCs w:val="19"/>
          <w:color w:val="auto"/>
        </w:rPr>
        <w:t>. If the Participant is Terminated for any reason other than death, Disability or for Cause, then the Participant may exercise such Participant’s Options only to the extent that such Options are exercisable as to Vested Shares upon the Termination Date or as otherwise determined by the Committee.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with any exercise beyond three (3) months after the date Participant ceases to be an employee deemed to be an NQSO) but in any event, no later than the expiration date of the Options.</w:t>
      </w:r>
    </w:p>
    <w:p>
      <w:pPr>
        <w:sectPr>
          <w:pgSz w:w="11900" w:h="16838" w:orient="portrait"/>
          <w:cols w:equalWidth="0" w:num="1">
            <w:col w:w="11240"/>
          </w:cols>
          <w:pgMar w:left="320" w:top="1409" w:right="339" w:bottom="1440" w:gutter="0" w:footer="0" w:header="0"/>
        </w:sectPr>
      </w:pPr>
    </w:p>
    <w:bookmarkStart w:id="272" w:name="page273"/>
    <w:bookmarkEnd w:id="272"/>
    <w:p>
      <w:pPr>
        <w:jc w:val="both"/>
        <w:ind w:firstLine="1944"/>
        <w:spacing w:after="0" w:line="265" w:lineRule="auto"/>
        <w:rPr>
          <w:sz w:val="20"/>
          <w:szCs w:val="20"/>
          <w:color w:val="auto"/>
        </w:rPr>
      </w:pPr>
      <w:r>
        <w:rPr>
          <w:rFonts w:ascii="Times New Roman" w:cs="Times New Roman" w:eastAsia="Times New Roman" w:hAnsi="Times New Roman"/>
          <w:sz w:val="19"/>
          <w:szCs w:val="19"/>
          <w:color w:val="auto"/>
        </w:rPr>
        <w:t xml:space="preserve">4.6.2 </w:t>
      </w:r>
      <w:r>
        <w:rPr>
          <w:rFonts w:ascii="Times New Roman" w:cs="Times New Roman" w:eastAsia="Times New Roman" w:hAnsi="Times New Roman"/>
          <w:sz w:val="19"/>
          <w:szCs w:val="19"/>
          <w:u w:val="single" w:color="auto"/>
          <w:color w:val="auto"/>
        </w:rPr>
        <w:t>Death or Disability</w:t>
      </w:r>
      <w:r>
        <w:rPr>
          <w:rFonts w:ascii="Times New Roman" w:cs="Times New Roman" w:eastAsia="Times New Roman" w:hAnsi="Times New Roman"/>
          <w:sz w:val="19"/>
          <w:szCs w:val="19"/>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by Participant on the Termination Date or as otherwise determined by the Committee. Such options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with any exercise beyond (a) three (3) months after the date Participant ceases to be an employee when the Termination is for any reason other than the Participant’s death or disability, within the meaning of Section 22(e)(3) of the Code, or (b) twelve (12) months after the date Participant ceases to be an employee when the Termination is for Participant’s disability, within the meaning of Section 22(e)(3) of the Code, deemed to be an NQSO) but in any event no later than the expiration date of the Options.</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20"/>
          <w:szCs w:val="20"/>
          <w:color w:val="auto"/>
        </w:rPr>
        <w:t xml:space="preserve">4.6.3 </w:t>
      </w:r>
      <w:r>
        <w:rPr>
          <w:rFonts w:ascii="Times New Roman" w:cs="Times New Roman" w:eastAsia="Times New Roman" w:hAnsi="Times New Roman"/>
          <w:sz w:val="20"/>
          <w:szCs w:val="20"/>
          <w:u w:val="single" w:color="auto"/>
          <w:color w:val="auto"/>
        </w:rPr>
        <w:t>For Cause</w:t>
      </w:r>
      <w:r>
        <w:rPr>
          <w:rFonts w:ascii="Times New Roman" w:cs="Times New Roman" w:eastAsia="Times New Roman" w:hAnsi="Times New Roman"/>
          <w:sz w:val="20"/>
          <w:szCs w:val="20"/>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17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4.7 </w:t>
      </w:r>
      <w:r>
        <w:rPr>
          <w:rFonts w:ascii="Times New Roman" w:cs="Times New Roman" w:eastAsia="Times New Roman" w:hAnsi="Times New Roman"/>
          <w:sz w:val="20"/>
          <w:szCs w:val="20"/>
          <w:b w:val="1"/>
          <w:bCs w:val="1"/>
          <w:u w:val="single" w:color="auto"/>
          <w:color w:val="auto"/>
        </w:rPr>
        <w:t>Limitations on Exercise</w:t>
      </w:r>
      <w:r>
        <w:rPr>
          <w:rFonts w:ascii="Times New Roman" w:cs="Times New Roman" w:eastAsia="Times New Roman" w:hAnsi="Times New Roman"/>
          <w:sz w:val="20"/>
          <w:szCs w:val="20"/>
          <w:color w:val="auto"/>
        </w:rPr>
        <w:t>. The Committee may specify a reasonable minimum number of Shares that may be purchased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any exercise of an Option, provided that such minimum number will not prevent Participant from exercising the Option for the full number of Shares for which it is then exercisable.</w:t>
      </w:r>
    </w:p>
    <w:p>
      <w:pPr>
        <w:spacing w:after="0" w:line="17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4.8 </w:t>
      </w:r>
      <w:r>
        <w:rPr>
          <w:rFonts w:ascii="Times New Roman" w:cs="Times New Roman" w:eastAsia="Times New Roman" w:hAnsi="Times New Roman"/>
          <w:sz w:val="20"/>
          <w:szCs w:val="20"/>
          <w:b w:val="1"/>
          <w:bCs w:val="1"/>
          <w:u w:val="single" w:color="auto"/>
          <w:color w:val="auto"/>
        </w:rPr>
        <w:t>Limitations on ISOs</w:t>
      </w:r>
      <w:r>
        <w:rPr>
          <w:rFonts w:ascii="Times New Roman" w:cs="Times New Roman" w:eastAsia="Times New Roman" w:hAnsi="Times New Roman"/>
          <w:sz w:val="20"/>
          <w:szCs w:val="20"/>
          <w:color w:val="auto"/>
        </w:rPr>
        <w:t>. The aggregate Fair Market Value (determined as of the date of grant) of Shares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ISOs are exercisable for the first time by a Participant during any calendar year (under this Plan or under any other incentive stock option plan of the Company or any Parent or Subsidiary of the Company) will not exceed One Hundred Thousand Dollars ($100,000). If the Fair Market Value of Shares on the date of grant with respect to which ISOs are exercisable for the first time by a Participant during any calendar year exceeds One Hundred Thousand Dollars ($100,000), then the Options for the first One Hundred Thousand Dollars ($100,000) worth of Shares to become exercisable in such calendar year will be ISOs and the Options for the amount in excess of One Hundred Thousand Dollars ($100,000) that become exercisable in that calendar year will be NQSOs. In the event that the Code or the regulations promulgated thereunder are amended after the Effective Date (as defined in Section 13.1 hereof) to provide for a different limit on the Fair Market Value of Shares permitted to be subject to ISOs, then such different limit will be automatically incorporated herein and will apply to any Options granted after the effective date of such amendment.</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4.9 </w:t>
      </w:r>
      <w:r>
        <w:rPr>
          <w:rFonts w:ascii="Times New Roman" w:cs="Times New Roman" w:eastAsia="Times New Roman" w:hAnsi="Times New Roman"/>
          <w:sz w:val="20"/>
          <w:szCs w:val="20"/>
          <w:b w:val="1"/>
          <w:bCs w:val="1"/>
          <w:u w:val="single" w:color="auto"/>
          <w:color w:val="auto"/>
        </w:rPr>
        <w:t>Modification, Extension or Renewal</w:t>
      </w:r>
      <w:r>
        <w:rPr>
          <w:rFonts w:ascii="Times New Roman" w:cs="Times New Roman" w:eastAsia="Times New Roman" w:hAnsi="Times New Roman"/>
          <w:sz w:val="20"/>
          <w:szCs w:val="20"/>
          <w:color w:val="auto"/>
        </w:rPr>
        <w:t>. The Committee may modify, extend or renew outstanding Options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authorize the grant of new Options in substitution therefor,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the Exercise Price may not be reduced below the minimum Exercise Price that would be permitted under Section 4.4 hereof for Options granted on the date the action is taken to reduce the Exercise Price.</w:t>
      </w:r>
    </w:p>
    <w:p>
      <w:pPr>
        <w:sectPr>
          <w:pgSz w:w="11900" w:h="16838" w:orient="portrait"/>
          <w:cols w:equalWidth="0" w:num="1">
            <w:col w:w="11240"/>
          </w:cols>
          <w:pgMar w:left="320" w:top="1413" w:right="339" w:bottom="1440" w:gutter="0" w:footer="0" w:header="0"/>
        </w:sectPr>
      </w:pPr>
    </w:p>
    <w:bookmarkStart w:id="273" w:name="page274"/>
    <w:bookmarkEnd w:id="273"/>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4.10 </w:t>
      </w:r>
      <w:r>
        <w:rPr>
          <w:rFonts w:ascii="Times New Roman" w:cs="Times New Roman" w:eastAsia="Times New Roman" w:hAnsi="Times New Roman"/>
          <w:sz w:val="20"/>
          <w:szCs w:val="20"/>
          <w:b w:val="1"/>
          <w:bCs w:val="1"/>
          <w:u w:val="single" w:color="auto"/>
          <w:color w:val="auto"/>
        </w:rPr>
        <w:t>No Disqualification</w:t>
      </w:r>
      <w:r>
        <w:rPr>
          <w:rFonts w:ascii="Times New Roman" w:cs="Times New Roman" w:eastAsia="Times New Roman" w:hAnsi="Times New Roman"/>
          <w:sz w:val="20"/>
          <w:szCs w:val="20"/>
          <w:color w:val="auto"/>
        </w:rPr>
        <w:t>. Notwithstanding any other provision in this Plan, no term of this Plan relating to ISOs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interpreted, amended 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75" w:lineRule="exact"/>
        <w:rPr>
          <w:sz w:val="20"/>
          <w:szCs w:val="20"/>
          <w:color w:val="auto"/>
        </w:rPr>
      </w:pPr>
    </w:p>
    <w:p>
      <w:pPr>
        <w:jc w:val="both"/>
        <w:ind w:firstLine="656"/>
        <w:spacing w:after="0" w:line="260" w:lineRule="auto"/>
        <w:tabs>
          <w:tab w:leader="none" w:pos="1062"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RESTRICTED STOCK</w:t>
      </w:r>
      <w:r>
        <w:rPr>
          <w:rFonts w:ascii="Times New Roman" w:cs="Times New Roman" w:eastAsia="Times New Roman" w:hAnsi="Times New Roman"/>
          <w:sz w:val="20"/>
          <w:szCs w:val="20"/>
          <w:color w:val="auto"/>
        </w:rPr>
        <w:t>. A Restricted Stock Award is an offer by the Company to sell to an eligible person Shares that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certain specified restrictions. The Committee will determine to whom an offer will be made, the number of Shares the person may purchase, the Purchase Price, the restrictions to which the Shares will be subject, and all other terms and conditions of the Restricted Stock Award, subject to the following terms and conditions.</w:t>
      </w:r>
    </w:p>
    <w:p>
      <w:pPr>
        <w:spacing w:after="0" w:line="16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b w:val="1"/>
          <w:bCs w:val="1"/>
          <w:u w:val="single" w:color="auto"/>
          <w:color w:val="auto"/>
        </w:rPr>
        <w:t>Form of Restricted Stock Award</w:t>
      </w:r>
      <w:r>
        <w:rPr>
          <w:rFonts w:ascii="Times New Roman" w:cs="Times New Roman" w:eastAsia="Times New Roman" w:hAnsi="Times New Roman"/>
          <w:sz w:val="20"/>
          <w:szCs w:val="20"/>
          <w:color w:val="auto"/>
        </w:rPr>
        <w:t>. All purchases under a Restricted Stock Award made pursuant to this Plan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evidenced by an Award Agreement (“</w:t>
      </w:r>
      <w:r>
        <w:rPr>
          <w:rFonts w:ascii="Times New Roman" w:cs="Times New Roman" w:eastAsia="Times New Roman" w:hAnsi="Times New Roman"/>
          <w:sz w:val="20"/>
          <w:szCs w:val="20"/>
          <w:b w:val="1"/>
          <w:bCs w:val="1"/>
          <w:i w:val="1"/>
          <w:iCs w:val="1"/>
          <w:color w:val="auto"/>
        </w:rPr>
        <w:t>Restricted Stock Purchase Agreement</w:t>
      </w:r>
      <w:r>
        <w:rPr>
          <w:rFonts w:ascii="Times New Roman" w:cs="Times New Roman" w:eastAsia="Times New Roman" w:hAnsi="Times New Roman"/>
          <w:sz w:val="20"/>
          <w:szCs w:val="20"/>
          <w:color w:val="auto"/>
        </w:rPr>
        <w:t>”) that will be in such form (which need not be the same for each Participant) as the Committee will from time to time approve, and will comply with and be subject to the terms and conditions of this Plan. The Restricted Stock Award will be accepted by the Participant’s execution and delivery of the Restricted Stock Purchase Agreement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173"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5.2 </w:t>
      </w:r>
      <w:r>
        <w:rPr>
          <w:rFonts w:ascii="Times New Roman" w:cs="Times New Roman" w:eastAsia="Times New Roman" w:hAnsi="Times New Roman"/>
          <w:sz w:val="20"/>
          <w:szCs w:val="20"/>
          <w:b w:val="1"/>
          <w:bCs w:val="1"/>
          <w:u w:val="single" w:color="auto"/>
          <w:color w:val="auto"/>
        </w:rPr>
        <w:t>Purchase Price</w:t>
      </w:r>
      <w:r>
        <w:rPr>
          <w:rFonts w:ascii="Times New Roman" w:cs="Times New Roman" w:eastAsia="Times New Roman" w:hAnsi="Times New Roman"/>
          <w:sz w:val="20"/>
          <w:szCs w:val="20"/>
          <w:color w:val="auto"/>
        </w:rPr>
        <w:t>. The Purchase Price of Shares sold pursuant to a Restricted Stock Award will be determined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on the date the Restricted Stock Award is granted or at the time the purchase is consummated. Payment of the Purchase Price must be made in accordance with Section 8 hereof.</w:t>
      </w:r>
    </w:p>
    <w:p>
      <w:pPr>
        <w:spacing w:after="0" w:line="15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b w:val="1"/>
          <w:bCs w:val="1"/>
          <w:u w:val="single" w:color="auto"/>
          <w:color w:val="auto"/>
        </w:rPr>
        <w:t>Dividends and Other Distributions</w:t>
      </w:r>
      <w:r>
        <w:rPr>
          <w:rFonts w:ascii="Times New Roman" w:cs="Times New Roman" w:eastAsia="Times New Roman" w:hAnsi="Times New Roman"/>
          <w:sz w:val="20"/>
          <w:szCs w:val="20"/>
          <w:color w:val="auto"/>
        </w:rPr>
        <w:t>. Participants holding Restricted Stock will be entitled to receive all dividends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distributions paid with respect to such Shares, unless the Committee provides otherwise at the time of award. If any such dividends or distributions are paid in Shares, the Shares will be subject to the same restrictions on transferability and forfeitability as the Shares of Restricted Stock with respect to which they were paid.</w:t>
      </w:r>
    </w:p>
    <w:p>
      <w:pPr>
        <w:spacing w:after="0" w:line="164"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b w:val="1"/>
          <w:bCs w:val="1"/>
          <w:u w:val="single" w:color="auto"/>
          <w:color w:val="auto"/>
        </w:rPr>
        <w:t>Restrictions</w:t>
      </w:r>
      <w:r>
        <w:rPr>
          <w:rFonts w:ascii="Times New Roman" w:cs="Times New Roman" w:eastAsia="Times New Roman" w:hAnsi="Times New Roman"/>
          <w:sz w:val="20"/>
          <w:szCs w:val="20"/>
          <w:color w:val="auto"/>
        </w:rPr>
        <w:t>. Restricted Stock Awards may be subject to the restrictions set forth in Sections 9 and 10 hereof or,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a Restricted Stock Award to which Section 25102(o) is to apply, such other restrictions not inconsistent with Section 25102(o).</w:t>
      </w:r>
    </w:p>
    <w:p>
      <w:pPr>
        <w:spacing w:after="0" w:line="152" w:lineRule="exact"/>
        <w:rPr>
          <w:sz w:val="20"/>
          <w:szCs w:val="20"/>
          <w:color w:val="auto"/>
        </w:rPr>
      </w:pPr>
    </w:p>
    <w:p>
      <w:pPr>
        <w:ind w:left="1000" w:hanging="344"/>
        <w:spacing w:after="0"/>
        <w:tabs>
          <w:tab w:leader="none" w:pos="100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RESTRICTED STOCK UNITS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6.1 </w:t>
      </w:r>
      <w:r>
        <w:rPr>
          <w:rFonts w:ascii="Times New Roman" w:cs="Times New Roman" w:eastAsia="Times New Roman" w:hAnsi="Times New Roman"/>
          <w:sz w:val="20"/>
          <w:szCs w:val="20"/>
          <w:b w:val="1"/>
          <w:bCs w:val="1"/>
          <w:u w:val="single" w:color="auto"/>
          <w:color w:val="auto"/>
        </w:rPr>
        <w:t>Awards of Restricted Stock Units</w:t>
      </w:r>
      <w:r>
        <w:rPr>
          <w:rFonts w:ascii="Times New Roman" w:cs="Times New Roman" w:eastAsia="Times New Roman" w:hAnsi="Times New Roman"/>
          <w:sz w:val="20"/>
          <w:szCs w:val="20"/>
          <w:color w:val="auto"/>
        </w:rPr>
        <w:t>. A Restricted Stock Unit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is an Award covering a number of Shares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settled in cash, or by issuance of those Shares at a date in the future. No Purchase Price shall apply to an RSU settled in Shares. All grants of Restricted Stock Units will be evidenced by an Award Agreement that will be in such form (which need not be the same for each Participant) as the Committee will from time to time approve, and will comply with and be subject to the terms and conditions of this Plan.</w:t>
      </w:r>
    </w:p>
    <w:p>
      <w:pPr>
        <w:spacing w:after="0" w:line="17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6.2 </w:t>
      </w:r>
      <w:r>
        <w:rPr>
          <w:rFonts w:ascii="Times New Roman" w:cs="Times New Roman" w:eastAsia="Times New Roman" w:hAnsi="Times New Roman"/>
          <w:sz w:val="20"/>
          <w:szCs w:val="20"/>
          <w:b w:val="1"/>
          <w:bCs w:val="1"/>
          <w:u w:val="single" w:color="auto"/>
          <w:color w:val="auto"/>
        </w:rPr>
        <w:t>Form and Timing of Settlement</w:t>
      </w:r>
      <w:r>
        <w:rPr>
          <w:rFonts w:ascii="Times New Roman" w:cs="Times New Roman" w:eastAsia="Times New Roman" w:hAnsi="Times New Roman"/>
          <w:sz w:val="20"/>
          <w:szCs w:val="20"/>
          <w:color w:val="auto"/>
        </w:rPr>
        <w:t>. To the extent permissible under applicable law, the Committee may permit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to defer payment under a RSU to a date or dates after the RSU is earned,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the terms of the RSU and any deferral satisfy the requirements of Section 409A of the Code (or any successor) and any regulations or rulings promulgated thereunder. Payment</w:t>
      </w:r>
    </w:p>
    <w:p>
      <w:pPr>
        <w:sectPr>
          <w:pgSz w:w="11900" w:h="16838" w:orient="portrait"/>
          <w:cols w:equalWidth="0" w:num="1">
            <w:col w:w="11240"/>
          </w:cols>
          <w:pgMar w:left="320" w:top="1409"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20"/>
          <w:szCs w:val="20"/>
          <w:color w:val="auto"/>
        </w:rPr>
        <w:t>may be made in the form of cash or whole Shares or a combination thereof, all as the Committee determines.</w:t>
      </w:r>
    </w:p>
    <w:p>
      <w:pPr>
        <w:spacing w:after="0" w:line="225" w:lineRule="exact"/>
        <w:rPr>
          <w:sz w:val="20"/>
          <w:szCs w:val="20"/>
          <w:color w:val="auto"/>
        </w:rPr>
      </w:pPr>
    </w:p>
    <w:p>
      <w:pPr>
        <w:ind w:left="1000" w:hanging="344"/>
        <w:spacing w:after="0"/>
        <w:tabs>
          <w:tab w:leader="none" w:pos="1000"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STOCK APPRECIATION RIGHTS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7.1 </w:t>
      </w:r>
      <w:r>
        <w:rPr>
          <w:rFonts w:ascii="Times New Roman" w:cs="Times New Roman" w:eastAsia="Times New Roman" w:hAnsi="Times New Roman"/>
          <w:sz w:val="20"/>
          <w:szCs w:val="20"/>
          <w:b w:val="1"/>
          <w:bCs w:val="1"/>
          <w:u w:val="single" w:color="auto"/>
          <w:color w:val="auto"/>
        </w:rPr>
        <w:t>Awards of SARs</w:t>
      </w:r>
      <w:r>
        <w:rPr>
          <w:rFonts w:ascii="Times New Roman" w:cs="Times New Roman" w:eastAsia="Times New Roman" w:hAnsi="Times New Roman"/>
          <w:sz w:val="20"/>
          <w:szCs w:val="20"/>
          <w:color w:val="auto"/>
        </w:rPr>
        <w:t>. Stock Appreciation Rights (“</w:t>
      </w:r>
      <w:r>
        <w:rPr>
          <w:rFonts w:ascii="Times New Roman" w:cs="Times New Roman" w:eastAsia="Times New Roman" w:hAnsi="Times New Roman"/>
          <w:sz w:val="20"/>
          <w:szCs w:val="20"/>
          <w:b w:val="1"/>
          <w:bCs w:val="1"/>
          <w:i w:val="1"/>
          <w:iCs w:val="1"/>
          <w:color w:val="auto"/>
        </w:rPr>
        <w:t>SARs</w:t>
      </w:r>
      <w:r>
        <w:rPr>
          <w:rFonts w:ascii="Times New Roman" w:cs="Times New Roman" w:eastAsia="Times New Roman" w:hAnsi="Times New Roman"/>
          <w:sz w:val="20"/>
          <w:szCs w:val="20"/>
          <w:color w:val="auto"/>
        </w:rPr>
        <w:t>”) may be settled in cash, or Shares (which may consist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or RSUs), having a value equal to the value determined by multiplying the difference between the Fair Market Value on the date of exercise over the Exercise Price and the number of Shares with respect to which the SAR is being settled. All grants of SARs made pursuant to this Plan will be evidenced by an Award Agreement that will be in such form (which need not be the same for each Participant) as the Committee will from time to time approve, and will comply with and be subject to the terms and conditions of this Plan.</w:t>
      </w:r>
    </w:p>
    <w:p>
      <w:pPr>
        <w:spacing w:after="0" w:line="16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7.2 </w:t>
      </w:r>
      <w:r>
        <w:rPr>
          <w:rFonts w:ascii="Times New Roman" w:cs="Times New Roman" w:eastAsia="Times New Roman" w:hAnsi="Times New Roman"/>
          <w:sz w:val="20"/>
          <w:szCs w:val="20"/>
          <w:b w:val="1"/>
          <w:bCs w:val="1"/>
          <w:u w:val="single" w:color="auto"/>
          <w:color w:val="auto"/>
        </w:rPr>
        <w:t>Exercise Period and Expiration Date</w:t>
      </w:r>
      <w:r>
        <w:rPr>
          <w:rFonts w:ascii="Times New Roman" w:cs="Times New Roman" w:eastAsia="Times New Roman" w:hAnsi="Times New Roman"/>
          <w:sz w:val="20"/>
          <w:szCs w:val="20"/>
          <w:color w:val="auto"/>
        </w:rPr>
        <w:t>. A SAR will be exercisable within the times or upon the occurrence of events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determined by the Committee and set forth in the Award Agreement governing such SAR. The Award Agreement shall set forth the Expiration Date;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no SAR will be exercisable after the expiration of ten years from the date the SAR is granted.</w:t>
      </w:r>
    </w:p>
    <w:p>
      <w:pPr>
        <w:spacing w:after="0" w:line="175"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7.3 </w:t>
      </w:r>
      <w:r>
        <w:rPr>
          <w:rFonts w:ascii="Times New Roman" w:cs="Times New Roman" w:eastAsia="Times New Roman" w:hAnsi="Times New Roman"/>
          <w:sz w:val="20"/>
          <w:szCs w:val="20"/>
          <w:b w:val="1"/>
          <w:bCs w:val="1"/>
          <w:u w:val="single" w:color="auto"/>
          <w:color w:val="auto"/>
        </w:rPr>
        <w:t>Exercise Price</w:t>
      </w:r>
      <w:r>
        <w:rPr>
          <w:rFonts w:ascii="Times New Roman" w:cs="Times New Roman" w:eastAsia="Times New Roman" w:hAnsi="Times New Roman"/>
          <w:sz w:val="20"/>
          <w:szCs w:val="20"/>
          <w:color w:val="auto"/>
        </w:rPr>
        <w:t>. The Committee will determine the Exercise Price of the SAR when the SAR is granted, and which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be less than the Fair Market Value on the date of grant and may be settled in cash or in Shares.</w:t>
      </w:r>
    </w:p>
    <w:p>
      <w:pPr>
        <w:spacing w:after="0" w:line="138"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7.4 </w:t>
      </w: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color w:val="auto"/>
        </w:rPr>
        <w:t>. Subject to earlier termination pursuant to Sections 11 and 13.1 hereof and notwithstanding the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periods set forth in the Award Agreement, exercise of SARs will always be subject to the following terms and conditions.</w:t>
      </w:r>
    </w:p>
    <w:p>
      <w:pPr>
        <w:spacing w:after="0" w:line="142"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0"/>
          <w:szCs w:val="20"/>
          <w:color w:val="auto"/>
        </w:rPr>
        <w:t xml:space="preserve">7.4.1 </w:t>
      </w:r>
      <w:r>
        <w:rPr>
          <w:rFonts w:ascii="Times New Roman" w:cs="Times New Roman" w:eastAsia="Times New Roman" w:hAnsi="Times New Roman"/>
          <w:sz w:val="20"/>
          <w:szCs w:val="20"/>
          <w:u w:val="single" w:color="auto"/>
          <w:color w:val="auto"/>
        </w:rPr>
        <w:t>Other than Death or Disability or for Cause</w:t>
      </w:r>
      <w:r>
        <w:rPr>
          <w:rFonts w:ascii="Times New Roman" w:cs="Times New Roman" w:eastAsia="Times New Roman" w:hAnsi="Times New Roman"/>
          <w:sz w:val="20"/>
          <w:szCs w:val="20"/>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SARs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but in any event, no later than the expiration date of the SARs.</w:t>
      </w:r>
    </w:p>
    <w:p>
      <w:pPr>
        <w:spacing w:after="0" w:line="192"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20"/>
          <w:szCs w:val="20"/>
          <w:color w:val="auto"/>
        </w:rPr>
        <w:t xml:space="preserve">7.4.2 </w:t>
      </w: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If the Participant is Terminated because of Participant’s death or Disability (or the Participant dies within three (3) months after a Termination other than for Cause), then Participant’s SARs may be exercised only to the extent that such SARs are exercisable as to Vested Shares by Participant on the Termination Date or as otherwise determined by the Committee. Such SARs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but in any event no later than the expiration date of the SARs.</w:t>
      </w:r>
    </w:p>
    <w:p>
      <w:pPr>
        <w:spacing w:after="0" w:line="193" w:lineRule="exact"/>
        <w:rPr>
          <w:sz w:val="20"/>
          <w:szCs w:val="20"/>
          <w:color w:val="auto"/>
        </w:rPr>
      </w:pPr>
    </w:p>
    <w:p>
      <w:pPr>
        <w:jc w:val="both"/>
        <w:ind w:firstLine="1944"/>
        <w:spacing w:after="0" w:line="283" w:lineRule="auto"/>
        <w:rPr>
          <w:sz w:val="20"/>
          <w:szCs w:val="20"/>
          <w:color w:val="auto"/>
        </w:rPr>
      </w:pPr>
      <w:r>
        <w:rPr>
          <w:rFonts w:ascii="Times New Roman" w:cs="Times New Roman" w:eastAsia="Times New Roman" w:hAnsi="Times New Roman"/>
          <w:sz w:val="20"/>
          <w:szCs w:val="20"/>
          <w:color w:val="auto"/>
        </w:rPr>
        <w:t xml:space="preserve">7.4.3 </w:t>
      </w:r>
      <w:r>
        <w:rPr>
          <w:rFonts w:ascii="Times New Roman" w:cs="Times New Roman" w:eastAsia="Times New Roman" w:hAnsi="Times New Roman"/>
          <w:sz w:val="20"/>
          <w:szCs w:val="20"/>
          <w:u w:val="single" w:color="auto"/>
          <w:color w:val="auto"/>
        </w:rPr>
        <w:t>For Cause</w:t>
      </w:r>
      <w:r>
        <w:rPr>
          <w:rFonts w:ascii="Times New Roman" w:cs="Times New Roman" w:eastAsia="Times New Roman" w:hAnsi="Times New Roman"/>
          <w:sz w:val="20"/>
          <w:szCs w:val="20"/>
          <w:color w:val="auto"/>
        </w:rPr>
        <w:t>. If the Participant is terminated for Cause, the Participant may exercise such Participant’s SARs, but not to an extent greater than such SARs are exercisable as to Vested</w:t>
      </w:r>
    </w:p>
    <w:p>
      <w:pPr>
        <w:sectPr>
          <w:pgSz w:w="11900" w:h="16838" w:orient="portrait"/>
          <w:cols w:equalWidth="0" w:num="1">
            <w:col w:w="11240"/>
          </w:cols>
          <w:pgMar w:left="320" w:top="1413" w:right="339" w:bottom="1440" w:gutter="0" w:footer="0" w:header="0"/>
        </w:sectPr>
      </w:pPr>
    </w:p>
    <w:bookmarkStart w:id="275" w:name="page276"/>
    <w:bookmarkEnd w:id="275"/>
    <w:p>
      <w:pPr>
        <w:spacing w:after="0" w:line="283" w:lineRule="auto"/>
        <w:rPr>
          <w:sz w:val="20"/>
          <w:szCs w:val="20"/>
          <w:color w:val="auto"/>
        </w:rPr>
      </w:pPr>
      <w:r>
        <w:rPr>
          <w:rFonts w:ascii="Times New Roman" w:cs="Times New Roman" w:eastAsia="Times New Roman" w:hAnsi="Times New Roman"/>
          <w:sz w:val="20"/>
          <w:szCs w:val="20"/>
          <w:color w:val="auto"/>
        </w:rPr>
        <w:t>Shares upon the Termination Date and Participant’s SARs shall expire on such Participant’s Termination Date, or at such later time and on such conditions as are determined by the Committee.</w:t>
      </w:r>
    </w:p>
    <w:p>
      <w:pPr>
        <w:spacing w:after="0" w:line="142" w:lineRule="exact"/>
        <w:rPr>
          <w:sz w:val="20"/>
          <w:szCs w:val="20"/>
          <w:color w:val="auto"/>
        </w:rPr>
      </w:pPr>
    </w:p>
    <w:p>
      <w:pPr>
        <w:ind w:left="1000" w:hanging="344"/>
        <w:spacing w:after="0"/>
        <w:tabs>
          <w:tab w:leader="none" w:pos="1000"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PAYMENT FOR PURCHASES AND EXERCISES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8.1 </w:t>
      </w:r>
      <w:r>
        <w:rPr>
          <w:rFonts w:ascii="Times New Roman" w:cs="Times New Roman" w:eastAsia="Times New Roman" w:hAnsi="Times New Roman"/>
          <w:sz w:val="20"/>
          <w:szCs w:val="20"/>
          <w:b w:val="1"/>
          <w:bCs w:val="1"/>
          <w:u w:val="single" w:color="auto"/>
          <w:color w:val="auto"/>
        </w:rPr>
        <w:t>Payment in General</w:t>
      </w:r>
      <w:r>
        <w:rPr>
          <w:rFonts w:ascii="Times New Roman" w:cs="Times New Roman" w:eastAsia="Times New Roman" w:hAnsi="Times New Roman"/>
          <w:sz w:val="20"/>
          <w:szCs w:val="20"/>
          <w:color w:val="auto"/>
        </w:rPr>
        <w:t>. Payment for Shares acquired pursuant to this Plan may be made in cash (by check) or, where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expressly approved for the Participant by the Committee and where permitted by law:</w:t>
      </w:r>
    </w:p>
    <w:p>
      <w:pPr>
        <w:spacing w:after="0" w:line="169" w:lineRule="exact"/>
        <w:rPr>
          <w:sz w:val="20"/>
          <w:szCs w:val="20"/>
          <w:color w:val="auto"/>
        </w:rPr>
      </w:pPr>
    </w:p>
    <w:p>
      <w:pPr>
        <w:ind w:left="3020" w:hanging="420"/>
        <w:spacing w:after="0"/>
        <w:tabs>
          <w:tab w:leader="none" w:pos="302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cancellation of indebtedness of the Company owed to the Participant;</w:t>
      </w:r>
    </w:p>
    <w:p>
      <w:pPr>
        <w:spacing w:after="0" w:line="229" w:lineRule="exact"/>
        <w:rPr>
          <w:rFonts w:ascii="Times New Roman" w:cs="Times New Roman" w:eastAsia="Times New Roman" w:hAnsi="Times New Roman"/>
          <w:sz w:val="20"/>
          <w:szCs w:val="20"/>
          <w:color w:val="auto"/>
        </w:rPr>
      </w:pPr>
    </w:p>
    <w:p>
      <w:pPr>
        <w:jc w:val="both"/>
        <w:ind w:firstLine="2600"/>
        <w:spacing w:after="0" w:line="254" w:lineRule="auto"/>
        <w:tabs>
          <w:tab w:leader="none" w:pos="3107"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surrender of shares of the Company that are clear of all liens, claims, encumbrances or security interests and: (i) for which the Company has received “</w:t>
      </w:r>
      <w:r>
        <w:rPr>
          <w:rFonts w:ascii="Times New Roman" w:cs="Times New Roman" w:eastAsia="Times New Roman" w:hAnsi="Times New Roman"/>
          <w:sz w:val="20"/>
          <w:szCs w:val="20"/>
          <w:b w:val="1"/>
          <w:bCs w:val="1"/>
          <w:i w:val="1"/>
          <w:iCs w:val="1"/>
          <w:color w:val="auto"/>
        </w:rPr>
        <w:t>full payment of the purchase price</w:t>
      </w:r>
      <w:r>
        <w:rPr>
          <w:rFonts w:ascii="Times New Roman" w:cs="Times New Roman" w:eastAsia="Times New Roman" w:hAnsi="Times New Roman"/>
          <w:sz w:val="20"/>
          <w:szCs w:val="20"/>
          <w:color w:val="auto"/>
        </w:rPr>
        <w:t>” within the meaning of SEC Rule 144 (and, if such shares were purchased from the Company by use of a promissory note, such note has been fully paid with respect to such shares) or (ii) that were obtained by Participant in the public market;</w:t>
      </w:r>
    </w:p>
    <w:p>
      <w:pPr>
        <w:spacing w:after="0" w:line="187" w:lineRule="exact"/>
        <w:rPr>
          <w:rFonts w:ascii="Times New Roman" w:cs="Times New Roman" w:eastAsia="Times New Roman" w:hAnsi="Times New Roman"/>
          <w:sz w:val="20"/>
          <w:szCs w:val="20"/>
          <w:color w:val="auto"/>
        </w:rPr>
      </w:pPr>
    </w:p>
    <w:p>
      <w:pPr>
        <w:jc w:val="both"/>
        <w:ind w:firstLine="2600"/>
        <w:spacing w:after="0" w:line="253" w:lineRule="auto"/>
        <w:tabs>
          <w:tab w:leader="none" w:pos="30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tender of a full recourse promissory note having such terms as may be approved by the Committee and bearing interest at a rate sufficient to avoid imputation of income under Sections 483 and 1274 of the Code; provided, however, that Participants who are not employees or directors of the Company will not be entitled to purchase Shares with a promissory note unless the note is adequately secured by collateral other than the Shares; provided, further, that the portion of the Exercise Price or Purchase Price, as the case may be, equal to the par value (if any) of the Shares must be paid in cash or other legal consideration permitted by the laws under which the Company is then incorporated or organized;</w:t>
      </w:r>
    </w:p>
    <w:p>
      <w:pPr>
        <w:spacing w:after="0" w:line="192"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waiver of compensation due or accrued to the Participant from the Company for services rendered;</w:t>
      </w:r>
    </w:p>
    <w:p>
      <w:pPr>
        <w:spacing w:after="0" w:line="215" w:lineRule="exact"/>
        <w:rPr>
          <w:rFonts w:ascii="Times New Roman" w:cs="Times New Roman" w:eastAsia="Times New Roman" w:hAnsi="Times New Roman"/>
          <w:sz w:val="20"/>
          <w:szCs w:val="20"/>
          <w:color w:val="auto"/>
        </w:rPr>
      </w:pPr>
    </w:p>
    <w:p>
      <w:pPr>
        <w:ind w:left="3080" w:hanging="480"/>
        <w:spacing w:after="0"/>
        <w:tabs>
          <w:tab w:leader="none" w:pos="308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participating in a formal cashless exercise program implemented by the Committee in connection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Plan;</w:t>
      </w:r>
    </w:p>
    <w:p>
      <w:pPr>
        <w:spacing w:after="0" w:line="200" w:lineRule="exact"/>
        <w:rPr>
          <w:rFonts w:ascii="Times New Roman" w:cs="Times New Roman" w:eastAsia="Times New Roman" w:hAnsi="Times New Roman"/>
          <w:sz w:val="20"/>
          <w:szCs w:val="20"/>
          <w:color w:val="auto"/>
        </w:rPr>
      </w:pPr>
    </w:p>
    <w:p>
      <w:pPr>
        <w:jc w:val="both"/>
        <w:ind w:firstLine="2600"/>
        <w:spacing w:after="0" w:line="257" w:lineRule="auto"/>
        <w:tabs>
          <w:tab w:leader="none" w:pos="303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compliance with applicable law, provided that a public market for the Company’s Common Stock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 or</w:t>
      </w:r>
    </w:p>
    <w:p>
      <w:pPr>
        <w:spacing w:after="0" w:line="172"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any combination of the foregoing or any other method of payment approved by the Committee.</w:t>
      </w:r>
    </w:p>
    <w:p>
      <w:pPr>
        <w:spacing w:after="0" w:line="225"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8.2</w:t>
      </w:r>
      <w:r>
        <w:rPr>
          <w:sz w:val="20"/>
          <w:szCs w:val="20"/>
          <w:color w:val="auto"/>
        </w:rPr>
        <w:tab/>
      </w:r>
      <w:r>
        <w:rPr>
          <w:rFonts w:ascii="Times New Roman" w:cs="Times New Roman" w:eastAsia="Times New Roman" w:hAnsi="Times New Roman"/>
          <w:sz w:val="19"/>
          <w:szCs w:val="19"/>
          <w:b w:val="1"/>
          <w:bCs w:val="1"/>
          <w:u w:val="single" w:color="auto"/>
          <w:color w:val="auto"/>
        </w:rPr>
        <w:t>Withholding Taxes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944"/>
        <w:spacing w:after="0" w:line="288" w:lineRule="auto"/>
        <w:rPr>
          <w:sz w:val="20"/>
          <w:szCs w:val="20"/>
          <w:color w:val="auto"/>
        </w:rPr>
      </w:pPr>
      <w:r>
        <w:rPr>
          <w:rFonts w:ascii="Times New Roman" w:cs="Times New Roman" w:eastAsia="Times New Roman" w:hAnsi="Times New Roman"/>
          <w:sz w:val="19"/>
          <w:szCs w:val="19"/>
          <w:color w:val="auto"/>
        </w:rPr>
        <w:t xml:space="preserve">8.2.1 </w:t>
      </w:r>
      <w:r>
        <w:rPr>
          <w:rFonts w:ascii="Times New Roman" w:cs="Times New Roman" w:eastAsia="Times New Roman" w:hAnsi="Times New Roman"/>
          <w:sz w:val="19"/>
          <w:szCs w:val="19"/>
          <w:u w:val="single" w:color="auto"/>
          <w:color w:val="auto"/>
        </w:rPr>
        <w:t>Withholding Generally</w:t>
      </w:r>
      <w:r>
        <w:rPr>
          <w:rFonts w:ascii="Times New Roman" w:cs="Times New Roman" w:eastAsia="Times New Roman" w:hAnsi="Times New Roman"/>
          <w:sz w:val="19"/>
          <w:szCs w:val="19"/>
          <w:color w:val="auto"/>
        </w:rPr>
        <w:t>. Whenever Shares are to be issued in satisfaction of Awards granted under this Plan, the Company may require the Participant to remit to the Company an amount sufficient to satisfy applicable tax withholding requirements prior to the delivery of any certificate or certificates for such Shares. Whenever, under this Plan, payments in satisfaction of Awards are to be</w:t>
      </w:r>
    </w:p>
    <w:p>
      <w:pPr>
        <w:sectPr>
          <w:pgSz w:w="11900" w:h="16838" w:orient="portrait"/>
          <w:cols w:equalWidth="0" w:num="1">
            <w:col w:w="11240"/>
          </w:cols>
          <w:pgMar w:left="320" w:top="1413"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20"/>
          <w:szCs w:val="20"/>
          <w:color w:val="auto"/>
        </w:rPr>
        <w:t>made in cash by the Company, such payment will be net of an amount sufficient to satisfy applicable tax withholding requirements.</w:t>
      </w:r>
    </w:p>
    <w:p>
      <w:pPr>
        <w:spacing w:after="0" w:line="22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0"/>
          <w:szCs w:val="20"/>
          <w:color w:val="auto"/>
        </w:rPr>
        <w:t xml:space="preserve">8.2.2 </w:t>
      </w:r>
      <w:r>
        <w:rPr>
          <w:rFonts w:ascii="Times New Roman" w:cs="Times New Roman" w:eastAsia="Times New Roman" w:hAnsi="Times New Roman"/>
          <w:sz w:val="20"/>
          <w:szCs w:val="20"/>
          <w:u w:val="single" w:color="auto"/>
          <w:color w:val="auto"/>
        </w:rPr>
        <w:t>Stock Withholding</w:t>
      </w:r>
      <w:r>
        <w:rPr>
          <w:rFonts w:ascii="Times New Roman" w:cs="Times New Roman" w:eastAsia="Times New Roman" w:hAnsi="Times New Roman"/>
          <w:sz w:val="20"/>
          <w:szCs w:val="20"/>
          <w:color w:val="auto"/>
        </w:rPr>
        <w:t>. When, under applicable tax laws, a Participant incurs tax liability in connection with the exercise or vesting of any Award that is subject to tax withholding and the Participant is obligated to pay the Company the amount required to be withheld, the Committee may in its sole discretion allow the Participant to satisfy the minimum tax withholding obligation by electing to have the Company withhold from the Shares to be issued up to the minimum number of Shares having a Fair Market Value on the date that the amount of tax to be withheld is to be determined that is not more than the minimum amount to be withheld; or to arrange a mandatory “sell to cover” on Participant’s behalf (without further authorization) but in no event will the Company withhold Shares or “sell to cover” if such withholding would result in adverse accounting consequences to the Company. Any elections to have Shares withheld or sold for this purpose will be made in accordance with the requirements established by the Committee for such elections and be in writing in a form acceptable to the Committee.</w:t>
      </w:r>
    </w:p>
    <w:p>
      <w:pPr>
        <w:spacing w:after="0" w:line="189" w:lineRule="exact"/>
        <w:rPr>
          <w:sz w:val="20"/>
          <w:szCs w:val="20"/>
          <w:color w:val="auto"/>
        </w:rPr>
      </w:pPr>
    </w:p>
    <w:p>
      <w:pPr>
        <w:ind w:left="1000" w:hanging="344"/>
        <w:spacing w:after="0"/>
        <w:tabs>
          <w:tab w:leader="none" w:pos="100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RESTRICTIONS ON AWARDS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9.1 </w:t>
      </w:r>
      <w:r>
        <w:rPr>
          <w:rFonts w:ascii="Times New Roman" w:cs="Times New Roman" w:eastAsia="Times New Roman" w:hAnsi="Times New Roman"/>
          <w:sz w:val="20"/>
          <w:szCs w:val="20"/>
          <w:b w:val="1"/>
          <w:bCs w:val="1"/>
          <w:u w:val="single" w:color="auto"/>
          <w:color w:val="auto"/>
        </w:rPr>
        <w:t>Transferability</w:t>
      </w:r>
      <w:r>
        <w:rPr>
          <w:rFonts w:ascii="Times New Roman" w:cs="Times New Roman" w:eastAsia="Times New Roman" w:hAnsi="Times New Roman"/>
          <w:sz w:val="20"/>
          <w:szCs w:val="20"/>
          <w:color w:val="auto"/>
        </w:rPr>
        <w:t>. Except as permitted by the Committee, Awards granted under this Plan, and any interest therein,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not be transferable or assignable by Participant, other than by will or by the laws of descent and distribution, and, with respect to NQSOs, by instrument to an </w:t>
      </w:r>
      <w:r>
        <w:rPr>
          <w:rFonts w:ascii="Times New Roman" w:cs="Times New Roman" w:eastAsia="Times New Roman" w:hAnsi="Times New Roman"/>
          <w:sz w:val="20"/>
          <w:szCs w:val="20"/>
          <w:i w:val="1"/>
          <w:iCs w:val="1"/>
          <w:color w:val="auto"/>
        </w:rPr>
        <w:t>inter vivos</w:t>
      </w:r>
      <w:r>
        <w:rPr>
          <w:rFonts w:ascii="Times New Roman" w:cs="Times New Roman" w:eastAsia="Times New Roman" w:hAnsi="Times New Roman"/>
          <w:sz w:val="20"/>
          <w:szCs w:val="20"/>
          <w:color w:val="auto"/>
        </w:rPr>
        <w:t xml:space="preserve">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 stock option and, prior to exercise, the shares to be issued on exercise of a stock option, and pursuant to the foregoing sentence shall be understood to include, without limitation, a prohibition against any pledge, hypothecation, or other transfer, including any short position, any “</w:t>
      </w:r>
      <w:r>
        <w:rPr>
          <w:rFonts w:ascii="Times New Roman" w:cs="Times New Roman" w:eastAsia="Times New Roman" w:hAnsi="Times New Roman"/>
          <w:sz w:val="20"/>
          <w:szCs w:val="20"/>
          <w:b w:val="1"/>
          <w:bCs w:val="1"/>
          <w:i w:val="1"/>
          <w:iCs w:val="1"/>
          <w:color w:val="auto"/>
        </w:rPr>
        <w:t>put equivalent position</w:t>
      </w:r>
      <w:r>
        <w:rPr>
          <w:rFonts w:ascii="Times New Roman" w:cs="Times New Roman" w:eastAsia="Times New Roman" w:hAnsi="Times New Roman"/>
          <w:sz w:val="20"/>
          <w:szCs w:val="20"/>
          <w:color w:val="auto"/>
        </w:rPr>
        <w:t>” or any “</w:t>
      </w:r>
      <w:r>
        <w:rPr>
          <w:rFonts w:ascii="Times New Roman" w:cs="Times New Roman" w:eastAsia="Times New Roman" w:hAnsi="Times New Roman"/>
          <w:sz w:val="20"/>
          <w:szCs w:val="20"/>
          <w:b w:val="1"/>
          <w:bCs w:val="1"/>
          <w:i w:val="1"/>
          <w:iCs w:val="1"/>
          <w:color w:val="auto"/>
        </w:rPr>
        <w:t>call equivalent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position</w:t>
      </w:r>
      <w:r>
        <w:rPr>
          <w:rFonts w:ascii="Times New Roman" w:cs="Times New Roman" w:eastAsia="Times New Roman" w:hAnsi="Times New Roman"/>
          <w:sz w:val="20"/>
          <w:szCs w:val="20"/>
          <w:color w:val="auto"/>
        </w:rPr>
        <w:t>” (in each case, as defined in Rule 16a-1 promulgated under the Exchange Act). During the lifetime of the Participant an Award will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 exercisable only by the Participant or Participant’s legal representative and any elections with respect to an Award may be made only by the Participant or Participant’s legal representative. The terms of an Option shall be binding upon the executor, administrator, successors and assigns of the Participant who is a party thereto.</w:t>
      </w:r>
    </w:p>
    <w:p>
      <w:pPr>
        <w:spacing w:after="0" w:line="19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9.2 </w:t>
      </w:r>
      <w:r>
        <w:rPr>
          <w:rFonts w:ascii="Times New Roman" w:cs="Times New Roman" w:eastAsia="Times New Roman" w:hAnsi="Times New Roman"/>
          <w:sz w:val="20"/>
          <w:szCs w:val="20"/>
          <w:b w:val="1"/>
          <w:bCs w:val="1"/>
          <w:u w:val="single" w:color="auto"/>
          <w:color w:val="auto"/>
        </w:rPr>
        <w:t>Securities Law and Other Regulatory Compliance</w:t>
      </w:r>
      <w:r>
        <w:rPr>
          <w:rFonts w:ascii="Times New Roman" w:cs="Times New Roman" w:eastAsia="Times New Roman" w:hAnsi="Times New Roman"/>
          <w:sz w:val="20"/>
          <w:szCs w:val="20"/>
          <w:color w:val="auto"/>
        </w:rPr>
        <w:t>. Although this Plan is intended to be a written compensatory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 plan within the meaning of Rule 701 promulgated under the Securities Act, grants may be made pursuant to this Plan that do not qualify for exemption under Rule 701 or Section 25102(o). Any requirement of this Plan which is required in law only because of Section 25102(o) need not apply with respect to a particular Award to which Section 25102(o) will not apply. An Award will not be effective unless such Award is in compliance with all applicable federal and state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compliance with any exemption, completion of any registration or other qualification of such Shares under any state or federal law or ruling of any governmental body that the Company determines to be necessary or advisable. The Company will be under no obligation to register the Shares with the SEC or to effect compliance with the exemption, registration, qualification or listing requirements of any state securities laws, stock exchange or automated quotation system, and the Company will have no liability for any inability or failure so do.</w:t>
      </w:r>
    </w:p>
    <w:p>
      <w:pPr>
        <w:sectPr>
          <w:pgSz w:w="11900" w:h="16838" w:orient="portrait"/>
          <w:cols w:equalWidth="0" w:num="1">
            <w:col w:w="11240"/>
          </w:cols>
          <w:pgMar w:left="320" w:top="1413" w:right="339" w:bottom="1440" w:gutter="0" w:footer="0" w:header="0"/>
        </w:sectPr>
      </w:pPr>
    </w:p>
    <w:bookmarkStart w:id="277" w:name="page278"/>
    <w:bookmarkEnd w:id="277"/>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9.3 </w:t>
      </w:r>
      <w:r>
        <w:rPr>
          <w:rFonts w:ascii="Times New Roman" w:cs="Times New Roman" w:eastAsia="Times New Roman" w:hAnsi="Times New Roman"/>
          <w:sz w:val="20"/>
          <w:szCs w:val="20"/>
          <w:b w:val="1"/>
          <w:bCs w:val="1"/>
          <w:u w:val="single" w:color="auto"/>
          <w:color w:val="auto"/>
        </w:rPr>
        <w:t>Exchange and Buyout of Awards</w:t>
      </w:r>
      <w:r>
        <w:rPr>
          <w:rFonts w:ascii="Times New Roman" w:cs="Times New Roman" w:eastAsia="Times New Roman" w:hAnsi="Times New Roman"/>
          <w:sz w:val="20"/>
          <w:szCs w:val="20"/>
          <w:color w:val="auto"/>
        </w:rPr>
        <w:t>. The Committee may, at any time or from time to time, authorize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consent of the respective Participants, to issue new Awards in exchange for the surrender and cancellation of any or all outstanding Awards. Without prior stockholder approval the Committee may reprice Options or SARs (and where such repricing is a reduction in the Exercise Price of outstanding Options or SARs, the consent of the affected Participants is not required provided written notice is provided to them).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187" w:lineRule="exact"/>
        <w:rPr>
          <w:sz w:val="20"/>
          <w:szCs w:val="20"/>
          <w:color w:val="auto"/>
        </w:rPr>
      </w:pPr>
    </w:p>
    <w:p>
      <w:pPr>
        <w:ind w:left="1100" w:hanging="444"/>
        <w:spacing w:after="0"/>
        <w:tabs>
          <w:tab w:leader="none" w:pos="1100"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RESTRICTIONS ON SHARES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10.1 </w:t>
      </w:r>
      <w:r>
        <w:rPr>
          <w:rFonts w:ascii="Times New Roman" w:cs="Times New Roman" w:eastAsia="Times New Roman" w:hAnsi="Times New Roman"/>
          <w:sz w:val="19"/>
          <w:szCs w:val="19"/>
          <w:b w:val="1"/>
          <w:bCs w:val="1"/>
          <w:u w:val="single" w:color="auto"/>
          <w:color w:val="auto"/>
        </w:rPr>
        <w:t>Privileges of Stock Ownership</w:t>
      </w:r>
      <w:r>
        <w:rPr>
          <w:rFonts w:ascii="Times New Roman" w:cs="Times New Roman" w:eastAsia="Times New Roman" w:hAnsi="Times New Roman"/>
          <w:sz w:val="19"/>
          <w:szCs w:val="19"/>
          <w:color w:val="auto"/>
        </w:rPr>
        <w:t>. No Participant will have any of the rights of a stockholder with respect to any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until such Shares are 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15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10.2 </w:t>
      </w:r>
      <w:r>
        <w:rPr>
          <w:rFonts w:ascii="Times New Roman" w:cs="Times New Roman" w:eastAsia="Times New Roman" w:hAnsi="Times New Roman"/>
          <w:sz w:val="20"/>
          <w:szCs w:val="20"/>
          <w:b w:val="1"/>
          <w:bCs w:val="1"/>
          <w:u w:val="single" w:color="auto"/>
          <w:color w:val="auto"/>
        </w:rPr>
        <w:t>Rights of First Refusal and Repurchase</w:t>
      </w:r>
      <w:r>
        <w:rPr>
          <w:rFonts w:ascii="Times New Roman" w:cs="Times New Roman" w:eastAsia="Times New Roman" w:hAnsi="Times New Roman"/>
          <w:sz w:val="20"/>
          <w:szCs w:val="20"/>
          <w:color w:val="auto"/>
        </w:rPr>
        <w:t>. At the discretion of the Committee, the Company may reserve to itself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its assignee(s) in the Award Agreement (a) a right of first refusal to purchase all Shares that a Participant (or a subsequent transferee) may propose to transfer to a third party, provided that such right of first refusal terminates upon the Company’s initial public offering of Common Stock pursuant to an effective registration statement filed under the Securities Act and (b) a right to repurchase Unvested Shares held by a Participant for cash and/or cancellation of purchase money indebtedness owed to the Company by the Participant following such Participant’s Termination at any time.</w:t>
      </w:r>
    </w:p>
    <w:p>
      <w:pPr>
        <w:spacing w:after="0" w:line="18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10.3 </w:t>
      </w:r>
      <w:r>
        <w:rPr>
          <w:rFonts w:ascii="Times New Roman" w:cs="Times New Roman" w:eastAsia="Times New Roman" w:hAnsi="Times New Roman"/>
          <w:sz w:val="20"/>
          <w:szCs w:val="20"/>
          <w:b w:val="1"/>
          <w:bCs w:val="1"/>
          <w:u w:val="single" w:color="auto"/>
          <w:color w:val="auto"/>
        </w:rPr>
        <w:t>Escrow; Pledge of Shares</w:t>
      </w:r>
      <w:r>
        <w:rPr>
          <w:rFonts w:ascii="Times New Roman" w:cs="Times New Roman" w:eastAsia="Times New Roman" w:hAnsi="Times New Roman"/>
          <w:sz w:val="20"/>
          <w:szCs w:val="20"/>
          <w:color w:val="auto"/>
        </w:rPr>
        <w:t>. To enforce any restrictions on a Participant’s Shares, the Committee may require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9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10.4 </w:t>
      </w:r>
      <w:r>
        <w:rPr>
          <w:rFonts w:ascii="Times New Roman" w:cs="Times New Roman" w:eastAsia="Times New Roman" w:hAnsi="Times New Roman"/>
          <w:sz w:val="20"/>
          <w:szCs w:val="20"/>
          <w:b w:val="1"/>
          <w:bCs w:val="1"/>
          <w:u w:val="single" w:color="auto"/>
          <w:color w:val="auto"/>
        </w:rPr>
        <w:t>Securities Law Restrictions</w:t>
      </w:r>
      <w:r>
        <w:rPr>
          <w:rFonts w:ascii="Times New Roman" w:cs="Times New Roman" w:eastAsia="Times New Roman" w:hAnsi="Times New Roman"/>
          <w:sz w:val="20"/>
          <w:szCs w:val="20"/>
          <w:color w:val="auto"/>
        </w:rPr>
        <w:t>. All certificates for Shares or other securities delivered under this Plan will be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stock transfer orders, legends and other restrictions as the</w:t>
      </w:r>
    </w:p>
    <w:p>
      <w:pPr>
        <w:sectPr>
          <w:pgSz w:w="11900" w:h="16838" w:orient="portrait"/>
          <w:cols w:equalWidth="0" w:num="1">
            <w:col w:w="11240"/>
          </w:cols>
          <w:pgMar w:left="320" w:top="1409" w:right="339" w:bottom="1440" w:gutter="0" w:footer="0" w:header="0"/>
        </w:sectPr>
      </w:pPr>
    </w:p>
    <w:bookmarkStart w:id="278" w:name="page279"/>
    <w:bookmarkEnd w:id="278"/>
    <w:p>
      <w:pPr>
        <w:jc w:val="both"/>
        <w:spacing w:after="0" w:line="261" w:lineRule="auto"/>
        <w:rPr>
          <w:sz w:val="20"/>
          <w:szCs w:val="20"/>
          <w:color w:val="auto"/>
        </w:rPr>
      </w:pPr>
      <w:r>
        <w:rPr>
          <w:rFonts w:ascii="Times New Roman" w:cs="Times New Roman" w:eastAsia="Times New Roman" w:hAnsi="Times New Roman"/>
          <w:sz w:val="20"/>
          <w:szCs w:val="20"/>
          <w:color w:val="auto"/>
        </w:rPr>
        <w:t>Committee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177" w:lineRule="exact"/>
        <w:rPr>
          <w:sz w:val="20"/>
          <w:szCs w:val="20"/>
          <w:color w:val="auto"/>
        </w:rPr>
      </w:pPr>
    </w:p>
    <w:p>
      <w:pPr>
        <w:ind w:left="1100" w:hanging="444"/>
        <w:spacing w:after="0"/>
        <w:tabs>
          <w:tab w:leader="none" w:pos="110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CORPORATE TRANSACTIONS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11.1 </w:t>
      </w:r>
      <w:r>
        <w:rPr>
          <w:rFonts w:ascii="Times New Roman" w:cs="Times New Roman" w:eastAsia="Times New Roman" w:hAnsi="Times New Roman"/>
          <w:sz w:val="20"/>
          <w:szCs w:val="20"/>
          <w:b w:val="1"/>
          <w:bCs w:val="1"/>
          <w:u w:val="single" w:color="auto"/>
          <w:color w:val="auto"/>
        </w:rPr>
        <w:t>Acquisitions or Other Combinations</w:t>
      </w:r>
      <w:r>
        <w:rPr>
          <w:rFonts w:ascii="Times New Roman" w:cs="Times New Roman" w:eastAsia="Times New Roman" w:hAnsi="Times New Roman"/>
          <w:sz w:val="20"/>
          <w:szCs w:val="20"/>
          <w:color w:val="auto"/>
        </w:rPr>
        <w:t>. In the event that the Company is subject to an Acquisition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Combination, outstanding Awards acquired under the Plan 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172" w:lineRule="exact"/>
        <w:rPr>
          <w:sz w:val="20"/>
          <w:szCs w:val="20"/>
          <w:color w:val="auto"/>
        </w:rPr>
      </w:pPr>
    </w:p>
    <w:p>
      <w:pPr>
        <w:ind w:left="3020" w:hanging="420"/>
        <w:spacing w:after="0"/>
        <w:tabs>
          <w:tab w:leader="none" w:pos="302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continuation of such outstanding Awards by the Company (if the Company is the successor entity).</w:t>
      </w:r>
    </w:p>
    <w:p>
      <w:pPr>
        <w:spacing w:after="0" w:line="240" w:lineRule="exact"/>
        <w:rPr>
          <w:rFonts w:ascii="Times New Roman" w:cs="Times New Roman" w:eastAsia="Times New Roman" w:hAnsi="Times New Roman"/>
          <w:sz w:val="19"/>
          <w:szCs w:val="19"/>
          <w:color w:val="auto"/>
        </w:rPr>
      </w:pPr>
    </w:p>
    <w:p>
      <w:pPr>
        <w:jc w:val="both"/>
        <w:ind w:firstLine="2600"/>
        <w:spacing w:after="0" w:line="264" w:lineRule="auto"/>
        <w:tabs>
          <w:tab w:leader="none" w:pos="3023"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Acquisition or Other Combination.</w:t>
      </w:r>
    </w:p>
    <w:p>
      <w:pPr>
        <w:spacing w:after="0" w:line="183" w:lineRule="exact"/>
        <w:rPr>
          <w:rFonts w:ascii="Times New Roman" w:cs="Times New Roman" w:eastAsia="Times New Roman" w:hAnsi="Times New Roman"/>
          <w:sz w:val="19"/>
          <w:szCs w:val="19"/>
          <w:color w:val="auto"/>
        </w:rPr>
      </w:pPr>
    </w:p>
    <w:p>
      <w:pPr>
        <w:jc w:val="both"/>
        <w:ind w:firstLine="2600"/>
        <w:spacing w:after="0" w:line="254" w:lineRule="auto"/>
        <w:tabs>
          <w:tab w:leader="none" w:pos="304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w:t>
      </w:r>
    </w:p>
    <w:p>
      <w:pPr>
        <w:spacing w:after="0" w:line="187"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 or partial exercisability or vesting and accelerated expiration of outstanding Awards.</w:t>
      </w:r>
    </w:p>
    <w:p>
      <w:pPr>
        <w:spacing w:after="0" w:line="229" w:lineRule="exact"/>
        <w:rPr>
          <w:rFonts w:ascii="Times New Roman" w:cs="Times New Roman" w:eastAsia="Times New Roman" w:hAnsi="Times New Roman"/>
          <w:sz w:val="20"/>
          <w:szCs w:val="20"/>
          <w:color w:val="auto"/>
        </w:rPr>
      </w:pPr>
    </w:p>
    <w:p>
      <w:pPr>
        <w:jc w:val="both"/>
        <w:ind w:right="20" w:firstLine="2600"/>
        <w:spacing w:after="0" w:line="281" w:lineRule="auto"/>
        <w:tabs>
          <w:tab w:leader="none" w:pos="3033"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without consideration if such</w:t>
      </w:r>
    </w:p>
    <w:p>
      <w:pPr>
        <w:sectPr>
          <w:pgSz w:w="11900" w:h="16838" w:orient="portrait"/>
          <w:cols w:equalWidth="0" w:num="1">
            <w:col w:w="11240"/>
          </w:cols>
          <w:pgMar w:left="320" w:top="1413" w:right="339" w:bottom="1440" w:gutter="0" w:footer="0" w:header="0"/>
        </w:sectPr>
      </w:pPr>
    </w:p>
    <w:bookmarkStart w:id="279" w:name="page280"/>
    <w:bookmarkEnd w:id="279"/>
    <w:p>
      <w:pPr>
        <w:jc w:val="both"/>
        <w:spacing w:after="0" w:line="253" w:lineRule="auto"/>
        <w:rPr>
          <w:sz w:val="20"/>
          <w:szCs w:val="20"/>
          <w:color w:val="auto"/>
        </w:rPr>
      </w:pPr>
      <w:r>
        <w:rPr>
          <w:rFonts w:ascii="Times New Roman" w:cs="Times New Roman" w:eastAsia="Times New Roman" w:hAnsi="Times New Roman"/>
          <w:sz w:val="20"/>
          <w:szCs w:val="20"/>
          <w:color w:val="auto"/>
        </w:rPr>
        <w:t>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pacing w:after="0" w:line="192" w:lineRule="exact"/>
        <w:rPr>
          <w:sz w:val="20"/>
          <w:szCs w:val="20"/>
          <w:color w:val="auto"/>
        </w:rPr>
      </w:pPr>
    </w:p>
    <w:p>
      <w:pPr>
        <w:jc w:val="both"/>
        <w:ind w:firstLine="2600"/>
        <w:spacing w:after="0" w:line="261" w:lineRule="auto"/>
        <w:tabs>
          <w:tab w:leader="none" w:pos="305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cancellation of outstanding Awards in exchange for no consideration. Immediately following an Acquisition or Other Combination, outstanding Awards shall terminate and cease to be outstanding, except to the extent such Awards, have been continued, assumed or substituted, as described in Sections 11.1(a), (b) and/or (c).</w:t>
      </w:r>
    </w:p>
    <w:p>
      <w:pPr>
        <w:spacing w:after="0" w:line="16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11.2 </w:t>
      </w:r>
      <w:r>
        <w:rPr>
          <w:rFonts w:ascii="Times New Roman" w:cs="Times New Roman" w:eastAsia="Times New Roman" w:hAnsi="Times New Roman"/>
          <w:sz w:val="20"/>
          <w:szCs w:val="20"/>
          <w:b w:val="1"/>
          <w:bCs w:val="1"/>
          <w:u w:val="single" w:color="auto"/>
          <w:color w:val="auto"/>
        </w:rPr>
        <w:t>Assumption of Awards by the Company</w:t>
      </w:r>
      <w:r>
        <w:rPr>
          <w:rFonts w:ascii="Times New Roman" w:cs="Times New Roman" w:eastAsia="Times New Roman" w:hAnsi="Times New Roman"/>
          <w:sz w:val="20"/>
          <w:szCs w:val="20"/>
          <w:color w:val="auto"/>
        </w:rPr>
        <w:t>. The Company, from time to time, also may substitute or assume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outstanding awards granted by another entity, whether in 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of the Code). In the event the Company elects to grant a new Option or SAR rather than assuming an existing option or stock appreciation right, such new Option or SAR may be granted with a similarly adjusted Exercise Price.</w:t>
      </w:r>
    </w:p>
    <w:p>
      <w:pPr>
        <w:spacing w:after="0" w:line="177" w:lineRule="exact"/>
        <w:rPr>
          <w:sz w:val="20"/>
          <w:szCs w:val="20"/>
          <w:color w:val="auto"/>
        </w:rPr>
      </w:pPr>
    </w:p>
    <w:p>
      <w:pPr>
        <w:ind w:left="1100" w:hanging="444"/>
        <w:spacing w:after="0"/>
        <w:tabs>
          <w:tab w:leader="none" w:pos="1100"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12.1 </w:t>
      </w:r>
      <w:r>
        <w:rPr>
          <w:rFonts w:ascii="Times New Roman" w:cs="Times New Roman" w:eastAsia="Times New Roman" w:hAnsi="Times New Roman"/>
          <w:sz w:val="20"/>
          <w:szCs w:val="20"/>
          <w:b w:val="1"/>
          <w:bCs w:val="1"/>
          <w:u w:val="single" w:color="auto"/>
          <w:color w:val="auto"/>
        </w:rPr>
        <w:t>Committee Authority</w:t>
      </w:r>
      <w:r>
        <w:rPr>
          <w:rFonts w:ascii="Times New Roman" w:cs="Times New Roman" w:eastAsia="Times New Roman" w:hAnsi="Times New Roman"/>
          <w:sz w:val="20"/>
          <w:szCs w:val="20"/>
          <w:color w:val="auto"/>
        </w:rPr>
        <w:t>. This Plan will be administered by the Committee or the Board if no Committee is created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Board. Subject to the general purposes, terms and conditions of this Plan, and to the direction of the Board, the Committee will have full power to implement and carry out this Plan. Without limitation, the Committee will have the authority to:</w:t>
      </w:r>
    </w:p>
    <w:p>
      <w:pPr>
        <w:spacing w:after="0" w:line="179" w:lineRule="exact"/>
        <w:rPr>
          <w:sz w:val="20"/>
          <w:szCs w:val="20"/>
          <w:color w:val="auto"/>
        </w:rPr>
      </w:pPr>
    </w:p>
    <w:p>
      <w:pPr>
        <w:ind w:left="3040" w:hanging="440"/>
        <w:spacing w:after="0"/>
        <w:tabs>
          <w:tab w:leader="none" w:pos="3040"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construe and interpret this Plan, any Award Agreement and any other agreement or document executed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this Plan;</w:t>
      </w:r>
    </w:p>
    <w:p>
      <w:pPr>
        <w:spacing w:after="0" w:line="207" w:lineRule="exact"/>
        <w:rPr>
          <w:sz w:val="20"/>
          <w:szCs w:val="20"/>
          <w:color w:val="auto"/>
        </w:rPr>
      </w:pPr>
    </w:p>
    <w:p>
      <w:pPr>
        <w:ind w:left="3020" w:hanging="420"/>
        <w:spacing w:after="0"/>
        <w:tabs>
          <w:tab w:leader="none" w:pos="302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prescribe, amend, expand, modify and rescind or terminate rules and regulations relating to this Plan;</w:t>
      </w:r>
    </w:p>
    <w:p>
      <w:pPr>
        <w:spacing w:after="0" w:line="215"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 persons to receive Awards;</w:t>
      </w:r>
    </w:p>
    <w:p>
      <w:pPr>
        <w:spacing w:after="0" w:line="229"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form and terms of Awards;</w:t>
      </w:r>
    </w:p>
    <w:p>
      <w:pPr>
        <w:spacing w:after="0" w:line="229"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Shares or other consideration subject to Awards granted under this Plan;</w:t>
      </w:r>
    </w:p>
    <w:p>
      <w:pPr>
        <w:sectPr>
          <w:pgSz w:w="11900" w:h="16838" w:orient="portrait"/>
          <w:cols w:equalWidth="0" w:num="1">
            <w:col w:w="11240"/>
          </w:cols>
          <w:pgMar w:left="320" w:top="1413" w:right="339" w:bottom="1440" w:gutter="0" w:footer="0" w:header="0"/>
        </w:sectPr>
      </w:pPr>
    </w:p>
    <w:bookmarkStart w:id="280" w:name="page281"/>
    <w:bookmarkEnd w:id="280"/>
    <w:p>
      <w:pPr>
        <w:ind w:firstLine="2600"/>
        <w:spacing w:after="0" w:line="283" w:lineRule="auto"/>
        <w:tabs>
          <w:tab w:leader="none" w:pos="303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46" w:lineRule="exact"/>
        <w:rPr>
          <w:rFonts w:ascii="Times New Roman" w:cs="Times New Roman" w:eastAsia="Times New Roman" w:hAnsi="Times New Roman"/>
          <w:sz w:val="20"/>
          <w:szCs w:val="20"/>
          <w:color w:val="auto"/>
        </w:rPr>
      </w:pPr>
    </w:p>
    <w:p>
      <w:pPr>
        <w:jc w:val="both"/>
        <w:ind w:firstLine="2600"/>
        <w:spacing w:after="0" w:line="261" w:lineRule="auto"/>
        <w:tabs>
          <w:tab w:leader="none" w:pos="3039"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81"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waivers of any conditions of this Plan or any Award;</w:t>
      </w:r>
    </w:p>
    <w:p>
      <w:pPr>
        <w:spacing w:after="0" w:line="229" w:lineRule="exact"/>
        <w:rPr>
          <w:rFonts w:ascii="Times New Roman" w:cs="Times New Roman" w:eastAsia="Times New Roman" w:hAnsi="Times New Roman"/>
          <w:sz w:val="20"/>
          <w:szCs w:val="20"/>
          <w:color w:val="auto"/>
        </w:rPr>
      </w:pPr>
    </w:p>
    <w:p>
      <w:pPr>
        <w:ind w:left="3060" w:hanging="460"/>
        <w:spacing w:after="0"/>
        <w:tabs>
          <w:tab w:leader="none" w:pos="306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terms of vesting, exercisability and payment of Awards to be granted pursuant to this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207" w:lineRule="exact"/>
        <w:rPr>
          <w:rFonts w:ascii="Times New Roman" w:cs="Times New Roman" w:eastAsia="Times New Roman" w:hAnsi="Times New Roman"/>
          <w:sz w:val="20"/>
          <w:szCs w:val="20"/>
          <w:color w:val="auto"/>
        </w:rPr>
      </w:pPr>
    </w:p>
    <w:p>
      <w:pPr>
        <w:ind w:firstLine="2600"/>
        <w:spacing w:after="0" w:line="269" w:lineRule="auto"/>
        <w:tabs>
          <w:tab w:leader="none" w:pos="304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any defect, supply any omission, or reconcile any inconsistency in this Plan, any Award, any Award Agreement, any Exercise Agreement or any Restricted Stock Purchase Agreement;</w:t>
      </w:r>
    </w:p>
    <w:p>
      <w:pPr>
        <w:spacing w:after="0" w:line="172"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an Award has been earned;</w:t>
      </w:r>
    </w:p>
    <w:p>
      <w:pPr>
        <w:spacing w:after="0" w:line="229" w:lineRule="exact"/>
        <w:rPr>
          <w:rFonts w:ascii="Times New Roman" w:cs="Times New Roman" w:eastAsia="Times New Roman" w:hAnsi="Times New Roman"/>
          <w:sz w:val="20"/>
          <w:szCs w:val="20"/>
          <w:color w:val="auto"/>
        </w:rPr>
      </w:pPr>
    </w:p>
    <w:p>
      <w:pPr>
        <w:ind w:left="2980" w:hanging="380"/>
        <w:spacing w:after="0"/>
        <w:tabs>
          <w:tab w:leader="none" w:pos="298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vesting period beyond a Participant’s Termination Date;</w:t>
      </w:r>
    </w:p>
    <w:p>
      <w:pPr>
        <w:spacing w:after="0" w:line="215" w:lineRule="exact"/>
        <w:rPr>
          <w:rFonts w:ascii="Times New Roman" w:cs="Times New Roman" w:eastAsia="Times New Roman" w:hAnsi="Times New Roman"/>
          <w:sz w:val="20"/>
          <w:szCs w:val="20"/>
          <w:color w:val="auto"/>
        </w:rPr>
      </w:pPr>
    </w:p>
    <w:p>
      <w:pPr>
        <w:ind w:firstLine="2600"/>
        <w:spacing w:after="0" w:line="283" w:lineRule="auto"/>
        <w:tabs>
          <w:tab w:leader="none" w:pos="3127"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rules and/or procedures (including the adoption of any subplan under this Plan) relating to the operation and administration of the Plan to accommodate requirements of local law and procedures outside of the United States;</w:t>
      </w:r>
    </w:p>
    <w:p>
      <w:pPr>
        <w:spacing w:after="0" w:line="146" w:lineRule="exact"/>
        <w:rPr>
          <w:rFonts w:ascii="Times New Roman" w:cs="Times New Roman" w:eastAsia="Times New Roman" w:hAnsi="Times New Roman"/>
          <w:sz w:val="20"/>
          <w:szCs w:val="20"/>
          <w:color w:val="auto"/>
        </w:rPr>
      </w:pPr>
    </w:p>
    <w:p>
      <w:pPr>
        <w:ind w:right="20" w:firstLine="2600"/>
        <w:spacing w:after="0" w:line="283" w:lineRule="auto"/>
        <w:tabs>
          <w:tab w:leader="none" w:pos="304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delegate any of the foregoing to a subcommittee consisting of one or more executive officers pursuant to a specific delegation as may otherwise be permitted by applicable law;</w:t>
      </w:r>
    </w:p>
    <w:p>
      <w:pPr>
        <w:spacing w:after="0" w:line="159" w:lineRule="exact"/>
        <w:rPr>
          <w:rFonts w:ascii="Times New Roman" w:cs="Times New Roman" w:eastAsia="Times New Roman" w:hAnsi="Times New Roman"/>
          <w:sz w:val="20"/>
          <w:szCs w:val="20"/>
          <w:color w:val="auto"/>
        </w:rPr>
      </w:pPr>
    </w:p>
    <w:p>
      <w:pPr>
        <w:jc w:val="both"/>
        <w:ind w:firstLine="2600"/>
        <w:spacing w:after="0" w:line="261" w:lineRule="auto"/>
        <w:tabs>
          <w:tab w:leader="none" w:pos="305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167"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all other determinations necessary or advisable in connection with the administration of this Plan.</w:t>
      </w:r>
    </w:p>
    <w:p>
      <w:pPr>
        <w:spacing w:after="0" w:line="23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12.2 </w:t>
      </w:r>
      <w:r>
        <w:rPr>
          <w:rFonts w:ascii="Times New Roman" w:cs="Times New Roman" w:eastAsia="Times New Roman" w:hAnsi="Times New Roman"/>
          <w:sz w:val="20"/>
          <w:szCs w:val="20"/>
          <w:b w:val="1"/>
          <w:bCs w:val="1"/>
          <w:u w:val="single" w:color="auto"/>
          <w:color w:val="auto"/>
        </w:rPr>
        <w:t>Committee Composition and Discretion</w:t>
      </w:r>
      <w:r>
        <w:rPr>
          <w:rFonts w:ascii="Times New Roman" w:cs="Times New Roman" w:eastAsia="Times New Roman" w:hAnsi="Times New Roman"/>
          <w:sz w:val="20"/>
          <w:szCs w:val="20"/>
          <w:color w:val="auto"/>
        </w:rPr>
        <w:t>. The Board may delegate full administrative authority over the Plan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Awards to a Committee consisting of at least one 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officers of the Company the authority to grant an Award under this Plan, provided that each such officer is a member of the Board.</w:t>
      </w:r>
    </w:p>
    <w:p>
      <w:pPr>
        <w:spacing w:after="0" w:line="186"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12.3 </w:t>
      </w:r>
      <w:r>
        <w:rPr>
          <w:rFonts w:ascii="Times New Roman" w:cs="Times New Roman" w:eastAsia="Times New Roman" w:hAnsi="Times New Roman"/>
          <w:sz w:val="20"/>
          <w:szCs w:val="20"/>
          <w:b w:val="1"/>
          <w:bCs w:val="1"/>
          <w:u w:val="single" w:color="auto"/>
          <w:color w:val="auto"/>
        </w:rPr>
        <w:t>Nonexclusivity of the Plan</w:t>
      </w:r>
      <w:r>
        <w:rPr>
          <w:rFonts w:ascii="Times New Roman" w:cs="Times New Roman" w:eastAsia="Times New Roman" w:hAnsi="Times New Roman"/>
          <w:sz w:val="20"/>
          <w:szCs w:val="20"/>
          <w:color w:val="auto"/>
        </w:rPr>
        <w:t>. Neither the adoption of this Plan by the Board, the submission of this Plan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of the Company for approval, nor any provision of this Plan</w:t>
      </w:r>
    </w:p>
    <w:p>
      <w:pPr>
        <w:sectPr>
          <w:pgSz w:w="11900" w:h="16838" w:orient="portrait"/>
          <w:cols w:equalWidth="0" w:num="1">
            <w:col w:w="11240"/>
          </w:cols>
          <w:pgMar w:left="320" w:top="1413" w:right="339" w:bottom="1440" w:gutter="0" w:footer="0" w:header="0"/>
        </w:sectPr>
      </w:pPr>
    </w:p>
    <w:bookmarkStart w:id="281" w:name="page282"/>
    <w:bookmarkEnd w:id="281"/>
    <w:p>
      <w:pPr>
        <w:jc w:val="both"/>
        <w:spacing w:after="0" w:line="261" w:lineRule="auto"/>
        <w:rPr>
          <w:sz w:val="20"/>
          <w:szCs w:val="20"/>
          <w:color w:val="auto"/>
        </w:rPr>
      </w:pPr>
      <w:r>
        <w:rPr>
          <w:rFonts w:ascii="Times New Roman" w:cs="Times New Roman" w:eastAsia="Times New Roman" w:hAnsi="Times New Roman"/>
          <w:sz w:val="20"/>
          <w:szCs w:val="20"/>
          <w:color w:val="auto"/>
        </w:rPr>
        <w:t>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177"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12.4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Plan and all agreements hereunder shall be governed by and construed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of the State of California, without giving effect to that body of laws pertaining to conflict of laws.</w:t>
      </w:r>
    </w:p>
    <w:p>
      <w:pPr>
        <w:spacing w:after="0" w:line="165" w:lineRule="exact"/>
        <w:rPr>
          <w:sz w:val="20"/>
          <w:szCs w:val="20"/>
          <w:color w:val="auto"/>
        </w:rPr>
      </w:pPr>
    </w:p>
    <w:p>
      <w:pPr>
        <w:ind w:left="1100" w:hanging="444"/>
        <w:spacing w:after="0"/>
        <w:tabs>
          <w:tab w:leader="none" w:pos="1100" w:val="left"/>
        </w:tabs>
        <w:numPr>
          <w:ilvl w:val="0"/>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EFFECTIVENESS, AMENDMENT AND TERMINATION OF THE PLAN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13.1 </w:t>
      </w:r>
      <w:r>
        <w:rPr>
          <w:rFonts w:ascii="Times New Roman" w:cs="Times New Roman" w:eastAsia="Times New Roman" w:hAnsi="Times New Roman"/>
          <w:sz w:val="20"/>
          <w:szCs w:val="20"/>
          <w:b w:val="1"/>
          <w:bCs w:val="1"/>
          <w:u w:val="single" w:color="auto"/>
          <w:color w:val="auto"/>
        </w:rPr>
        <w:t>Adoption and Stockholder Approval</w:t>
      </w:r>
      <w:r>
        <w:rPr>
          <w:rFonts w:ascii="Times New Roman" w:cs="Times New Roman" w:eastAsia="Times New Roman" w:hAnsi="Times New Roman"/>
          <w:sz w:val="20"/>
          <w:szCs w:val="20"/>
          <w:color w:val="auto"/>
        </w:rPr>
        <w:t>. This Plan will become effective on the date that it is adopted by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xml:space="preserve">”). This Plan will be approved by the stockholders of the Company (excluding Shares issued pursuant to this Plan), consistent with applicable laws, within twelve (12) months before or after the Effective Date. Upon the Effective Date, the Board may grant Awards pursuant to this Plan;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(a) no Option or SAR may be exercised prior to initial stockholder approval of this Plan; (b) no Option or SAR granted pursuant to an 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(d)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19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13.2 </w:t>
      </w:r>
      <w:r>
        <w:rPr>
          <w:rFonts w:ascii="Times New Roman" w:cs="Times New Roman" w:eastAsia="Times New Roman" w:hAnsi="Times New Roman"/>
          <w:sz w:val="20"/>
          <w:szCs w:val="20"/>
          <w:b w:val="1"/>
          <w:bCs w:val="1"/>
          <w:u w:val="single" w:color="auto"/>
          <w:color w:val="auto"/>
        </w:rPr>
        <w:t>Term of Plan</w:t>
      </w:r>
      <w:r>
        <w:rPr>
          <w:rFonts w:ascii="Times New Roman" w:cs="Times New Roman" w:eastAsia="Times New Roman" w:hAnsi="Times New Roman"/>
          <w:sz w:val="20"/>
          <w:szCs w:val="20"/>
          <w:color w:val="auto"/>
        </w:rPr>
        <w:t>. Unless earlier terminated as provided herein, this Plan will automatically terminate ten (10) years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later of (i) the Effective Date, or (ii) the most recent increase in the number of Shares reserved under Section 2 that was approved by stockholders.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13.3 </w:t>
      </w:r>
      <w:r>
        <w:rPr>
          <w:rFonts w:ascii="Times New Roman" w:cs="Times New Roman" w:eastAsia="Times New Roman" w:hAnsi="Times New Roman"/>
          <w:sz w:val="20"/>
          <w:szCs w:val="20"/>
          <w:b w:val="1"/>
          <w:bCs w:val="1"/>
          <w:u w:val="single" w:color="auto"/>
          <w:color w:val="auto"/>
        </w:rPr>
        <w:t>Amendment or Termination of Plan</w:t>
      </w:r>
      <w:r>
        <w:rPr>
          <w:rFonts w:ascii="Times New Roman" w:cs="Times New Roman" w:eastAsia="Times New Roman" w:hAnsi="Times New Roman"/>
          <w:sz w:val="20"/>
          <w:szCs w:val="20"/>
          <w:color w:val="auto"/>
        </w:rPr>
        <w:t>. Subject to Section 4.9 hereof, the Board may at any time (a) terminate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amend this Plan in any respect, including without limitation amendment of any form of Award Agreement or instrument to be executed pursuant to this Plan and (b) terminate any and all outstanding Options or SARs upon a dissolution or liquidation of the Company, followed by the payment of creditors and the distribution of any remaining funds to the Company’s stockholders;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the Board will not, without the approval of the stockholders of the Company, 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ectPr>
          <w:pgSz w:w="11900" w:h="16838" w:orient="portrait"/>
          <w:cols w:equalWidth="0" w:num="1">
            <w:col w:w="11240"/>
          </w:cols>
          <w:pgMar w:left="320" w:top="1413" w:right="339" w:bottom="1440" w:gutter="0" w:footer="0" w:header="0"/>
        </w:sectPr>
      </w:pPr>
    </w:p>
    <w:bookmarkStart w:id="282" w:name="page283"/>
    <w:bookmarkEnd w:id="282"/>
    <w:p>
      <w:pPr>
        <w:ind w:left="660" w:right="2100" w:hanging="4"/>
        <w:spacing w:after="0" w:line="474" w:lineRule="auto"/>
        <w:tabs>
          <w:tab w:leader="none" w:pos="1105"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For all purposes of this Plan, the following terms will have the following meanings.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Acquisition,</w:t>
      </w:r>
      <w:r>
        <w:rPr>
          <w:rFonts w:ascii="Times New Roman" w:cs="Times New Roman" w:eastAsia="Times New Roman" w:hAnsi="Times New Roman"/>
          <w:sz w:val="20"/>
          <w:szCs w:val="20"/>
          <w:color w:val="auto"/>
        </w:rPr>
        <w:t>” for purposes of Section 11, means:</w:t>
      </w:r>
    </w:p>
    <w:p>
      <w:pPr>
        <w:jc w:val="both"/>
        <w:ind w:firstLine="2600"/>
        <w:spacing w:after="0" w:line="253" w:lineRule="auto"/>
        <w:tabs>
          <w:tab w:leader="none" w:pos="3081"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192" w:lineRule="exact"/>
        <w:rPr>
          <w:rFonts w:ascii="Times New Roman" w:cs="Times New Roman" w:eastAsia="Times New Roman" w:hAnsi="Times New Roman"/>
          <w:sz w:val="20"/>
          <w:szCs w:val="20"/>
          <w:color w:val="auto"/>
        </w:rPr>
      </w:pPr>
    </w:p>
    <w:p>
      <w:pPr>
        <w:jc w:val="both"/>
        <w:ind w:firstLine="2600"/>
        <w:spacing w:after="0" w:line="270" w:lineRule="auto"/>
        <w:tabs>
          <w:tab w:leader="none" w:pos="3037" w:val="left"/>
        </w:tabs>
        <w:numPr>
          <w:ilvl w:val="1"/>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175" w:lineRule="exact"/>
        <w:rPr>
          <w:rFonts w:ascii="Times New Roman" w:cs="Times New Roman" w:eastAsia="Times New Roman" w:hAnsi="Times New Roman"/>
          <w:sz w:val="19"/>
          <w:szCs w:val="19"/>
          <w:color w:val="auto"/>
        </w:rPr>
      </w:pPr>
    </w:p>
    <w:p>
      <w:pPr>
        <w:jc w:val="both"/>
        <w:ind w:firstLine="2600"/>
        <w:spacing w:after="0" w:line="253" w:lineRule="auto"/>
        <w:tabs>
          <w:tab w:leader="none" w:pos="3047"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(an “</w:t>
      </w:r>
      <w:r>
        <w:rPr>
          <w:rFonts w:ascii="Times New Roman" w:cs="Times New Roman" w:eastAsia="Times New Roman" w:hAnsi="Times New Roman"/>
          <w:sz w:val="20"/>
          <w:szCs w:val="20"/>
          <w:b w:val="1"/>
          <w:bCs w:val="1"/>
          <w:i w:val="1"/>
          <w:iCs w:val="1"/>
          <w:color w:val="auto"/>
        </w:rPr>
        <w:t>Acquisition by Sale of Assets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of a specified person means a person that directly, or indirectly through one or more intermediaries, controls or is controlled by, or is under common control with, the person specified (where, for purposes of this definition, the term “</w:t>
      </w:r>
      <w:r>
        <w:rPr>
          <w:rFonts w:ascii="Times New Roman" w:cs="Times New Roman" w:eastAsia="Times New Roman" w:hAnsi="Times New Roman"/>
          <w:sz w:val="19"/>
          <w:szCs w:val="19"/>
          <w:b w:val="1"/>
          <w:bCs w:val="1"/>
          <w:i w:val="1"/>
          <w:iCs w:val="1"/>
          <w:color w:val="auto"/>
        </w:rPr>
        <w:t>control</w:t>
      </w:r>
      <w:r>
        <w:rPr>
          <w:rFonts w:ascii="Times New Roman" w:cs="Times New Roman" w:eastAsia="Times New Roman" w:hAnsi="Times New Roman"/>
          <w:sz w:val="19"/>
          <w:szCs w:val="19"/>
          <w:color w:val="auto"/>
        </w:rPr>
        <w:t xml:space="preserve">” (including the terms </w:t>
      </w:r>
      <w:r>
        <w:rPr>
          <w:rFonts w:ascii="Times New Roman" w:cs="Times New Roman" w:eastAsia="Times New Roman" w:hAnsi="Times New Roman"/>
          <w:sz w:val="19"/>
          <w:szCs w:val="19"/>
          <w:b w:val="1"/>
          <w:bCs w:val="1"/>
          <w:i w:val="1"/>
          <w:iCs w:val="1"/>
          <w:color w:val="auto"/>
        </w:rPr>
        <w:t>controlling, controlled by and under common control with</w:t>
      </w:r>
      <w:r>
        <w:rPr>
          <w:rFonts w:ascii="Times New Roman" w:cs="Times New Roman" w:eastAsia="Times New Roman" w:hAnsi="Times New Roman"/>
          <w:sz w:val="19"/>
          <w:szCs w:val="19"/>
          <w:color w:val="auto"/>
        </w:rPr>
        <w:t>) means the possession, direct or indirect, of the power to direct or cause the direction of the management and policies of a person, whether through the ownership of voting securities, by contract, or otherwise.</w:t>
      </w:r>
    </w:p>
    <w:p>
      <w:pPr>
        <w:spacing w:after="0" w:line="16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any award pursuant to the terms and conditions of this Plan, including any Option, Restricted Stock Unit, Stock Appreciation Right or Restricted Stock Award.</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with respect to each Award, the signed written or electronic agreement between the Company and the Participant setting forth the terms and conditions of the Award as approved by the Committee. For purposes of the Plan, the Award Agreement may be executed via written or electronic means.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means Termination because of (a) Participant’s unauthorized misuse of the Company or a Parent or Subsidiary of the Company’s trade secrets or proprietary information, (b) Participant’s</w:t>
      </w:r>
    </w:p>
    <w:p>
      <w:pPr>
        <w:sectPr>
          <w:pgSz w:w="11900" w:h="16838" w:orient="portrait"/>
          <w:cols w:equalWidth="0" w:num="1">
            <w:col w:w="11240"/>
          </w:cols>
          <w:pgMar w:left="320" w:top="1409" w:right="339" w:bottom="1440" w:gutter="0" w:footer="0" w:header="0"/>
        </w:sectPr>
      </w:pPr>
    </w:p>
    <w:bookmarkStart w:id="283" w:name="page284"/>
    <w:bookmarkEnd w:id="283"/>
    <w:p>
      <w:pPr>
        <w:jc w:val="both"/>
        <w:spacing w:after="0" w:line="258" w:lineRule="auto"/>
        <w:rPr>
          <w:sz w:val="20"/>
          <w:szCs w:val="20"/>
          <w:color w:val="auto"/>
        </w:rPr>
      </w:pPr>
      <w:r>
        <w:rPr>
          <w:rFonts w:ascii="Times New Roman" w:cs="Times New Roman" w:eastAsia="Times New Roman" w:hAnsi="Times New Roman"/>
          <w:sz w:val="20"/>
          <w:szCs w:val="20"/>
          <w:color w:val="auto"/>
        </w:rPr>
        <w:t>conviction of or plea of nolo contendere to a felony or a crime involving moral turpitude, (c) Participant’s committing an act of fraud against the Company or a Parent or Subsidiary of the Company or (d) Participant’s gross negligence or willful misconduct in the performance of his or her duties that has had or will have a material adverse effect on the Company or Parent or Subsidiary of the Company’ reputation or business.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the committee created and appointed by the Board to administer this Plan, or if no committee is created and appointed, the Board.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Navan, Inc., or any successor corporation.</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Exercise Price</w:t>
      </w:r>
      <w:r>
        <w:rPr>
          <w:rFonts w:ascii="Times New Roman" w:cs="Times New Roman" w:eastAsia="Times New Roman" w:hAnsi="Times New Roman"/>
          <w:sz w:val="20"/>
          <w:szCs w:val="20"/>
          <w:color w:val="auto"/>
        </w:rPr>
        <w:t>” means the price per Share at which a holder of an Option may purchase Shares issuable upon exercise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the value of a share of the Company’s Common Stock determined as follows:</w:t>
      </w:r>
    </w:p>
    <w:p>
      <w:pPr>
        <w:spacing w:after="0" w:line="233" w:lineRule="exact"/>
        <w:rPr>
          <w:sz w:val="20"/>
          <w:szCs w:val="20"/>
          <w:color w:val="auto"/>
        </w:rPr>
      </w:pPr>
    </w:p>
    <w:p>
      <w:pPr>
        <w:jc w:val="both"/>
        <w:ind w:firstLine="2600"/>
        <w:spacing w:after="0" w:line="261" w:lineRule="auto"/>
        <w:tabs>
          <w:tab w:leader="none" w:pos="3015"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Common Stock is then publicly traded on a national securities exchange, its closing price on the date of determination on the principal national securities exchange on which the Common Stock is listed or admitted to trading as reported in The Wall Street Journal;</w:t>
      </w:r>
    </w:p>
    <w:p>
      <w:pPr>
        <w:spacing w:after="0" w:line="181" w:lineRule="exact"/>
        <w:rPr>
          <w:rFonts w:ascii="Times New Roman" w:cs="Times New Roman" w:eastAsia="Times New Roman" w:hAnsi="Times New Roman"/>
          <w:sz w:val="20"/>
          <w:szCs w:val="20"/>
          <w:color w:val="auto"/>
        </w:rPr>
      </w:pPr>
    </w:p>
    <w:p>
      <w:pPr>
        <w:jc w:val="both"/>
        <w:ind w:firstLine="2600"/>
        <w:spacing w:after="0" w:line="261" w:lineRule="auto"/>
        <w:tabs>
          <w:tab w:leader="none" w:pos="3033"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Common Stock is publicly traded but is not listed or admitted to trading on a national securities exchange, the average of the closing bid and asked prices on the date of determination as reported by The Wall Street Journal (or, if not so reported, as otherwise reported by any newspaper or other source as the Committee may determine); or</w:t>
      </w:r>
    </w:p>
    <w:p>
      <w:pPr>
        <w:spacing w:after="0" w:line="167"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none of the foregoing is applicable to the valuation in question, by the Committee in good faith.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an award of an option to purchase Shares pursuant to Section 4 of this Plan.</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Combination</w:t>
      </w:r>
      <w:r>
        <w:rPr>
          <w:rFonts w:ascii="Times New Roman" w:cs="Times New Roman" w:eastAsia="Times New Roman" w:hAnsi="Times New Roman"/>
          <w:sz w:val="20"/>
          <w:szCs w:val="20"/>
          <w:color w:val="auto"/>
        </w:rPr>
        <w:t>” for purposes of Section 11 means any (a) consolidation or merger in which the Company is a constituent entity and is not the surviving entity of such consolidation or merger or (b) any conversion of the Company into another form of entity; provided that such consolidation, merger or conversion does not constitute an Acquisition.</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of a specified entity means, any entity that, either directly or indirectly, owns or controls such specified entity, where for this purpose, “</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means the ownership of stock, securities or other interests that possess at least a majority of the voting power of such specified entity (including indirect ownership or control of such stock, securities or other interests).</w:t>
      </w:r>
    </w:p>
    <w:p>
      <w:pPr>
        <w:sectPr>
          <w:pgSz w:w="11900" w:h="16838" w:orient="portrait"/>
          <w:cols w:equalWidth="0" w:num="1">
            <w:col w:w="11240"/>
          </w:cols>
          <w:pgMar w:left="320" w:top="1413" w:right="339" w:bottom="1440" w:gutter="0" w:footer="0" w:header="0"/>
        </w:sectPr>
      </w:pPr>
    </w:p>
    <w:bookmarkStart w:id="284" w:name="page285"/>
    <w:bookmarkEnd w:id="28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 person who receives an Award under this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2015 Equity Incentive Plan, as amended from time to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Price</w:t>
      </w:r>
      <w:r>
        <w:rPr>
          <w:rFonts w:ascii="Times New Roman" w:cs="Times New Roman" w:eastAsia="Times New Roman" w:hAnsi="Times New Roman"/>
          <w:sz w:val="20"/>
          <w:szCs w:val="20"/>
          <w:color w:val="auto"/>
        </w:rPr>
        <w:t>” means the price at which a Participant may purchase Restricted Stock pursuant to this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means Shares purchased pursuant to a Restricted Stock Award under this Plan.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Award</w:t>
      </w:r>
      <w:r>
        <w:rPr>
          <w:rFonts w:ascii="Times New Roman" w:cs="Times New Roman" w:eastAsia="Times New Roman" w:hAnsi="Times New Roman"/>
          <w:sz w:val="20"/>
          <w:szCs w:val="20"/>
          <w:color w:val="auto"/>
        </w:rPr>
        <w:t>” means an award of Shares pursuant to Section 5 hereof.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means an award made pursuant to Section 6 hereof.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701</w:t>
      </w:r>
      <w:r>
        <w:rPr>
          <w:rFonts w:ascii="Times New Roman" w:cs="Times New Roman" w:eastAsia="Times New Roman" w:hAnsi="Times New Roman"/>
          <w:sz w:val="20"/>
          <w:szCs w:val="20"/>
          <w:color w:val="auto"/>
        </w:rPr>
        <w:t>” means Rule 701 et seq. promulgated by the Commission under the Securities Act.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Securities and Exchange Commission.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25102(o)</w:t>
      </w:r>
      <w:r>
        <w:rPr>
          <w:rFonts w:ascii="Times New Roman" w:cs="Times New Roman" w:eastAsia="Times New Roman" w:hAnsi="Times New Roman"/>
          <w:sz w:val="20"/>
          <w:szCs w:val="20"/>
          <w:color w:val="auto"/>
        </w:rPr>
        <w:t>” means Section 25102(o) of the California Corporations Code.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means shares of the Company’s Common Stock reserved for issuance under this Plan, as adjusted pursuant to Sections 2.2 and 11 hereof, and any successor security.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SAR</w:t>
      </w:r>
      <w:r>
        <w:rPr>
          <w:rFonts w:ascii="Times New Roman" w:cs="Times New Roman" w:eastAsia="Times New Roman" w:hAnsi="Times New Roman"/>
          <w:sz w:val="20"/>
          <w:szCs w:val="20"/>
          <w:color w:val="auto"/>
        </w:rPr>
        <w:t>” means an award granted pursuant to Section 7 hereof.</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Termination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Terminated</w:t>
      </w:r>
      <w:r>
        <w:rPr>
          <w:rFonts w:ascii="Times New Roman" w:cs="Times New Roman" w:eastAsia="Times New Roman" w:hAnsi="Times New Roman"/>
          <w:sz w:val="20"/>
          <w:szCs w:val="20"/>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except that in no event may an Option be exercised after the expiration of the term set forth in the Stock Option Agreement. The Committee will have sole discretion to determine whether a Participant has ceased to provide services and the effective date on which the Participant ceased to provide services (the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Unvested Shares</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b w:val="1"/>
          <w:bCs w:val="1"/>
          <w:i w:val="1"/>
          <w:iCs w:val="1"/>
          <w:color w:val="auto"/>
        </w:rPr>
        <w:t>Unvested Shares</w:t>
      </w:r>
      <w:r>
        <w:rPr>
          <w:rFonts w:ascii="Times New Roman" w:cs="Times New Roman" w:eastAsia="Times New Roman" w:hAnsi="Times New Roman"/>
          <w:sz w:val="20"/>
          <w:szCs w:val="20"/>
          <w:color w:val="auto"/>
        </w:rPr>
        <w:t>” as defined in the Award Agreement for an Award.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Vested Shares</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b w:val="1"/>
          <w:bCs w:val="1"/>
          <w:i w:val="1"/>
          <w:iCs w:val="1"/>
          <w:color w:val="auto"/>
        </w:rPr>
        <w:t>Vested Shares</w:t>
      </w:r>
      <w:r>
        <w:rPr>
          <w:rFonts w:ascii="Times New Roman" w:cs="Times New Roman" w:eastAsia="Times New Roman" w:hAnsi="Times New Roman"/>
          <w:sz w:val="20"/>
          <w:szCs w:val="20"/>
          <w:color w:val="auto"/>
        </w:rPr>
        <w:t>” as defined in the Award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 * * * * * * *</w:t>
      </w:r>
    </w:p>
    <w:p>
      <w:pPr>
        <w:sectPr>
          <w:pgSz w:w="11900" w:h="16838" w:orient="portrait"/>
          <w:cols w:equalWidth="0" w:num="1">
            <w:col w:w="11240"/>
          </w:cols>
          <w:pgMar w:left="320" w:top="1409" w:right="339" w:bottom="1440" w:gutter="0" w:footer="0" w:header="0"/>
        </w:sectPr>
      </w:pPr>
    </w:p>
    <w:bookmarkStart w:id="285" w:name="page286"/>
    <w:bookmarkEnd w:id="285"/>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NOTICE OF RESTRICTED STOCK UNIT AWARD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Terms defined in the Company’s 2015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shall have the same meanings in this Global Notice of Restricted Stock Unit Award (“</w:t>
      </w:r>
      <w:r>
        <w:rPr>
          <w:rFonts w:ascii="Times New Roman" w:cs="Times New Roman" w:eastAsia="Times New Roman" w:hAnsi="Times New Roman"/>
          <w:sz w:val="20"/>
          <w:szCs w:val="20"/>
          <w:b w:val="1"/>
          <w:bCs w:val="1"/>
          <w:color w:val="auto"/>
        </w:rPr>
        <w:t>Notice of Grant</w:t>
      </w:r>
      <w:r>
        <w:rPr>
          <w:rFonts w:ascii="Times New Roman" w:cs="Times New Roman" w:eastAsia="Times New Roman" w:hAnsi="Times New Roman"/>
          <w:sz w:val="20"/>
          <w:szCs w:val="20"/>
          <w:color w:val="auto"/>
        </w:rPr>
        <w:t>”). Unless otherwise defined herein, the terms defined in the Plan shall have the same defined meanings in this Notice of Grant.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The Participant named below has been granted an award of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subject to the terms and conditions of the Plan and the attached Global Restricted Stock Unit Agreement, including any additional terms and conditions for Participants located outside the U.S. set forth in the addendum attached thereto (the “</w:t>
      </w:r>
      <w:r>
        <w:rPr>
          <w:rFonts w:ascii="Times New Roman" w:cs="Times New Roman" w:eastAsia="Times New Roman" w:hAnsi="Times New Roman"/>
          <w:sz w:val="20"/>
          <w:szCs w:val="20"/>
          <w:b w:val="1"/>
          <w:bCs w:val="1"/>
          <w:color w:val="auto"/>
        </w:rPr>
        <w:t>Addendum</w:t>
      </w:r>
      <w:r>
        <w:rPr>
          <w:rFonts w:ascii="Times New Roman" w:cs="Times New Roman" w:eastAsia="Times New Roman" w:hAnsi="Times New Roman"/>
          <w:sz w:val="20"/>
          <w:szCs w:val="20"/>
          <w:color w:val="auto"/>
        </w:rPr>
        <w:t>,” and, together with the Global Restricted Stock Unit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all of which are incorporated herein by reference, as follows: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 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Address: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Total Number of 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RSU Grant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Commencement Date:</w:t>
      </w:r>
    </w:p>
    <w:p>
      <w:pPr>
        <w:spacing w:after="0" w:line="22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The earlier to occur of: (a) the date on which settlement of all vested RSUs granted hereunder occurs and (b) the seventh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anniversary of the Grant Date.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hanging="652"/>
        <w:spacing w:after="0" w:line="263" w:lineRule="auto"/>
        <w:tabs>
          <w:tab w:leader="none" w:pos="443"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Two-Tiered Vesting</w:t>
      </w:r>
      <w:r>
        <w:rPr>
          <w:rFonts w:ascii="Times New Roman" w:cs="Times New Roman" w:eastAsia="Times New Roman" w:hAnsi="Times New Roman"/>
          <w:sz w:val="20"/>
          <w:szCs w:val="20"/>
          <w:color w:val="auto"/>
        </w:rPr>
        <w:t>. The vesting of the RSUs is conditioned on satisfaction of two vesting requirements before the Expiration Date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earlier termination of the RSUs pursuant to the Plan or the Agreement: a time- and service-based requirement (the “</w:t>
      </w:r>
      <w:r>
        <w:rPr>
          <w:rFonts w:ascii="Times New Roman" w:cs="Times New Roman" w:eastAsia="Times New Roman" w:hAnsi="Times New Roman"/>
          <w:sz w:val="20"/>
          <w:szCs w:val="20"/>
          <w:b w:val="1"/>
          <w:bCs w:val="1"/>
          <w:color w:val="auto"/>
        </w:rPr>
        <w:t>Service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Requirement</w:t>
      </w:r>
      <w:r>
        <w:rPr>
          <w:rFonts w:ascii="Times New Roman" w:cs="Times New Roman" w:eastAsia="Times New Roman" w:hAnsi="Times New Roman"/>
          <w:sz w:val="20"/>
          <w:szCs w:val="20"/>
          <w:color w:val="auto"/>
        </w:rPr>
        <w:t>”) and a liquidity-event requirement (the “</w:t>
      </w:r>
      <w:r>
        <w:rPr>
          <w:rFonts w:ascii="Times New Roman" w:cs="Times New Roman" w:eastAsia="Times New Roman" w:hAnsi="Times New Roman"/>
          <w:sz w:val="20"/>
          <w:szCs w:val="20"/>
          <w:b w:val="1"/>
          <w:bCs w:val="1"/>
          <w:color w:val="auto"/>
        </w:rPr>
        <w:t>Liquidity Event Requirement</w:t>
      </w:r>
      <w:r>
        <w:rPr>
          <w:rFonts w:ascii="Times New Roman" w:cs="Times New Roman" w:eastAsia="Times New Roman" w:hAnsi="Times New Roman"/>
          <w:sz w:val="20"/>
          <w:szCs w:val="20"/>
          <w:color w:val="auto"/>
        </w:rPr>
        <w:t>”), each as described below.</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78" w:lineRule="auto"/>
        <w:tabs>
          <w:tab w:leader="none" w:pos="2408" w:val="left"/>
        </w:tabs>
        <w:numPr>
          <w:ilvl w:val="2"/>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Service Requirement</w:t>
      </w:r>
      <w:r>
        <w:rPr>
          <w:rFonts w:ascii="Times New Roman" w:cs="Times New Roman" w:eastAsia="Times New Roman" w:hAnsi="Times New Roman"/>
          <w:sz w:val="19"/>
          <w:szCs w:val="19"/>
          <w:color w:val="auto"/>
        </w:rPr>
        <w:t>. For so long as Participant is in Continuous Service through each applicable date,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Time and Service Requirement will be satisfied as to (i) twenty-five percent (25%) of the Total Number of RSUs (as set forth above) subject to this award on the first anniversary of the Vesting Commencement Date, and (ii) an additional 1/16 of the Total Number of RSUs thereafter on each subsequent March 20, June 20, September 20 and December 20 (each, a “</w:t>
      </w:r>
      <w:r>
        <w:rPr>
          <w:rFonts w:ascii="Times New Roman" w:cs="Times New Roman" w:eastAsia="Times New Roman" w:hAnsi="Times New Roman"/>
          <w:sz w:val="19"/>
          <w:szCs w:val="19"/>
          <w:b w:val="1"/>
          <w:bCs w:val="1"/>
          <w:color w:val="auto"/>
        </w:rPr>
        <w:t>Quarterly Vesting Date</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color w:val="auto"/>
        </w:rPr>
      </w:pPr>
    </w:p>
    <w:p>
      <w:pPr>
        <w:ind w:left="2420" w:hanging="468"/>
        <w:spacing w:after="0"/>
        <w:tabs>
          <w:tab w:leader="none" w:pos="2420" w:val="left"/>
        </w:tabs>
        <w:numPr>
          <w:ilvl w:val="2"/>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Liquidity Event Requirement. </w:t>
      </w:r>
      <w:r>
        <w:rPr>
          <w:rFonts w:ascii="Times New Roman" w:cs="Times New Roman" w:eastAsia="Times New Roman" w:hAnsi="Times New Roman"/>
          <w:sz w:val="20"/>
          <w:szCs w:val="20"/>
          <w:color w:val="auto"/>
        </w:rPr>
        <w:t>The Liquidity Event Requirement will be satisfied on the earliest to occur of:</w:t>
      </w:r>
    </w:p>
    <w:p>
      <w:pPr>
        <w:spacing w:after="0" w:line="25"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that is the earlier of (1) six (6) months after the effective date of the initial public offering of the Company’s Common</w:t>
      </w:r>
    </w:p>
    <w:p>
      <w:pPr>
        <w:spacing w:after="0" w:line="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Stock pursuant to an effective registration statement filed under the Securities Act (the “</w:t>
      </w:r>
      <w:r>
        <w:rPr>
          <w:rFonts w:ascii="Times New Roman" w:cs="Times New Roman" w:eastAsia="Times New Roman" w:hAnsi="Times New Roman"/>
          <w:sz w:val="20"/>
          <w:szCs w:val="20"/>
          <w:b w:val="1"/>
          <w:bCs w:val="1"/>
          <w:i w:val="1"/>
          <w:iCs w:val="1"/>
          <w:color w:val="auto"/>
        </w:rPr>
        <w:t>IPO</w:t>
      </w:r>
      <w:r>
        <w:rPr>
          <w:rFonts w:ascii="Times New Roman" w:cs="Times New Roman" w:eastAsia="Times New Roman" w:hAnsi="Times New Roman"/>
          <w:sz w:val="20"/>
          <w:szCs w:val="20"/>
          <w:color w:val="auto"/>
        </w:rPr>
        <w:t>”) (provided that the IPO occurs by the seventh year anniversary of the RSU Grant Date) and (2) March 15 of the calendar year following the year in which the IPO was declared effective (provided that such date occurs by the seventh year anniversary of the grant date); (ii) the date of an Acquisition or Other</w:t>
      </w:r>
    </w:p>
    <w:p>
      <w:pPr>
        <w:sectPr>
          <w:pgSz w:w="11900" w:h="16838" w:orient="portrait"/>
          <w:cols w:equalWidth="0" w:num="1">
            <w:col w:w="11240"/>
          </w:cols>
          <w:pgMar w:left="320" w:top="1440" w:right="339" w:bottom="1440" w:gutter="0" w:footer="0" w:header="0"/>
        </w:sectPr>
      </w:pPr>
    </w:p>
    <w:bookmarkStart w:id="286" w:name="page287"/>
    <w:bookmarkEnd w:id="286"/>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Combination (as such terms are defined in the Plan), but only if constituting a permissible payment event as a change in ownership, effective control, or sale of substantially all of the assets, as provided under Section 409A (provided that such date occurs by the seventh year anniversary of the RSU Grant Date) (the earliest of the prong (i) or (ii) to occur, the “</w:t>
      </w:r>
      <w:r>
        <w:rPr>
          <w:rFonts w:ascii="Times New Roman" w:cs="Times New Roman" w:eastAsia="Times New Roman" w:hAnsi="Times New Roman"/>
          <w:sz w:val="20"/>
          <w:szCs w:val="20"/>
          <w:b w:val="1"/>
          <w:bCs w:val="1"/>
          <w:color w:val="auto"/>
        </w:rPr>
        <w:t>Initial Vesting Event</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660" w:firstLine="1292"/>
        <w:spacing w:after="0" w:line="253" w:lineRule="auto"/>
        <w:tabs>
          <w:tab w:leader="none" w:pos="2465"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RSUs Vested at Initial Vesting Event</w:t>
      </w:r>
      <w:r>
        <w:rPr>
          <w:rFonts w:ascii="Times New Roman" w:cs="Times New Roman" w:eastAsia="Times New Roman" w:hAnsi="Times New Roman"/>
          <w:sz w:val="20"/>
          <w:szCs w:val="20"/>
          <w:color w:val="auto"/>
        </w:rPr>
        <w:t>. If at the time of the Initial Vesting Event Participant is not providing service to the Company or a Parent or Subsidiary of the Company and did not meet the Time and Service Requirement with respect to any portion of the RSUs, then no portion of the RSUs shall vest. If at the time of the Initial Vesting Event, Participant is in service or has ceased to be in service but did meet the Time and Service Requirement with respect to any portion of the RSUs, then the RSUs shall vest as to the number of RSUs, if any, that have satisfied the Time and Service Requirement as of the Initial Vesting Event in accordance with clause (a)(i) above.</w:t>
      </w:r>
    </w:p>
    <w:p>
      <w:pPr>
        <w:spacing w:after="0" w:line="178" w:lineRule="exact"/>
        <w:rPr>
          <w:rFonts w:ascii="Times New Roman" w:cs="Times New Roman" w:eastAsia="Times New Roman" w:hAnsi="Times New Roman"/>
          <w:sz w:val="20"/>
          <w:szCs w:val="20"/>
          <w:color w:val="auto"/>
        </w:rPr>
      </w:pPr>
    </w:p>
    <w:p>
      <w:pPr>
        <w:jc w:val="both"/>
        <w:ind w:left="660" w:firstLine="1292"/>
        <w:spacing w:after="0" w:line="258" w:lineRule="auto"/>
        <w:tabs>
          <w:tab w:leader="none" w:pos="2387"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RSUs Vested after Initial Vesting Event</w:t>
      </w:r>
      <w:r>
        <w:rPr>
          <w:rFonts w:ascii="Times New Roman" w:cs="Times New Roman" w:eastAsia="Times New Roman" w:hAnsi="Times New Roman"/>
          <w:sz w:val="20"/>
          <w:szCs w:val="20"/>
          <w:color w:val="auto"/>
        </w:rPr>
        <w:t>. If Participant is in service at the time of the Initial Vesting Event, then with respect to RSUs that have not vested as of such Initial Vesting Event under the preceding clause (b) above, vesting shall continue after the Initial Vesting Event in accordance with the Time and Service Requirement set forth in clause (a)(i) above (each subsequent vesting date, a “</w:t>
      </w:r>
      <w:r>
        <w:rPr>
          <w:rFonts w:ascii="Times New Roman" w:cs="Times New Roman" w:eastAsia="Times New Roman" w:hAnsi="Times New Roman"/>
          <w:sz w:val="20"/>
          <w:szCs w:val="20"/>
          <w:b w:val="1"/>
          <w:bCs w:val="1"/>
          <w:color w:val="auto"/>
        </w:rPr>
        <w:t>Subsequent Vesting Event</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Continuous Service</w:t>
      </w:r>
      <w:r>
        <w:rPr>
          <w:rFonts w:ascii="Times New Roman" w:cs="Times New Roman" w:eastAsia="Times New Roman" w:hAnsi="Times New Roman"/>
          <w:sz w:val="20"/>
          <w:szCs w:val="20"/>
          <w:color w:val="auto"/>
        </w:rPr>
        <w:t>” means Participant continues to provide services as an employee, officer, director or consultant to the Company or a Subsidiary or Parent of the Company.</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Settlement</w:t>
      </w:r>
      <w:r>
        <w:rPr>
          <w:rFonts w:ascii="Times New Roman" w:cs="Times New Roman" w:eastAsia="Times New Roman" w:hAnsi="Times New Roman"/>
          <w:sz w:val="20"/>
          <w:szCs w:val="20"/>
          <w:color w:val="auto"/>
        </w:rPr>
        <w:t>: Vested RSUs shall be settled no later than March 15 of the calendar year following the calendar year in which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Vesting Event occurs or, if later, at such time as may be permitted under 1.409A-1(b)(4) as a “short-term deferral.” Settlement means the delivery of the Shares vested under an RSU. Settlement of RSUs on any Vesting Event shall be in Shares. Settlement of vested RSUs shall occur whether or not Participant is in Continuous Service at the time of settlement. No fractional RSUs or rights for fractional Shares shall be created pursuant to this Notice of Grant.</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To the extent permissible under applicable law, Participant understands that Participant’s employment or consulting relationship with the Company or any Parent or Subsidiary of the Company is for an unspecified duration, can be terminated at any time (i.e., is “at-will”) and that nothing in this Notice of Grant, the Agreement or the Plan changes the at-will nature of that relationship, as applicable. Participant acknowledges that the vesting of the RSUs pursuant to this Notice of Grant is conditioned on the occurrence of an Initial Vesting Event or a Subsequent Vesting Event. Participant also understands that this Notice of Grant is subject to the terms and conditions of both the Agreement and the Plan, each of which are incorporated herein by reference. Participant has read both the Agreement and the Plan.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By Participant’s acceptance hereof (whether written, electronic or otherwise), Participant agrees, to the fullest extent permitted by law, that in lieu of receiving documents in paper format, Participant accepts the electronic delivery of any documents the Company, or any third party involved in administering the Plan which the Company may designate, may deliver in connection with this grant (including the Plan, the Notice of Grant, this Agreement, any disclosures provided pursuant to Rule 701, account statements or other communications or information) whether via the Company’s intranet or the internet site of another third party or via email, or other means of electronic delivery specified by the Company.</w:t>
      </w:r>
    </w:p>
    <w:p>
      <w:pPr>
        <w:sectPr>
          <w:pgSz w:w="11900" w:h="16838" w:orient="portrait"/>
          <w:cols w:equalWidth="0" w:num="1">
            <w:col w:w="11240"/>
          </w:cols>
          <w:pgMar w:left="320" w:top="1413" w:right="339" w:bottom="1440" w:gutter="0" w:footer="0" w:header="0"/>
        </w:sectPr>
      </w:pPr>
    </w:p>
    <w:bookmarkStart w:id="287" w:name="page288"/>
    <w:bookmarkEnd w:id="287"/>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By Participant’s and the Company’s acceptance hereof (in each case, whether written, electronic or otherwise), Participant and the Company agree that this RSU is granted under and governed by the terms and conditions of the Plan, the Notice of Grant and the Agreement, which are attached to and made a part of this Notice of Grant. Participant acknowledges that there may be adverse tax consequences as a result of the RSUs (including upon grant or settlement of the RSUs or disposition of the Shares) and that Participant should consult a tax adviser qualified in the countries in which Participant is subject to taxation generally about the taxation of the RSUs. Participant agrees and acknowledges that the vesting schedule may change prospectively in the event that Participant’s service status changes between full and part-time status in accordance with any applicable Company policies relating to work schedules and vesting of equity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Navan, Inc.</w:t>
            </w:r>
          </w:p>
        </w:tc>
        <w:tc>
          <w:tcPr>
            <w:tcW w:w="2660" w:type="dxa"/>
            <w:vAlign w:val="bottom"/>
          </w:tcPr>
          <w:p>
            <w:pPr>
              <w:spacing w:after="0"/>
              <w:rPr>
                <w:sz w:val="22"/>
                <w:szCs w:val="22"/>
                <w:color w:val="auto"/>
              </w:rPr>
            </w:pPr>
          </w:p>
        </w:tc>
      </w:tr>
      <w:tr>
        <w:trPr>
          <w:trHeight w:val="503"/>
        </w:trPr>
        <w:tc>
          <w:tcPr>
            <w:tcW w:w="242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By/Signature:</w:t>
            </w:r>
          </w:p>
        </w:tc>
        <w:tc>
          <w:tcPr>
            <w:tcW w:w="2820" w:type="dxa"/>
            <w:vAlign w:val="bottom"/>
            <w:tcBorders>
              <w:bottom w:val="single" w:sz="8" w:color="auto"/>
            </w:tcBorders>
          </w:tcPr>
          <w:p>
            <w:pPr>
              <w:spacing w:after="0"/>
              <w:rPr>
                <w:sz w:val="24"/>
                <w:szCs w:val="24"/>
                <w:color w:val="auto"/>
              </w:rPr>
            </w:pPr>
          </w:p>
        </w:tc>
        <w:tc>
          <w:tcPr>
            <w:tcW w:w="266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7"/>
              </w:rPr>
              <w:t>Participant’s Signature:</w:t>
            </w:r>
          </w:p>
        </w:tc>
      </w:tr>
      <w:tr>
        <w:trPr>
          <w:trHeight w:val="507"/>
        </w:trPr>
        <w:tc>
          <w:tcPr>
            <w:tcW w:w="242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Typed Name:</w:t>
            </w:r>
          </w:p>
        </w:tc>
        <w:tc>
          <w:tcPr>
            <w:tcW w:w="2820" w:type="dxa"/>
            <w:vAlign w:val="bottom"/>
            <w:tcBorders>
              <w:bottom w:val="single" w:sz="8" w:color="auto"/>
            </w:tcBorders>
          </w:tcPr>
          <w:p>
            <w:pPr>
              <w:spacing w:after="0"/>
              <w:rPr>
                <w:sz w:val="24"/>
                <w:szCs w:val="24"/>
                <w:color w:val="auto"/>
              </w:rPr>
            </w:pPr>
          </w:p>
        </w:tc>
        <w:tc>
          <w:tcPr>
            <w:tcW w:w="266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Participant’s Name:</w:t>
            </w:r>
          </w:p>
        </w:tc>
      </w:tr>
      <w:tr>
        <w:trPr>
          <w:trHeight w:val="507"/>
        </w:trPr>
        <w:tc>
          <w:tcPr>
            <w:tcW w:w="15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Title:</w:t>
            </w:r>
          </w:p>
        </w:tc>
        <w:tc>
          <w:tcPr>
            <w:tcW w:w="3740" w:type="dxa"/>
            <w:vAlign w:val="bottom"/>
            <w:tcBorders>
              <w:bottom w:val="single" w:sz="8" w:color="auto"/>
            </w:tcBorders>
            <w:gridSpan w:val="2"/>
          </w:tcPr>
          <w:p>
            <w:pPr>
              <w:spacing w:after="0"/>
              <w:rPr>
                <w:sz w:val="24"/>
                <w:szCs w:val="24"/>
                <w:color w:val="auto"/>
              </w:rPr>
            </w:pPr>
          </w:p>
        </w:tc>
        <w:tc>
          <w:tcPr>
            <w:tcW w:w="2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-342265</wp:posOffset>
            </wp:positionV>
            <wp:extent cx="18859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8595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-676910</wp:posOffset>
            </wp:positionV>
            <wp:extent cx="16459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Exhibit A – Global Restricted Stock Unit Agreement (including Addendum)</w:t>
      </w:r>
    </w:p>
    <w:p>
      <w:pPr>
        <w:sectPr>
          <w:pgSz w:w="11900" w:h="16838" w:orient="portrait"/>
          <w:cols w:equalWidth="0" w:num="1">
            <w:col w:w="11240"/>
          </w:cols>
          <w:pgMar w:left="320" w:top="1413" w:right="339" w:bottom="1440" w:gutter="0" w:footer="0" w:header="0"/>
        </w:sectPr>
      </w:pPr>
    </w:p>
    <w:bookmarkStart w:id="288" w:name="page289"/>
    <w:bookmarkEnd w:id="288"/>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Global Restricted Stock Unit Agreement</w:t>
      </w:r>
    </w:p>
    <w:p>
      <w:pPr>
        <w:sectPr>
          <w:pgSz w:w="11900" w:h="16838" w:orient="portrait"/>
          <w:cols w:equalWidth="0" w:num="1">
            <w:col w:w="9019"/>
          </w:cols>
          <w:pgMar w:left="1440" w:top="1440" w:right="1440" w:bottom="1440" w:gutter="0" w:footer="0" w:header="0"/>
        </w:sectPr>
      </w:pPr>
    </w:p>
    <w:bookmarkStart w:id="289" w:name="page290"/>
    <w:bookmarkEnd w:id="289"/>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GLOBAL RESTRICTED STOCK UNIT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NAVAN,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2015 EQUITY INCENTIVE PLAN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Participant has been granted RSUs subject to the terms, restrictions and conditions of the Company’s 2015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the Global Notice of Restricted Stock Unit Award (“</w:t>
      </w:r>
      <w:r>
        <w:rPr>
          <w:rFonts w:ascii="Times New Roman" w:cs="Times New Roman" w:eastAsia="Times New Roman" w:hAnsi="Times New Roman"/>
          <w:sz w:val="20"/>
          <w:szCs w:val="20"/>
          <w:b w:val="1"/>
          <w:bCs w:val="1"/>
          <w:color w:val="auto"/>
        </w:rPr>
        <w:t>Notice of Grant</w:t>
      </w:r>
      <w:r>
        <w:rPr>
          <w:rFonts w:ascii="Times New Roman" w:cs="Times New Roman" w:eastAsia="Times New Roman" w:hAnsi="Times New Roman"/>
          <w:sz w:val="20"/>
          <w:szCs w:val="20"/>
          <w:color w:val="auto"/>
        </w:rPr>
        <w:t>”) and this Global Restricted Stock Unit Agreement, including any additional terms and conditions for Participants located outside the U.S. set forth in the addendum attached hereto (the “</w:t>
      </w:r>
      <w:r>
        <w:rPr>
          <w:rFonts w:ascii="Times New Roman" w:cs="Times New Roman" w:eastAsia="Times New Roman" w:hAnsi="Times New Roman"/>
          <w:sz w:val="20"/>
          <w:szCs w:val="20"/>
          <w:b w:val="1"/>
          <w:bCs w:val="1"/>
          <w:color w:val="auto"/>
        </w:rPr>
        <w:t>Addendum</w:t>
      </w:r>
      <w:r>
        <w:rPr>
          <w:rFonts w:ascii="Times New Roman" w:cs="Times New Roman" w:eastAsia="Times New Roman" w:hAnsi="Times New Roman"/>
          <w:sz w:val="20"/>
          <w:szCs w:val="20"/>
          <w:color w:val="auto"/>
        </w:rPr>
        <w:t>” and, together with this Global Restricted Stock Unit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Unless otherwise defined herein or in the Notice of Grant, the terms defined in the Plan shall have the same defined meanings in this Agreement.</w:t>
      </w:r>
    </w:p>
    <w:p>
      <w:pPr>
        <w:spacing w:after="0" w:line="188" w:lineRule="exact"/>
        <w:rPr>
          <w:sz w:val="20"/>
          <w:szCs w:val="20"/>
          <w:color w:val="auto"/>
        </w:rPr>
      </w:pPr>
    </w:p>
    <w:p>
      <w:pPr>
        <w:jc w:val="both"/>
        <w:ind w:firstLine="8"/>
        <w:spacing w:after="0" w:line="260" w:lineRule="auto"/>
        <w:tabs>
          <w:tab w:leader="none" w:pos="495"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STOCKHOLDER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Until such time as Shares are issued in settlement of vested RSUs, Participant shall have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ownership of the Shares allocated to the RSUs and shall have no right to dividends or to vote such Shares. As a condition to the issuance of any Shares in settlement of vested RSUs, Participant agrees to enter into a joinder to be bound by any stockholders’ agreement by and between the Company and its stockholders in force from time to time.</w:t>
      </w:r>
    </w:p>
    <w:p>
      <w:pPr>
        <w:spacing w:after="0" w:line="164" w:lineRule="exact"/>
        <w:rPr>
          <w:rFonts w:ascii="Times New Roman" w:cs="Times New Roman" w:eastAsia="Times New Roman" w:hAnsi="Times New Roman"/>
          <w:sz w:val="20"/>
          <w:szCs w:val="20"/>
          <w:b w:val="1"/>
          <w:bCs w:val="1"/>
          <w:color w:val="auto"/>
        </w:rPr>
      </w:pPr>
    </w:p>
    <w:p>
      <w:pPr>
        <w:ind w:right="20" w:firstLine="8"/>
        <w:spacing w:after="0" w:line="287" w:lineRule="auto"/>
        <w:tabs>
          <w:tab w:leader="none" w:pos="360"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DIVIDEND EQUIVALENTS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 equivalents, if any, shall not be credited to Participant in respect of Participant’s RSUs, except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otherwise permitted by the Committee.</w:t>
      </w:r>
    </w:p>
    <w:p>
      <w:pPr>
        <w:spacing w:after="0" w:line="138" w:lineRule="exact"/>
        <w:rPr>
          <w:rFonts w:ascii="Times New Roman" w:cs="Times New Roman" w:eastAsia="Times New Roman" w:hAnsi="Times New Roman"/>
          <w:sz w:val="20"/>
          <w:szCs w:val="20"/>
          <w:b w:val="1"/>
          <w:bCs w:val="1"/>
          <w:color w:val="auto"/>
        </w:rPr>
      </w:pPr>
    </w:p>
    <w:p>
      <w:pPr>
        <w:jc w:val="both"/>
        <w:ind w:firstLine="8"/>
        <w:spacing w:after="0" w:line="260" w:lineRule="auto"/>
        <w:tabs>
          <w:tab w:leader="none" w:pos="468"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RSUs and any interest therein shall not be sold, assigned, transferred, pledged, hypothecated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disposed of, other than by will or by the laws of descent and distribution. Any transferee who receives an interest in the RSU or the underlying Shares upon the death of Participant shall acknowledge in writing that the RSU shall continue to be subject to the restrictions set forth in this Section 3.</w:t>
      </w:r>
    </w:p>
    <w:p>
      <w:pPr>
        <w:spacing w:after="0" w:line="181" w:lineRule="exact"/>
        <w:rPr>
          <w:rFonts w:ascii="Times New Roman" w:cs="Times New Roman" w:eastAsia="Times New Roman" w:hAnsi="Times New Roman"/>
          <w:sz w:val="20"/>
          <w:szCs w:val="20"/>
          <w:b w:val="1"/>
          <w:bCs w:val="1"/>
          <w:color w:val="auto"/>
        </w:rPr>
      </w:pPr>
    </w:p>
    <w:p>
      <w:pPr>
        <w:jc w:val="both"/>
        <w:ind w:firstLine="656"/>
        <w:spacing w:after="0" w:line="261" w:lineRule="auto"/>
        <w:tabs>
          <w:tab w:leader="none" w:pos="1103" w:val="left"/>
        </w:tabs>
        <w:numPr>
          <w:ilvl w:val="1"/>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RSUs that vest in accordance with the Vesting Schedule in the Notice of Grant will be paid to Participant (or in the event of Participant’s death, to his or her estate) in whole Shares, subject to Participant satisfying any Tax-Related Obligations as defined and as set forth in Section 8.</w:t>
      </w:r>
    </w:p>
    <w:p>
      <w:pPr>
        <w:spacing w:after="0" w:line="167" w:lineRule="exact"/>
        <w:rPr>
          <w:rFonts w:ascii="Times New Roman" w:cs="Times New Roman" w:eastAsia="Times New Roman" w:hAnsi="Times New Roman"/>
          <w:sz w:val="20"/>
          <w:szCs w:val="20"/>
          <w:b w:val="1"/>
          <w:bCs w:val="1"/>
          <w:color w:val="auto"/>
        </w:rPr>
      </w:pPr>
    </w:p>
    <w:p>
      <w:pPr>
        <w:jc w:val="both"/>
        <w:ind w:firstLine="656"/>
        <w:spacing w:after="0" w:line="267" w:lineRule="auto"/>
        <w:tabs>
          <w:tab w:leader="none" w:pos="1088" w:val="left"/>
        </w:tabs>
        <w:numPr>
          <w:ilvl w:val="1"/>
          <w:numId w:val="1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u w:val="single" w:color="auto"/>
          <w:color w:val="auto"/>
        </w:rPr>
        <w:t>Death of Participant</w:t>
      </w:r>
      <w:r>
        <w:rPr>
          <w:rFonts w:ascii="Times New Roman" w:cs="Times New Roman" w:eastAsia="Times New Roman" w:hAnsi="Times New Roman"/>
          <w:sz w:val="19"/>
          <w:szCs w:val="19"/>
          <w:color w:val="auto"/>
        </w:rPr>
        <w:t>. Any distribution or delivery to be made to Participant under this RSU Agreement will, if Participant was a U.S. resident and is then deceased, be made to the administrator or executor of Participant’s estate. Any distribution or delivery to be made to Participant under this RSU Agreement will, if Participant was not a U.S. resident and is then deceased, be made to the administrator or executor of Participant’s estate. Any such transferee must furnish the Company with (a) written notice of his or her status as transferee, and</w:t>
      </w:r>
    </w:p>
    <w:p>
      <w:pPr>
        <w:spacing w:after="0" w:line="1" w:lineRule="exact"/>
        <w:rPr>
          <w:rFonts w:ascii="Times New Roman" w:cs="Times New Roman" w:eastAsia="Times New Roman" w:hAnsi="Times New Roman"/>
          <w:sz w:val="19"/>
          <w:szCs w:val="19"/>
          <w:b w:val="1"/>
          <w:bCs w:val="1"/>
          <w:color w:val="auto"/>
        </w:rPr>
      </w:pPr>
    </w:p>
    <w:p>
      <w:pPr>
        <w:ind w:right="20"/>
        <w:spacing w:after="0" w:line="253"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(b) evidence satisfactory to the Company to establish the validity of the transfer and compliance with any laws or regulations pertaining to said transfer.</w:t>
      </w:r>
    </w:p>
    <w:p>
      <w:pPr>
        <w:spacing w:after="0" w:line="184" w:lineRule="exact"/>
        <w:rPr>
          <w:rFonts w:ascii="Times New Roman" w:cs="Times New Roman" w:eastAsia="Times New Roman" w:hAnsi="Times New Roman"/>
          <w:sz w:val="19"/>
          <w:szCs w:val="19"/>
          <w:b w:val="1"/>
          <w:bCs w:val="1"/>
          <w:color w:val="auto"/>
        </w:rPr>
      </w:pPr>
    </w:p>
    <w:p>
      <w:pPr>
        <w:jc w:val="both"/>
        <w:ind w:firstLine="8"/>
        <w:spacing w:after="0" w:line="252" w:lineRule="auto"/>
        <w:tabs>
          <w:tab w:leader="none" w:pos="346"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RSUs shall terminate on the Expiration Date or earlier as provided in this Agreement or the Plan. If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Continuous Service terminates for any reason, all RSUs for which vesting is no longer possible under the terms of the Notice of Grant and this Agreement shall be forfeited to the Company forthwith, and all rights of Participant to such RSUs shall immediately terminate. If Participant’s Continuous Service terminates prior to an Initial Vesting Event and Participant had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satisfied any portion of the Service Requirement as of the date that Participant’s Continuous Service terminated, then all RSUs awarded in the Notice of Grant and this Agreement shall be forfeited to the Company forthwith, and all rights of Participant to such RSUs shall immediately terminate. In case of any dispute as to whether or when any such termination of Continuous Service (a “</w:t>
      </w:r>
      <w:r>
        <w:rPr>
          <w:rFonts w:ascii="Times New Roman" w:cs="Times New Roman" w:eastAsia="Times New Roman" w:hAnsi="Times New Roman"/>
          <w:sz w:val="20"/>
          <w:szCs w:val="20"/>
          <w:b w:val="1"/>
          <w:bCs w:val="1"/>
          <w:color w:val="auto"/>
        </w:rPr>
        <w:t>Termination</w:t>
      </w:r>
      <w:r>
        <w:rPr>
          <w:rFonts w:ascii="Times New Roman" w:cs="Times New Roman" w:eastAsia="Times New Roman" w:hAnsi="Times New Roman"/>
          <w:sz w:val="20"/>
          <w:szCs w:val="20"/>
          <w:color w:val="auto"/>
        </w:rPr>
        <w:t>”) has occurred, the Committee shall have sole discretion to determine whether any such Termination has</w:t>
      </w:r>
    </w:p>
    <w:p>
      <w:pPr>
        <w:sectPr>
          <w:pgSz w:w="11900" w:h="16838" w:orient="portrait"/>
          <w:cols w:equalWidth="0" w:num="1">
            <w:col w:w="11240"/>
          </w:cols>
          <w:pgMar w:left="320" w:top="1440" w:right="339" w:bottom="1440" w:gutter="0" w:footer="0" w:header="0"/>
        </w:sectPr>
      </w:pPr>
    </w:p>
    <w:bookmarkStart w:id="290" w:name="page291"/>
    <w:bookmarkEnd w:id="290"/>
    <w:p>
      <w:pPr>
        <w:jc w:val="both"/>
        <w:spacing w:after="0" w:line="258" w:lineRule="auto"/>
        <w:rPr>
          <w:sz w:val="20"/>
          <w:szCs w:val="20"/>
          <w:color w:val="auto"/>
        </w:rPr>
      </w:pPr>
      <w:r>
        <w:rPr>
          <w:rFonts w:ascii="Times New Roman" w:cs="Times New Roman" w:eastAsia="Times New Roman" w:hAnsi="Times New Roman"/>
          <w:sz w:val="20"/>
          <w:szCs w:val="20"/>
          <w:color w:val="auto"/>
        </w:rPr>
        <w:t>occurred and the date of such Termination. For the avoidance of doubt, Continuous Service during only a portion of the relevant period for meeting the Service Requirement, but where Participant's Continuous Service has terminated prior to a Quarterly Vesting Date, will not entitle Participant to meet the Service Requirement with respect to a pro-rata portion of the RSUs on any of the Quarterly Vesting Dates following the date of Termination.</w:t>
      </w:r>
    </w:p>
    <w:p>
      <w:pPr>
        <w:spacing w:after="0" w:line="168" w:lineRule="exact"/>
        <w:rPr>
          <w:sz w:val="20"/>
          <w:szCs w:val="20"/>
          <w:color w:val="auto"/>
        </w:rPr>
      </w:pPr>
    </w:p>
    <w:p>
      <w:pPr>
        <w:jc w:val="both"/>
        <w:ind w:firstLine="8"/>
        <w:spacing w:after="0" w:line="260" w:lineRule="auto"/>
        <w:tabs>
          <w:tab w:leader="none" w:pos="387"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ACKNOWLEDGMENT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 Participant agree that the RSUs are granted under and governed by the Notice of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the provisions of the Plan (incorporated herein by reference). Participant (i) acknowledges receipt of a copy of each of the foregoing documents, (ii) represents that Participant has carefully read and is familiar with their provisions and (iii) hereby accepts the RSUs subject to all of the terms and conditions set forth herein and those set forth in the Plan and the Notice of Grant.</w:t>
      </w:r>
    </w:p>
    <w:p>
      <w:pPr>
        <w:spacing w:after="0" w:line="177"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RESTRICTIONS ON TRANSFER</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38" w:val="left"/>
        </w:tabs>
        <w:numPr>
          <w:ilvl w:val="1"/>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Restriction on Transfer</w:t>
      </w:r>
      <w:r>
        <w:rPr>
          <w:rFonts w:ascii="Times New Roman" w:cs="Times New Roman" w:eastAsia="Times New Roman" w:hAnsi="Times New Roman"/>
          <w:sz w:val="20"/>
          <w:szCs w:val="20"/>
          <w:color w:val="auto"/>
        </w:rPr>
        <w:t>. Participant shall not transfer, assign, grant a lien or security interest in, pledge, hypothecate,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encumber or otherwise dispose of the Shares or any interest in the Shares issued pursuant to this Agreement (including, without limitation, a transfer by gift or operation of law) except with the Company’s prior written consent and in compliance with any applicable provisions of the Plan, this Agreement, the Company’s Bylaws, the Company’s then current insider trading policy, and applicable securities and other laws. The restrictions on transfer also include a prohibition on any short position, any “put equivalent position” or any “call equivalent position” by the RSU holder with respect to the RSU itself as well as any shares issuable upon settlement of the RSU prior to the settlement thereof until the Company becomes subject to the reporting requirements of Section 13 or 15(d) of the Exchange Act.</w:t>
      </w:r>
    </w:p>
    <w:p>
      <w:pPr>
        <w:spacing w:after="0" w:line="186"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115" w:val="left"/>
        </w:tabs>
        <w:numPr>
          <w:ilvl w:val="1"/>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Transferee Obligations</w:t>
      </w:r>
      <w:r>
        <w:rPr>
          <w:rFonts w:ascii="Times New Roman" w:cs="Times New Roman" w:eastAsia="Times New Roman" w:hAnsi="Times New Roman"/>
          <w:sz w:val="20"/>
          <w:szCs w:val="20"/>
          <w:color w:val="auto"/>
        </w:rPr>
        <w:t>. Each person (other than the Company) to whom the Shares or any interest therein are transferred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of one of the permitted transfers specified in this Agreement must, as a condition precedent to the validity of such transfer, acknowledge in writing to the Company that such person is bound by the provisions of this Agreement and that the transferred Shares are subject to (i) any applicable provisions of the Company’s Bylaws, (ii) the market stand-off provisions of Section 12 below and (iii) the other restrictions on transferability contained herein and in the Plan, to the same extent such Shares would be so subject if retained by Participant.</w:t>
      </w:r>
    </w:p>
    <w:p>
      <w:pPr>
        <w:spacing w:after="0" w:line="173" w:lineRule="exact"/>
        <w:rPr>
          <w:rFonts w:ascii="Times New Roman" w:cs="Times New Roman" w:eastAsia="Times New Roman" w:hAnsi="Times New Roman"/>
          <w:sz w:val="20"/>
          <w:szCs w:val="20"/>
          <w:b w:val="1"/>
          <w:bCs w:val="1"/>
          <w:color w:val="auto"/>
        </w:rPr>
      </w:pPr>
    </w:p>
    <w:p>
      <w:pPr>
        <w:ind w:right="20" w:firstLine="656"/>
        <w:spacing w:after="0" w:line="287" w:lineRule="auto"/>
        <w:tabs>
          <w:tab w:leader="none" w:pos="1106" w:val="left"/>
        </w:tabs>
        <w:numPr>
          <w:ilvl w:val="1"/>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Purported Transfers</w:t>
      </w:r>
      <w:r>
        <w:rPr>
          <w:rFonts w:ascii="Times New Roman" w:cs="Times New Roman" w:eastAsia="Times New Roman" w:hAnsi="Times New Roman"/>
          <w:sz w:val="20"/>
          <w:szCs w:val="20"/>
          <w:color w:val="auto"/>
        </w:rPr>
        <w:t>. Any purported transfer of any Shares effected in violation of this Section 6 or otherwise in the Plan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 null and void and shall have no force or effect and the Company shall not register any such purported transfer.</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73" w:lineRule="auto"/>
        <w:tabs>
          <w:tab w:leader="none" w:pos="441" w:val="left"/>
        </w:tabs>
        <w:numPr>
          <w:ilvl w:val="0"/>
          <w:numId w:val="1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OBLIGATION TO EMPLOY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Nothing in the Plan or this Agreement shall confer on Participant any right to continue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 of, or other relationship with, the Company (or any Subsidiary or Parent or Affiliate of the Company), or limit in any way the right of the Company (or, if different, the Subsidiary or Parent or Affiliate of the Company for which Participant is rendering services (the “</w:t>
      </w:r>
      <w:r>
        <w:rPr>
          <w:rFonts w:ascii="Times New Roman" w:cs="Times New Roman" w:eastAsia="Times New Roman" w:hAnsi="Times New Roman"/>
          <w:sz w:val="19"/>
          <w:szCs w:val="19"/>
          <w:b w:val="1"/>
          <w:bCs w:val="1"/>
          <w:color w:val="auto"/>
        </w:rPr>
        <w:t>Service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Recipient</w:t>
      </w:r>
      <w:r>
        <w:rPr>
          <w:rFonts w:ascii="Times New Roman" w:cs="Times New Roman" w:eastAsia="Times New Roman" w:hAnsi="Times New Roman"/>
          <w:sz w:val="19"/>
          <w:szCs w:val="19"/>
          <w:color w:val="auto"/>
        </w:rPr>
        <w:t>”)) to terminate Participant’s employment or other relationship at any time, with or without cause, subject to applicable laws.</w:t>
      </w:r>
    </w:p>
    <w:p>
      <w:pPr>
        <w:spacing w:after="0" w:line="166" w:lineRule="exact"/>
        <w:rPr>
          <w:rFonts w:ascii="Times New Roman" w:cs="Times New Roman" w:eastAsia="Times New Roman" w:hAnsi="Times New Roman"/>
          <w:sz w:val="19"/>
          <w:szCs w:val="19"/>
          <w:b w:val="1"/>
          <w:bCs w:val="1"/>
          <w:color w:val="auto"/>
        </w:rPr>
      </w:pPr>
    </w:p>
    <w:p>
      <w:pPr>
        <w:ind w:left="360" w:hanging="352"/>
        <w:spacing w:after="0"/>
        <w:tabs>
          <w:tab w:leader="none" w:pos="36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RESPONSIBILITY FOR TAXES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117" w:val="left"/>
        </w:tabs>
        <w:numPr>
          <w:ilvl w:val="1"/>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color w:val="auto"/>
        </w:rPr>
        <w:t>. Regardless of any action the Company or the Service Recipient takes with respect to any and all applicable U.S.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non-U.S. federal, state and local income tax, social insurance, payroll tax, fringe benefits tax, payment on account, withholding and other tax-related items related to the</w:t>
      </w:r>
    </w:p>
    <w:p>
      <w:pPr>
        <w:sectPr>
          <w:pgSz w:w="11900" w:h="16838" w:orient="portrait"/>
          <w:cols w:equalWidth="0" w:num="1">
            <w:col w:w="11240"/>
          </w:cols>
          <w:pgMar w:left="320" w:top="1413" w:right="339" w:bottom="1440" w:gutter="0" w:footer="0" w:header="0"/>
        </w:sectPr>
      </w:pPr>
    </w:p>
    <w:bookmarkStart w:id="291" w:name="page292"/>
    <w:bookmarkEnd w:id="291"/>
    <w:p>
      <w:pPr>
        <w:jc w:val="both"/>
        <w:spacing w:after="0" w:line="250" w:lineRule="auto"/>
        <w:rPr>
          <w:sz w:val="20"/>
          <w:szCs w:val="20"/>
          <w:color w:val="auto"/>
        </w:rPr>
      </w:pPr>
      <w:r>
        <w:rPr>
          <w:rFonts w:ascii="Times New Roman" w:cs="Times New Roman" w:eastAsia="Times New Roman" w:hAnsi="Times New Roman"/>
          <w:sz w:val="20"/>
          <w:szCs w:val="20"/>
          <w:color w:val="auto"/>
        </w:rPr>
        <w:t>RSUs and Participant’s participation in the Plan and legally or deemed legally applicable to Participant, including, as applicable, obligations of the Company or the Service Recipient that have been transferred to Participant (all the foregoing tax-related items, “</w:t>
      </w:r>
      <w:r>
        <w:rPr>
          <w:rFonts w:ascii="Times New Roman" w:cs="Times New Roman" w:eastAsia="Times New Roman" w:hAnsi="Times New Roman"/>
          <w:sz w:val="20"/>
          <w:szCs w:val="20"/>
          <w:b w:val="1"/>
          <w:bCs w:val="1"/>
          <w:color w:val="auto"/>
        </w:rPr>
        <w:t>Tax-Related Items</w:t>
      </w:r>
      <w:r>
        <w:rPr>
          <w:rFonts w:ascii="Times New Roman" w:cs="Times New Roman" w:eastAsia="Times New Roman" w:hAnsi="Times New Roman"/>
          <w:sz w:val="20"/>
          <w:szCs w:val="20"/>
          <w:color w:val="auto"/>
        </w:rPr>
        <w:t>”), Participant acknowledges that the ultimate liability for all Tax- Related Items is and remains Participant’s responsibility and that the Company and/or the Service Recipient (i) make no representations or undertakings regarding the treatment of any Tax-Related Items in connection with any aspect of the RSUs, including the grant, vesting or settlement of the RSUs, the subsequent sale of Shares acquired pursuant to such settlement and the receipt of any dividends, and (ii) do not commit to structure the terms of the grant or any aspect of the RSUs to reduce or eliminate Participant’s liability for Tax-Related Items or achieve any particular tax result. Participant acknowledges that if Participant is subject to Tax-Related Items in more than one jurisdiction, the Company and/or the Service Recipient may be required to withhold or account for Tax-Related Items in more than one jurisdiction. Participant acknowledges that Participant’s liability for Tax-Related Items may exceed the amount actually withheld by the Company or the Service Recipient.</w:t>
      </w:r>
    </w:p>
    <w:p>
      <w:pPr>
        <w:spacing w:after="0" w:line="192" w:lineRule="exact"/>
        <w:rPr>
          <w:sz w:val="20"/>
          <w:szCs w:val="20"/>
          <w:color w:val="auto"/>
        </w:rPr>
      </w:pPr>
    </w:p>
    <w:p>
      <w:pPr>
        <w:jc w:val="both"/>
        <w:ind w:firstLine="656"/>
        <w:spacing w:after="0" w:line="250" w:lineRule="auto"/>
        <w:tabs>
          <w:tab w:leader="none" w:pos="1101"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Arrangements to Satisfy Tax-Related Items</w:t>
      </w:r>
      <w:r>
        <w:rPr>
          <w:rFonts w:ascii="Times New Roman" w:cs="Times New Roman" w:eastAsia="Times New Roman" w:hAnsi="Times New Roman"/>
          <w:sz w:val="20"/>
          <w:szCs w:val="20"/>
          <w:color w:val="auto"/>
        </w:rPr>
        <w:t>. In connection with any relevant taxable or tax withholding event (“</w:t>
      </w:r>
      <w:r>
        <w:rPr>
          <w:rFonts w:ascii="Times New Roman" w:cs="Times New Roman" w:eastAsia="Times New Roman" w:hAnsi="Times New Roman"/>
          <w:sz w:val="20"/>
          <w:szCs w:val="20"/>
          <w:b w:val="1"/>
          <w:bCs w:val="1"/>
          <w:color w:val="auto"/>
        </w:rPr>
        <w:t>Tax Date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applicable, Participant will pay or make adequate arrangements satisfactory to the Company and/or the Service Recipient to satisfy all Tax-Related Items. In this regard, Participant authorizes the Company and/or the Service Recipient or their respective agents, at their discretion, to satisfy the obligations with regard to all Tax-Related Items by one or a combination of the following (to the extent permitted by applicable law): (i) accept a cash payment in the amount of Tax-Related Items, (ii) withhold an amount from Participant’s wages or other cash compensation which would otherwise be payable to Participant by the Company or any Parent or Subsidiary of the Company, (iii) withhold whole Shares which would otherwise be delivered to Participant having an aggregate fair market value as of the determination date sufficient to satisfy any such obligations, (iv) withhold from proceeds of the sale of Shares acquired upon settlement of the RSUs either through a voluntary sale or through a mandatory sale arranged by the Company (on Participant’s behalf pursuant to this authorization without further consent), or (v) any other arrangement approved by the Company; all under such rules as may be established by the Committee and in compliance with the Company’s insider trading policy and 10b5-1 trading plan policy, if applicable; provided, however, that if Participant is a Section 16 officer of the Company under the Exchange Act, then the method of withholding shall be through a mandatory sale under (iv) above.</w:t>
      </w:r>
    </w:p>
    <w:p>
      <w:pPr>
        <w:spacing w:after="0" w:line="193" w:lineRule="exact"/>
        <w:rPr>
          <w:rFonts w:ascii="Times New Roman" w:cs="Times New Roman" w:eastAsia="Times New Roman" w:hAnsi="Times New Roman"/>
          <w:sz w:val="20"/>
          <w:szCs w:val="20"/>
          <w:b w:val="1"/>
          <w:bCs w:val="1"/>
          <w:color w:val="auto"/>
        </w:rPr>
      </w:pPr>
    </w:p>
    <w:p>
      <w:pPr>
        <w:jc w:val="both"/>
        <w:ind w:firstLine="656"/>
        <w:spacing w:after="0" w:line="250" w:lineRule="auto"/>
        <w:tabs>
          <w:tab w:leader="none" w:pos="1187"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Maximum Withholding</w:t>
      </w:r>
      <w:r>
        <w:rPr>
          <w:rFonts w:ascii="Times New Roman" w:cs="Times New Roman" w:eastAsia="Times New Roman" w:hAnsi="Times New Roman"/>
          <w:sz w:val="20"/>
          <w:szCs w:val="20"/>
          <w:color w:val="auto"/>
        </w:rPr>
        <w:t>. The Company and/or the Service Recipient may withhold or account for Tax-Related Items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considering statutory or other withholding rates, including maximum withholding rates applicable in Participant’s jurisdiction(s). In the event of over-withholding, Participant may receive a refund of any over-withheld amount in cash (with no entitlement to the equivalent amount in Shares) from the Company or the Service Recipient; otherwise, Participant may be able to seek a refund from the local tax authority. In the event of under-withholding, Participant may be required to pay any additional Tax-Related Items directly to the applicable tax authority. If the obligation for Tax-Related Items is satisfied by withholding Shares, for tax purposes, Participant is deemed to have been issued the full number of Shares subject to the RSUs, notwithstanding that a number of shares of Common Stock is held back solely for the purpose of paying the Tax-Related Items. Finally, Participant shall pay to the Company or the Service Recipient any amount of Tax-Related Items that the Company or the Service Recipient may be required to withhold as a result of Participant’s participation in the Plan that cannot be satisfied by the means previously described. The Company shall have sole discretion to deliver the Shares if Participant fails to comply with Participant’s obligations in connection with the Tax-Related Items as described in this Section 8 and Participant unconditionally consents to and approves any such action taken by the Company. Participant (or any beneficiary or person entitled to act on Participant’s behalf) shall provide the Company with any forms, documents or other information reasonably required by the</w:t>
      </w:r>
    </w:p>
    <w:p>
      <w:pPr>
        <w:sectPr>
          <w:pgSz w:w="11900" w:h="16838" w:orient="portrait"/>
          <w:cols w:equalWidth="0" w:num="1">
            <w:col w:w="11240"/>
          </w:cols>
          <w:pgMar w:left="320" w:top="1413"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20"/>
          <w:szCs w:val="20"/>
          <w:color w:val="auto"/>
        </w:rPr>
        <w:t>Company in connection with the Company’s or the Service Recipient’s withholding and/or tax reporting obligations.</w:t>
      </w:r>
    </w:p>
    <w:p>
      <w:pPr>
        <w:spacing w:after="0" w:line="225" w:lineRule="exact"/>
        <w:rPr>
          <w:sz w:val="20"/>
          <w:szCs w:val="20"/>
          <w:color w:val="auto"/>
        </w:rPr>
      </w:pPr>
    </w:p>
    <w:p>
      <w:pPr>
        <w:jc w:val="both"/>
        <w:ind w:firstLine="8"/>
        <w:spacing w:after="0" w:line="249" w:lineRule="auto"/>
        <w:tabs>
          <w:tab w:leader="none" w:pos="414"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CODE SECTION 409A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Participant is a U.S. taxpayer, to the extent applicable, for purposes of this Agreement, a termination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will be determined consistent with the rules relating to a “separation from service” as defined in Section 409A of the Code and the regulations thereunder (“</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xml:space="preserve">”). Notwithstanding anything else provided herein, to the extent any payments provided under this Agreement in connection with Participant’s termination of employment constitute deferred compensation subject to Section 409A, and Participant is deemed at the time of Termination of employment to be a “specified employee” under Section 409A, then the payment shall not be made or commence until the earlier of (i) the expiration of the six-month period measured from Participant’s separation from service from the Company or the Service Recipient (ii) the date of Participant’s death following a separation from service;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such deferral shall only be effected to the extent required to avoid adverse tax treatment to Participant including, without limitation, the additional tax for which Participant would otherwise be liable under Section 409A(a)(1)(B) of the Code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The occurrence of the Initial Vesting Event prior to the Expiration Date is intended to be a “substantial risk of forfeiture,” within the meaning of Section 409A, and the settlements related to the Initial Vesting Date and any Subsequent Vesting Date are each intended to be an exempt “short-term deferral,” within the meaning of Section 409A and the Company intends that its initial tax position on its tax return will be consistent with this intent absent a change in legal guidance or other circumstance. To the extent that any provision of this Agreement is ambiguous as to its exemption from or compliance with Section 409A, the provision will be read in such a manner so that all payments hereunder are exempt from Section 409A to the maximum permissible extent and, for any payments where such construction is not reasonable, that those payments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91" w:lineRule="exact"/>
        <w:rPr>
          <w:rFonts w:ascii="Times New Roman" w:cs="Times New Roman" w:eastAsia="Times New Roman" w:hAnsi="Times New Roman"/>
          <w:sz w:val="20"/>
          <w:szCs w:val="20"/>
          <w:b w:val="1"/>
          <w:bCs w:val="1"/>
          <w:color w:val="auto"/>
        </w:rPr>
      </w:pPr>
    </w:p>
    <w:p>
      <w:pPr>
        <w:jc w:val="both"/>
        <w:ind w:firstLine="8"/>
        <w:spacing w:after="0" w:line="267" w:lineRule="auto"/>
        <w:tabs>
          <w:tab w:leader="none" w:pos="513" w:val="left"/>
        </w:tabs>
        <w:numPr>
          <w:ilvl w:val="0"/>
          <w:numId w:val="1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CERTAIN TAX CONSEQUENCES AND NO ADVICE REGARDING GRANT</w:t>
      </w:r>
      <w:r>
        <w:rPr>
          <w:rFonts w:ascii="Times New Roman" w:cs="Times New Roman" w:eastAsia="Times New Roman" w:hAnsi="Times New Roman"/>
          <w:sz w:val="19"/>
          <w:szCs w:val="19"/>
          <w:color w:val="auto"/>
        </w:rPr>
        <w:t>. PARTICIPANT SHOULD CONSULT A TAX</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ADVISER APPROPRIATELY QUALIFIED IN THE COUNTRY OR COUNTRIES IN WHICH THE PARTICIPANT RESIDES OR IS SUBJECT TO TAXATION BEFORE ACCEPTING THE RSUS, THE RSUS VEST OR SETTLE OR DISPOSING OF THE SHARES. The Company is not providing any tax, legal, or financial advice, nor is the Company making any representations or recommendations regarding Participant’s participation in the Plan, or Participant’s acquisition or sale of the Shares. Participant has obtained any necessary advice from an appropriate independent professional adviser in relation to the Tax-Related Items in connection with the grant, vesting, settlement, assignment, cancellation or any other disposal of the RSUs pursuant to the Plan and on any subsequent sale of the Shares. In signing and returning this Agreement, Participant is confirming that appropriate advice has been sought from an independent adviser.</w:t>
      </w:r>
    </w:p>
    <w:p>
      <w:pPr>
        <w:spacing w:after="0" w:line="161" w:lineRule="exact"/>
        <w:rPr>
          <w:rFonts w:ascii="Times New Roman" w:cs="Times New Roman" w:eastAsia="Times New Roman" w:hAnsi="Times New Roman"/>
          <w:sz w:val="19"/>
          <w:szCs w:val="19"/>
          <w:b w:val="1"/>
          <w:bCs w:val="1"/>
          <w:color w:val="auto"/>
        </w:rPr>
      </w:pPr>
    </w:p>
    <w:p>
      <w:pPr>
        <w:ind w:left="440" w:hanging="432"/>
        <w:spacing w:after="0"/>
        <w:tabs>
          <w:tab w:leader="none" w:pos="440"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COMPLIANCE WITH LAWS AND REGULATIONS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b w:val="1"/>
          <w:bCs w:val="1"/>
          <w:color w:val="auto"/>
        </w:rPr>
      </w:pPr>
    </w:p>
    <w:p>
      <w:pPr>
        <w:ind w:right="20" w:firstLine="656"/>
        <w:spacing w:after="0" w:line="287" w:lineRule="auto"/>
        <w:tabs>
          <w:tab w:leader="none" w:pos="1076" w:val="left"/>
        </w:tabs>
        <w:numPr>
          <w:ilvl w:val="1"/>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color w:val="auto"/>
        </w:rPr>
        <w:t>. The Plan and this Agreement are intended to comply with Section 25102(o) and Rule 701. If deemed necessary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any provision of this Agreement that is inconsistent with</w:t>
      </w:r>
    </w:p>
    <w:p>
      <w:pPr>
        <w:sectPr>
          <w:pgSz w:w="11900" w:h="16838" w:orient="portrait"/>
          <w:cols w:equalWidth="0" w:num="1">
            <w:col w:w="11240"/>
          </w:cols>
          <w:pgMar w:left="320" w:top="1413" w:right="339" w:bottom="1440" w:gutter="0" w:footer="0" w:header="0"/>
        </w:sectPr>
      </w:pPr>
    </w:p>
    <w:bookmarkStart w:id="293" w:name="page294"/>
    <w:bookmarkEnd w:id="293"/>
    <w:p>
      <w:pPr>
        <w:jc w:val="both"/>
        <w:spacing w:after="0" w:line="250" w:lineRule="auto"/>
        <w:rPr>
          <w:sz w:val="20"/>
          <w:szCs w:val="20"/>
          <w:color w:val="auto"/>
        </w:rPr>
      </w:pPr>
      <w:r>
        <w:rPr>
          <w:rFonts w:ascii="Times New Roman" w:cs="Times New Roman" w:eastAsia="Times New Roman" w:hAnsi="Times New Roman"/>
          <w:sz w:val="20"/>
          <w:szCs w:val="20"/>
          <w:color w:val="auto"/>
        </w:rPr>
        <w:t>Section 25102(o) or Rule 701 shall, without further act or amendment by the Company or the Committee, be reformed to comply with the requirements of Section 25102(o) and/or Rule 701. The issuance and transfer of Shares shall be subject to and conditioned upon compliance by the Company and Participant (including any written representations, warranties and agreements as the Committee may request of Participant for compliance with applicable laws) with all applicable U.S. or non-U.S. federal, state or local securities laws or other law, rules and regulations of any governmental body, and the requirements of any stock exchange or automated quotation system upon which the Company’s equity securities may then be listed or quoted, as they are in effect on the RSU Grant Date and also on the date of settlement. Participant may not be issued any Shares if such issuance would constitute a violation of any applicable U.S. or non-U.S. federal, state or local securities laws or other law or regulations or the requirements of any stock exchange or automated quotation system upon which the Shares or other equity securities of the Company may then be listed or quoted.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Participant understands that the Company is under no obligation to register or qualify the Shares with the SEC, any state securities commission or any stock exchange to effect such compliance.</w:t>
      </w:r>
    </w:p>
    <w:p>
      <w:pPr>
        <w:spacing w:after="0" w:line="189" w:lineRule="exact"/>
        <w:rPr>
          <w:sz w:val="20"/>
          <w:szCs w:val="20"/>
          <w:color w:val="auto"/>
        </w:rPr>
      </w:pPr>
    </w:p>
    <w:p>
      <w:pPr>
        <w:ind w:right="20" w:firstLine="656"/>
        <w:spacing w:after="0" w:line="273" w:lineRule="auto"/>
        <w:tabs>
          <w:tab w:leader="none" w:pos="1142" w:val="left"/>
        </w:tabs>
        <w:numPr>
          <w:ilvl w:val="1"/>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Non-U.S. Participants</w:t>
      </w:r>
      <w:r>
        <w:rPr>
          <w:rFonts w:ascii="Times New Roman" w:cs="Times New Roman" w:eastAsia="Times New Roman" w:hAnsi="Times New Roman"/>
          <w:sz w:val="20"/>
          <w:szCs w:val="20"/>
          <w:color w:val="auto"/>
        </w:rPr>
        <w:t>. If Participant’s country of residence is other than the United States, Participant makes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representations, warranties and agreements:</w:t>
      </w:r>
    </w:p>
    <w:p>
      <w:pPr>
        <w:spacing w:after="0" w:line="169" w:lineRule="exact"/>
        <w:rPr>
          <w:rFonts w:ascii="Times New Roman" w:cs="Times New Roman" w:eastAsia="Times New Roman" w:hAnsi="Times New Roman"/>
          <w:sz w:val="20"/>
          <w:szCs w:val="20"/>
          <w:b w:val="1"/>
          <w:bCs w:val="1"/>
          <w:color w:val="auto"/>
        </w:rPr>
      </w:pPr>
    </w:p>
    <w:p>
      <w:pPr>
        <w:jc w:val="both"/>
        <w:ind w:firstLine="1304"/>
        <w:spacing w:after="0" w:line="258" w:lineRule="auto"/>
        <w:tabs>
          <w:tab w:leader="none" w:pos="1681" w:val="left"/>
        </w:tabs>
        <w:numPr>
          <w:ilvl w:val="2"/>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Participant is not a U.S. Person as defined in Rule 902(k) of Regulation S under the Securities Act. The offer and sale of the Shares to such Participant was made in an offshore transaction (as defined in Rule 902(h) of Regulation S), no directed selling efforts (as defined in Rule 902(c) of Regulation S) were made in the United States, and the Participant is not acquiring the Shares for the account or benefit of any U.S. Person;</w:t>
      </w:r>
    </w:p>
    <w:p>
      <w:pPr>
        <w:spacing w:after="0" w:line="172" w:lineRule="exact"/>
        <w:rPr>
          <w:rFonts w:ascii="Times New Roman" w:cs="Times New Roman" w:eastAsia="Times New Roman" w:hAnsi="Times New Roman"/>
          <w:sz w:val="20"/>
          <w:szCs w:val="20"/>
          <w:b w:val="1"/>
          <w:bCs w:val="1"/>
          <w:color w:val="auto"/>
        </w:rPr>
      </w:pPr>
    </w:p>
    <w:p>
      <w:pPr>
        <w:jc w:val="both"/>
        <w:ind w:firstLine="1304"/>
        <w:spacing w:after="0" w:line="258" w:lineRule="auto"/>
        <w:tabs>
          <w:tab w:leader="none" w:pos="1789" w:val="left"/>
        </w:tabs>
        <w:numPr>
          <w:ilvl w:val="2"/>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Participant will not, during the Restricted Period applicable to the Shares included in the legend set forth in Section 13(b)(ii) below (the “</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and on any certificate representing the Shares, offer or sell any of the foregoing securities (or create or maintain any derivative position equivalent thereto) in the United States, to or for the account or benefit of a U.S. Person or other than in accordance with Regulation S;</w:t>
      </w:r>
    </w:p>
    <w:p>
      <w:pPr>
        <w:spacing w:after="0" w:line="185" w:lineRule="exact"/>
        <w:rPr>
          <w:rFonts w:ascii="Times New Roman" w:cs="Times New Roman" w:eastAsia="Times New Roman" w:hAnsi="Times New Roman"/>
          <w:sz w:val="20"/>
          <w:szCs w:val="20"/>
          <w:b w:val="1"/>
          <w:bCs w:val="1"/>
          <w:color w:val="auto"/>
        </w:rPr>
      </w:pPr>
    </w:p>
    <w:p>
      <w:pPr>
        <w:jc w:val="both"/>
        <w:ind w:firstLine="1304"/>
        <w:spacing w:after="0" w:line="261" w:lineRule="auto"/>
        <w:tabs>
          <w:tab w:leader="none" w:pos="1858" w:val="left"/>
        </w:tabs>
        <w:numPr>
          <w:ilvl w:val="2"/>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Participant will, after the expiration of the applicable Restricted Period, offer, sell, pledge or otherwise transfer the Shares (or create or maintain any derivative position equivalent thereto) only pursuant to registration under the Securities Act or any available exemption therefrom and, in any case, in accordance with applicable state securities laws; and</w:t>
      </w:r>
    </w:p>
    <w:p>
      <w:pPr>
        <w:spacing w:after="0" w:line="167" w:lineRule="exact"/>
        <w:rPr>
          <w:rFonts w:ascii="Times New Roman" w:cs="Times New Roman" w:eastAsia="Times New Roman" w:hAnsi="Times New Roman"/>
          <w:sz w:val="20"/>
          <w:szCs w:val="20"/>
          <w:b w:val="1"/>
          <w:bCs w:val="1"/>
          <w:color w:val="auto"/>
        </w:rPr>
      </w:pPr>
    </w:p>
    <w:p>
      <w:pPr>
        <w:ind w:firstLine="1304"/>
        <w:spacing w:after="0" w:line="283" w:lineRule="auto"/>
        <w:tabs>
          <w:tab w:leader="none" w:pos="1806" w:val="left"/>
        </w:tabs>
        <w:numPr>
          <w:ilvl w:val="2"/>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Participant acknowledges and agrees that the Company shall not register the transfer of the Shares in violation of this Agreement, the Plan or any of the restrictions set forth herein or therein.</w:t>
      </w:r>
    </w:p>
    <w:p>
      <w:pPr>
        <w:spacing w:after="0" w:line="155" w:lineRule="exact"/>
        <w:rPr>
          <w:rFonts w:ascii="Times New Roman" w:cs="Times New Roman" w:eastAsia="Times New Roman" w:hAnsi="Times New Roman"/>
          <w:sz w:val="20"/>
          <w:szCs w:val="20"/>
          <w:b w:val="1"/>
          <w:bCs w:val="1"/>
          <w:color w:val="auto"/>
        </w:rPr>
      </w:pPr>
    </w:p>
    <w:p>
      <w:pPr>
        <w:jc w:val="both"/>
        <w:ind w:firstLine="8"/>
        <w:spacing w:after="0" w:line="254" w:lineRule="auto"/>
        <w:tabs>
          <w:tab w:leader="none" w:pos="459"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MARKET STANDOFF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agrees in connection with any registration of the Company’s securities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Act or other public offering that, upon the request of the Company or the underwriters managing any registered public offering of the Company’s securities, Participant will not sell or otherwise dispose of any Shares without the prior written consent of the Company or such managing underwriters, as the case may be, for a period of time (not to exceed one hundred eighty (180) days) after the effective date of such registration requested by such managing underwriters and subject to all restrictions as the Company or the managing underwriters may specify for</w:t>
      </w:r>
    </w:p>
    <w:p>
      <w:pPr>
        <w:sectPr>
          <w:pgSz w:w="11900" w:h="16838" w:orient="portrait"/>
          <w:cols w:equalWidth="0" w:num="1">
            <w:col w:w="11240"/>
          </w:cols>
          <w:pgMar w:left="320" w:top="1413" w:right="339" w:bottom="1440" w:gutter="0" w:footer="0" w:header="0"/>
        </w:sectPr>
      </w:pPr>
    </w:p>
    <w:bookmarkStart w:id="294" w:name="page295"/>
    <w:bookmarkEnd w:id="294"/>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employee-stockholders generally. Further, if during the last seventeen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w:t>
      </w:r>
      <w:r>
        <w:rPr>
          <w:rFonts w:ascii="Times New Roman" w:cs="Times New Roman" w:eastAsia="Times New Roman" w:hAnsi="Times New Roman"/>
          <w:sz w:val="20"/>
          <w:szCs w:val="20"/>
          <w:u w:val="single" w:color="auto"/>
          <w:color w:val="auto"/>
        </w:rPr>
        <w:t>then,</w:t>
      </w:r>
      <w:r>
        <w:rPr>
          <w:rFonts w:ascii="Times New Roman" w:cs="Times New Roman" w:eastAsia="Times New Roman" w:hAnsi="Times New Roman"/>
          <w:sz w:val="20"/>
          <w:szCs w:val="20"/>
          <w:color w:val="auto"/>
        </w:rPr>
        <w:t xml:space="preserve"> if required by the underwriters or the Company, the restrictions imposed by this Section 12 shall continue to apply until the expiration of the 18-day period beginning on the issuance of the earnings release or the occurrence of the material news or material event. For purposes of this Section 12,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and to impose stop transfer instructions with respect to the Shares until the end of such period. Participant further agrees that the underwriters of any such public offering shall be third party beneficiaries of this Section 12 and agrees to enter into any agreement reasonably required by the underwriters to implement the foregoing.</w:t>
      </w:r>
    </w:p>
    <w:p>
      <w:pPr>
        <w:spacing w:after="0" w:line="192" w:lineRule="exact"/>
        <w:rPr>
          <w:sz w:val="20"/>
          <w:szCs w:val="20"/>
          <w:color w:val="auto"/>
        </w:rPr>
      </w:pPr>
    </w:p>
    <w:p>
      <w:pPr>
        <w:ind w:left="460" w:hanging="452"/>
        <w:spacing w:after="0"/>
        <w:tabs>
          <w:tab w:leader="none" w:pos="46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RESTRICTIVE LEGENDS AND STOP-TRANSFER ORDERS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184" w:val="left"/>
        </w:tabs>
        <w:numPr>
          <w:ilvl w:val="1"/>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color w:val="auto"/>
        </w:rPr>
        <w:t>. The certificates representing the Shares issued hereunder shall be subject to such stop transfer orders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restrictions as the Committee may deem advisable under the Plan, this Agreement, the Bylaws (if applicable), or the rules, regulations, and other requirements of the Securities and Exchange Commission, any stock exchange upon which such shares of the Company’s Common Stock are listed, and any applicable federal, foreign or state laws, and the Committee may cause a legend or legends to be put on any such certificates to make appropriate reference to such restrictions. The certificates representing the Shares issued hereunder shall bear the following legends, in addition to any other legends deemed advisable by the Committee:</w:t>
      </w:r>
    </w:p>
    <w:p>
      <w:pPr>
        <w:spacing w:after="0" w:line="177" w:lineRule="exact"/>
        <w:rPr>
          <w:rFonts w:ascii="Times New Roman" w:cs="Times New Roman" w:eastAsia="Times New Roman" w:hAnsi="Times New Roman"/>
          <w:sz w:val="20"/>
          <w:szCs w:val="20"/>
          <w:b w:val="1"/>
          <w:bCs w:val="1"/>
          <w:color w:val="auto"/>
        </w:rPr>
      </w:pPr>
    </w:p>
    <w:p>
      <w:pPr>
        <w:jc w:val="both"/>
        <w:ind w:firstLine="1304"/>
        <w:spacing w:after="0" w:line="253" w:lineRule="auto"/>
        <w:tabs>
          <w:tab w:leader="none" w:pos="1964" w:val="left"/>
        </w:tabs>
        <w:numPr>
          <w:ilvl w:val="2"/>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SHARES REPRESENTED BY THIS CERTIFICATE ARE SUBJECT TO A MARKET STANDOFF RESTRICTION AS SET FORTH IN A CERTAIN RESTRICTED STOCK UNIT AGREEMENT BETWEEN THE ISSUER AND THE ORIGINAL HOLDER OF THESE SHARES, A COPY OF WHICH MAY BE OBTAINED AT THE PRINCIPAL OFFICE OF THE ISSUER. AS A RESULT OF SUCH AGREEMENT, THESE SHARES MAY NOT BE TRADED PRIOR TO 180 DAYS (AND POSSIBLY LONGER) AFTER THE EFFECTIVE DATE OF CERTAIN PUBLIC OFFERINGS OF THE COMMON STOCK OF THE ISSUER HEREOF. SUCH RESTRICTION IS BINDING ON TRANSFEREES OF THESE SHARES.</w:t>
      </w:r>
    </w:p>
    <w:p>
      <w:pPr>
        <w:spacing w:after="0" w:line="192" w:lineRule="exact"/>
        <w:rPr>
          <w:rFonts w:ascii="Times New Roman" w:cs="Times New Roman" w:eastAsia="Times New Roman" w:hAnsi="Times New Roman"/>
          <w:sz w:val="20"/>
          <w:szCs w:val="20"/>
          <w:b w:val="1"/>
          <w:bCs w:val="1"/>
          <w:color w:val="auto"/>
        </w:rPr>
      </w:pPr>
    </w:p>
    <w:p>
      <w:pPr>
        <w:jc w:val="both"/>
        <w:ind w:firstLine="1304"/>
        <w:spacing w:after="0" w:line="253" w:lineRule="auto"/>
        <w:tabs>
          <w:tab w:leader="none" w:pos="1870" w:val="left"/>
        </w:tabs>
        <w:numPr>
          <w:ilvl w:val="2"/>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TRANSFER OF SECURITIES REFERENCED HEREIN IS SUBJECT TO RESTRICTIONS REQUIRING APPROVAL OF THE COMPANY PURSUANT TO AND IN ACCORDANCE WITH THE COMPANY’S BYLAWS, COPIES OF WHICH MAY BE OBTAINED UPON WRITTEN REQUEST TO THE COMPANY AT ITS PRINCIPAL PLACE OF BUSINESS. THE COMPANY SHALL NOT REGISTER OR OTHERWISE RECOGNIZE OR GIVE EFFECT TO ANY PURPORTED TRANSFER OF SHARES OF STOCK THAT DOES NOT COMPLY WITH THE COMPANY’S BYLAWS.</w:t>
      </w:r>
    </w:p>
    <w:p>
      <w:pPr>
        <w:spacing w:after="0" w:line="187"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1155" w:val="left"/>
        </w:tabs>
        <w:numPr>
          <w:ilvl w:val="1"/>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Non-U.S. Participants; Regulation S</w:t>
      </w:r>
      <w:r>
        <w:rPr>
          <w:rFonts w:ascii="Times New Roman" w:cs="Times New Roman" w:eastAsia="Times New Roman" w:hAnsi="Times New Roman"/>
          <w:sz w:val="20"/>
          <w:szCs w:val="20"/>
          <w:color w:val="auto"/>
        </w:rPr>
        <w:t>. Participant understands and agrees that, if Participant’s country of residence is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the United States, the certificates evidencing the Shares will bear the legend set forth below or similar legends:</w:t>
      </w:r>
    </w:p>
    <w:p>
      <w:pPr>
        <w:spacing w:after="0" w:line="169" w:lineRule="exact"/>
        <w:rPr>
          <w:rFonts w:ascii="Times New Roman" w:cs="Times New Roman" w:eastAsia="Times New Roman" w:hAnsi="Times New Roman"/>
          <w:sz w:val="20"/>
          <w:szCs w:val="20"/>
          <w:b w:val="1"/>
          <w:bCs w:val="1"/>
          <w:color w:val="auto"/>
        </w:rPr>
      </w:pPr>
    </w:p>
    <w:p>
      <w:pPr>
        <w:ind w:firstLine="1304"/>
        <w:spacing w:after="0" w:line="269" w:lineRule="auto"/>
        <w:tabs>
          <w:tab w:leader="none" w:pos="1775" w:val="left"/>
        </w:tabs>
        <w:numPr>
          <w:ilvl w:val="2"/>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SHARES REPRESENTED BY THIS CERTIFICATE HAVE NOT BEEN REGISTERED UNDER THE U.S. SECURITIES ACT OF 1933, AS AMENDED (THE “ACT”) WITH</w:t>
      </w:r>
    </w:p>
    <w:p>
      <w:pPr>
        <w:sectPr>
          <w:pgSz w:w="11900" w:h="16838" w:orient="portrait"/>
          <w:cols w:equalWidth="0" w:num="1">
            <w:col w:w="11240"/>
          </w:cols>
          <w:pgMar w:left="320" w:top="1413" w:right="339" w:bottom="1440" w:gutter="0" w:footer="0" w:header="0"/>
        </w:sectPr>
      </w:pPr>
    </w:p>
    <w:bookmarkStart w:id="295" w:name="page296"/>
    <w:bookmarkEnd w:id="295"/>
    <w:p>
      <w:pPr>
        <w:spacing w:after="0" w:line="283" w:lineRule="auto"/>
        <w:rPr>
          <w:sz w:val="20"/>
          <w:szCs w:val="20"/>
          <w:color w:val="auto"/>
        </w:rPr>
      </w:pPr>
      <w:r>
        <w:rPr>
          <w:rFonts w:ascii="Times New Roman" w:cs="Times New Roman" w:eastAsia="Times New Roman" w:hAnsi="Times New Roman"/>
          <w:sz w:val="20"/>
          <w:szCs w:val="20"/>
          <w:color w:val="auto"/>
        </w:rPr>
        <w:t>THE UNITED STATES SECURITIES AND EXCHANGE COMMISSION, AND THE COMPANY DOES NOT INTEND TO REGISTER THEM.</w:t>
      </w:r>
    </w:p>
    <w:p>
      <w:pPr>
        <w:spacing w:after="0" w:line="146" w:lineRule="exact"/>
        <w:rPr>
          <w:sz w:val="20"/>
          <w:szCs w:val="20"/>
          <w:color w:val="auto"/>
        </w:rPr>
      </w:pPr>
    </w:p>
    <w:p>
      <w:pPr>
        <w:jc w:val="both"/>
        <w:ind w:firstLine="1304"/>
        <w:spacing w:after="0" w:line="250" w:lineRule="auto"/>
        <w:tabs>
          <w:tab w:leader="none" w:pos="1830" w:val="left"/>
        </w:tabs>
        <w:numPr>
          <w:ilvl w:val="2"/>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PRIOR TO A DATE THAT IS ONE YEAR STARTING FROM THE DATE OF SALE OF THE SHARES, THE SHARES MAY NOT BE OFFERED OR SOLD (INCLUDING OPENING A SHORT POSITION IN SUCH SECURITIES) IN THE UNITED STATES OR TO U.S. PERSONS AS DEFINED BY RULE 902(K) ADOPTED UNDER THE ACT, OTHER THAN TO DISTRIBUTORS, UNLESS THE SHARES ARE REGISTERED UNDER THE ACT OR AN EXEMPTION FROM THE REGISTRATION REQUIREMENTS OF THE ACT IS AVAILABLE. HOLDERS OF SHARES PRIOR TO ONE YEAR STARTING FROM THE DATE OF SALE OF THE SHARES MAY RESELL SUCH SHARES ONLY PURSUANT TO AN EXEMPTION FROM REGISTRATION UNDER THE ACT OR OTHERWISE IN ACCORDANCE WITH THE PROVISIONS OF REGULATION S OF THE ACT, OR IN TRANSACTIONS EFFECTED OUTSIDE OF THE UNITED STATES, PROVIDED THEY DO NOT SOLICIT (AND NO ONE ACTING ON THEIR BEHALF SOLICITS) PARTICIPANTS IN THE UNITED STATES OR OTHERWISE ENGAGE(S) IN SELLING EFFORTS IN THE UNITED STATES AND PROVIDED THAT HEDGING TRANSACTIONS INVOLVING THESE SHARES MAY NOT BE CONDUCTED UNLESS IN COMPLIANCE WITH THE ACT.</w:t>
      </w:r>
    </w:p>
    <w:p>
      <w:pPr>
        <w:spacing w:after="0" w:line="199" w:lineRule="exact"/>
        <w:rPr>
          <w:rFonts w:ascii="Times New Roman" w:cs="Times New Roman" w:eastAsia="Times New Roman" w:hAnsi="Times New Roman"/>
          <w:sz w:val="20"/>
          <w:szCs w:val="20"/>
          <w:b w:val="1"/>
          <w:bCs w:val="1"/>
          <w:color w:val="auto"/>
        </w:rPr>
      </w:pPr>
    </w:p>
    <w:p>
      <w:pPr>
        <w:jc w:val="both"/>
        <w:ind w:firstLine="1304"/>
        <w:spacing w:after="0" w:line="258" w:lineRule="auto"/>
        <w:tabs>
          <w:tab w:leader="none" w:pos="1966" w:val="left"/>
        </w:tabs>
        <w:numPr>
          <w:ilvl w:val="2"/>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HOLDER OF THE SHARES WHO IS A DISTRIBUTOR, DEALER, SUB-UNDERWRITER OR OTHER SECURITIES PROFESSIONAL, IN ADDITION, CANNOT, PRIOR TO ONE YEAR STARTING FROM THE DATE OF SALE OF THE SHARES, RESELL THE SHARES TO A U.S. PERSON AS DEFINED BY RULE 902(K) OF REGULATION S UNLESS THE SHARES ARE REGISTERED UNDER THE ACT OR AN EXEMPTION FROM REGISTRATION UNDER THE ACT IS AVAILABLE.</w:t>
      </w:r>
    </w:p>
    <w:p>
      <w:pPr>
        <w:spacing w:after="0" w:line="168"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079" w:val="left"/>
        </w:tabs>
        <w:numPr>
          <w:ilvl w:val="1"/>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Stop-Transfer Instructions</w:t>
      </w:r>
      <w:r>
        <w:rPr>
          <w:rFonts w:ascii="Times New Roman" w:cs="Times New Roman" w:eastAsia="Times New Roman" w:hAnsi="Times New Roman"/>
          <w:sz w:val="20"/>
          <w:szCs w:val="20"/>
          <w:color w:val="auto"/>
        </w:rPr>
        <w:t>. Participant agrees that, to ensure compliance with the restrictions imposed by this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may issue appropriate “stop-transfer” instructions to its transfer agent, if any, and if the Company transfers its own securities, it may make appropriate notations to the same effect in its own records.</w:t>
      </w:r>
    </w:p>
    <w:p>
      <w:pPr>
        <w:spacing w:after="0" w:line="175" w:lineRule="exact"/>
        <w:rPr>
          <w:rFonts w:ascii="Times New Roman" w:cs="Times New Roman" w:eastAsia="Times New Roman" w:hAnsi="Times New Roman"/>
          <w:sz w:val="20"/>
          <w:szCs w:val="20"/>
          <w:b w:val="1"/>
          <w:bCs w:val="1"/>
          <w:color w:val="auto"/>
        </w:rPr>
      </w:pPr>
    </w:p>
    <w:p>
      <w:pPr>
        <w:jc w:val="both"/>
        <w:ind w:right="20" w:firstLine="656"/>
        <w:spacing w:after="0" w:line="263" w:lineRule="auto"/>
        <w:tabs>
          <w:tab w:leader="none" w:pos="1088" w:val="left"/>
        </w:tabs>
        <w:numPr>
          <w:ilvl w:val="1"/>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Refusal to Transfer</w:t>
      </w:r>
      <w:r>
        <w:rPr>
          <w:rFonts w:ascii="Times New Roman" w:cs="Times New Roman" w:eastAsia="Times New Roman" w:hAnsi="Times New Roman"/>
          <w:sz w:val="20"/>
          <w:szCs w:val="20"/>
          <w:color w:val="auto"/>
        </w:rPr>
        <w:t>. The Company will not be required (i) to transfer on its books any Shares that have been sold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transferred in violation of any of the provisions of this Agreement or (ii) to treat as owner of such Shares, or to accord the right to vote or pay dividends to any purchaser or other transferee to whom such Shares have been so transferred.</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71" w:lineRule="auto"/>
        <w:tabs>
          <w:tab w:leader="none" w:pos="499" w:val="left"/>
        </w:tabs>
        <w:numPr>
          <w:ilvl w:val="0"/>
          <w:numId w:val="1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AWARD SUBJECT TO COMPANY CLAWBACK OR RECOUPMENT</w:t>
      </w:r>
      <w:r>
        <w:rPr>
          <w:rFonts w:ascii="Times New Roman" w:cs="Times New Roman" w:eastAsia="Times New Roman" w:hAnsi="Times New Roman"/>
          <w:sz w:val="19"/>
          <w:szCs w:val="19"/>
          <w:color w:val="auto"/>
        </w:rPr>
        <w:t>. The RSUs shall be subject to clawback or recoupment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any compensation clawback or recoupment policy adopted by the Board or required by law during the term of Participant’s employment or other service that is applicable to executive officers, employees, directors or other service providers of the Company or any Parent or Subsidiary of the Company, and in addition to any other remedies available under such policy and applicable law may require the cancellation of Participant’s RSUs (whether vested or unvested) and the recoupment of any gains realized with respect to Participant’s RSUs.</w:t>
      </w:r>
    </w:p>
    <w:p>
      <w:pPr>
        <w:spacing w:after="0" w:line="170" w:lineRule="exact"/>
        <w:rPr>
          <w:rFonts w:ascii="Times New Roman" w:cs="Times New Roman" w:eastAsia="Times New Roman" w:hAnsi="Times New Roman"/>
          <w:sz w:val="19"/>
          <w:szCs w:val="19"/>
          <w:b w:val="1"/>
          <w:bCs w:val="1"/>
          <w:color w:val="auto"/>
        </w:rPr>
      </w:pPr>
    </w:p>
    <w:p>
      <w:pPr>
        <w:jc w:val="both"/>
        <w:ind w:firstLine="8"/>
        <w:spacing w:after="0" w:line="255" w:lineRule="auto"/>
        <w:tabs>
          <w:tab w:leader="none" w:pos="499" w:val="left"/>
        </w:tabs>
        <w:numPr>
          <w:ilvl w:val="0"/>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and all notices required or permitted to be given to a party pursuant to the provisions of this Agreement will be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and 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w:t>
      </w:r>
    </w:p>
    <w:p>
      <w:pPr>
        <w:sectPr>
          <w:pgSz w:w="11900" w:h="16838" w:orient="portrait"/>
          <w:cols w:equalWidth="0" w:num="1">
            <w:col w:w="11240"/>
          </w:cols>
          <w:pgMar w:left="320" w:top="1413" w:right="339" w:bottom="1440" w:gutter="0" w:footer="0" w:header="0"/>
        </w:sectPr>
      </w:pPr>
    </w:p>
    <w:bookmarkStart w:id="296" w:name="page297"/>
    <w:bookmarkEnd w:id="296"/>
    <w:p>
      <w:pPr>
        <w:jc w:val="both"/>
        <w:spacing w:after="0" w:line="250" w:lineRule="auto"/>
        <w:rPr>
          <w:sz w:val="20"/>
          <w:szCs w:val="20"/>
          <w:color w:val="auto"/>
        </w:rPr>
      </w:pPr>
      <w:r>
        <w:rPr>
          <w:rFonts w:ascii="Times New Roman" w:cs="Times New Roman" w:eastAsia="Times New Roman" w:hAnsi="Times New Roman"/>
          <w:sz w:val="20"/>
          <w:szCs w:val="20"/>
          <w:color w:val="auto"/>
        </w:rPr>
        <w:t>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Participant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Legal Officer.” Notices by facsimile shall be machine verified as received.</w:t>
      </w:r>
    </w:p>
    <w:p>
      <w:pPr>
        <w:spacing w:after="0" w:line="192" w:lineRule="exact"/>
        <w:rPr>
          <w:sz w:val="20"/>
          <w:szCs w:val="20"/>
          <w:color w:val="auto"/>
        </w:rPr>
      </w:pPr>
    </w:p>
    <w:p>
      <w:pPr>
        <w:jc w:val="both"/>
        <w:ind w:firstLine="8"/>
        <w:spacing w:after="0" w:line="254" w:lineRule="auto"/>
        <w:tabs>
          <w:tab w:leader="none" w:pos="540"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 VENUE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 governed by and construed in accordance with the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California, without giving effect to that body of laws pertaining to conflict of laws. If any provision of this Agreement is determined by a court of law to be illegal or unenforceable, then such provision will be enforced to the maximum extent possible and the other provisions will remain fully effective and enforceable. 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in Santa Clara County, and no other courts, where this grant is made and/or to be performed.</w:t>
      </w:r>
    </w:p>
    <w:p>
      <w:pPr>
        <w:spacing w:after="0" w:line="172" w:lineRule="exact"/>
        <w:rPr>
          <w:rFonts w:ascii="Times New Roman" w:cs="Times New Roman" w:eastAsia="Times New Roman" w:hAnsi="Times New Roman"/>
          <w:sz w:val="20"/>
          <w:szCs w:val="20"/>
          <w:b w:val="1"/>
          <w:bCs w:val="1"/>
          <w:color w:val="auto"/>
        </w:rPr>
      </w:pPr>
    </w:p>
    <w:p>
      <w:pPr>
        <w:jc w:val="both"/>
        <w:ind w:firstLine="8"/>
        <w:spacing w:after="0" w:line="254" w:lineRule="auto"/>
        <w:tabs>
          <w:tab w:leader="none" w:pos="540"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ADDENDUM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 provisions in this Global Restricted Stock Unit Agreement, the RSUs shall be subject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terms and conditions set forth in the Addendum attached hereto if Participant’s country of residence is other than the United States, including the additional terms and conditions (if any) set forth beneath the name of such country on the Addendum. Moreover, if Participant relocates to a country other than the United States, the additional terms and conditions set forth in the Addendum, including the additional terms and conditions (if any) set forth beneath the name of such country on the Addendum, will apply to Participant to the extent the Company determines that the application of such terms and conditions is necessary or advisable for legal or administrative reasons. The Addendum constitutes an integral part of this Agreement.</w:t>
      </w:r>
    </w:p>
    <w:p>
      <w:pPr>
        <w:spacing w:after="0" w:line="172" w:lineRule="exact"/>
        <w:rPr>
          <w:rFonts w:ascii="Times New Roman" w:cs="Times New Roman" w:eastAsia="Times New Roman" w:hAnsi="Times New Roman"/>
          <w:sz w:val="20"/>
          <w:szCs w:val="20"/>
          <w:b w:val="1"/>
          <w:bCs w:val="1"/>
          <w:color w:val="auto"/>
        </w:rPr>
      </w:pPr>
    </w:p>
    <w:p>
      <w:pPr>
        <w:jc w:val="both"/>
        <w:ind w:firstLine="8"/>
        <w:spacing w:after="0" w:line="258" w:lineRule="auto"/>
        <w:tabs>
          <w:tab w:leader="none" w:pos="472"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FURTHER ASSURANCES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agree to execute such further documents and instruments and to take such further actions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reasonably necessary to carry out the purposes and intent of this Agreement. The Company reserves the right to impose other requirements on Participant’s participation in the Plan, on the RSUs and on any Shares acquired upon settlement thereof, to the extent the Company determines it is necessary or advisable for legal or administrative reasons, and to require Participant to sign any additional agreements or undertakings that may be necessary to accomplish the foregoing.</w:t>
      </w:r>
    </w:p>
    <w:p>
      <w:pPr>
        <w:spacing w:after="0" w:line="167" w:lineRule="exact"/>
        <w:rPr>
          <w:rFonts w:ascii="Times New Roman" w:cs="Times New Roman" w:eastAsia="Times New Roman" w:hAnsi="Times New Roman"/>
          <w:sz w:val="20"/>
          <w:szCs w:val="20"/>
          <w:b w:val="1"/>
          <w:bCs w:val="1"/>
          <w:color w:val="auto"/>
        </w:rPr>
      </w:pPr>
    </w:p>
    <w:p>
      <w:pPr>
        <w:ind w:left="460" w:hanging="452"/>
        <w:spacing w:after="0"/>
        <w:tabs>
          <w:tab w:leader="none" w:pos="460"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 PROVISIONS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b w:val="1"/>
          <w:bCs w:val="1"/>
          <w:color w:val="auto"/>
        </w:rPr>
      </w:pPr>
    </w:p>
    <w:p>
      <w:pPr>
        <w:ind w:right="20" w:firstLine="656"/>
        <w:spacing w:after="0" w:line="273" w:lineRule="auto"/>
        <w:tabs>
          <w:tab w:leader="none" w:pos="1076" w:val="left"/>
        </w:tabs>
        <w:numPr>
          <w:ilvl w:val="1"/>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color w:val="auto"/>
        </w:rPr>
        <w:t>. Any dispute regarding the interpretation of this Agreement shall be submitted by Participant or the Company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Committee for review. The resolution of such a dispute by the Committee shall be final and binding on the Company and Participant.</w:t>
      </w:r>
    </w:p>
    <w:p>
      <w:pPr>
        <w:sectPr>
          <w:pgSz w:w="11900" w:h="16838" w:orient="portrait"/>
          <w:cols w:equalWidth="0" w:num="1">
            <w:col w:w="11240"/>
          </w:cols>
          <w:pgMar w:left="320" w:top="1413" w:right="339" w:bottom="1440" w:gutter="0" w:footer="0" w:header="0"/>
        </w:sectPr>
      </w:pPr>
    </w:p>
    <w:bookmarkStart w:id="297" w:name="page298"/>
    <w:bookmarkEnd w:id="297"/>
    <w:p>
      <w:pPr>
        <w:jc w:val="both"/>
        <w:ind w:left="-656" w:firstLine="656"/>
        <w:spacing w:after="0" w:line="263" w:lineRule="auto"/>
        <w:tabs>
          <w:tab w:leader="none" w:pos="432"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The Plan and the Notice of Grant are each incorporated herein by reference. This Agreement, the Notice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and the Plan constitute the entire agreement of the parties with respect to the subject matter hereof and supersede all prior undertakings and agreements with respect to such subject matter.</w:t>
      </w:r>
    </w:p>
    <w:p>
      <w:pPr>
        <w:spacing w:after="0" w:line="175" w:lineRule="exact"/>
        <w:rPr>
          <w:rFonts w:ascii="Times New Roman" w:cs="Times New Roman" w:eastAsia="Times New Roman" w:hAnsi="Times New Roman"/>
          <w:sz w:val="20"/>
          <w:szCs w:val="20"/>
          <w:b w:val="1"/>
          <w:bCs w:val="1"/>
          <w:color w:val="auto"/>
        </w:rPr>
      </w:pPr>
    </w:p>
    <w:p>
      <w:pPr>
        <w:jc w:val="both"/>
        <w:ind w:left="-656" w:firstLine="656"/>
        <w:spacing w:after="0" w:line="263" w:lineRule="auto"/>
        <w:tabs>
          <w:tab w:leader="none" w:pos="450"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Titles and Headings</w:t>
      </w:r>
      <w:r>
        <w:rPr>
          <w:rFonts w:ascii="Times New Roman" w:cs="Times New Roman" w:eastAsia="Times New Roman" w:hAnsi="Times New Roman"/>
          <w:sz w:val="20"/>
          <w:szCs w:val="20"/>
          <w:color w:val="auto"/>
        </w:rPr>
        <w:t>. The titles, captions and headings of this Agreement are included for ease of reference only and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disregarded in interpreting or construing this Agreement. Unless otherwise specifically stated, all references herein to “sections” and “exhibits” will mean “sections” and “exhibits” to this Agreement.</w:t>
      </w:r>
    </w:p>
    <w:p>
      <w:pPr>
        <w:spacing w:after="0" w:line="175" w:lineRule="exact"/>
        <w:rPr>
          <w:rFonts w:ascii="Times New Roman" w:cs="Times New Roman" w:eastAsia="Times New Roman" w:hAnsi="Times New Roman"/>
          <w:sz w:val="20"/>
          <w:szCs w:val="20"/>
          <w:b w:val="1"/>
          <w:bCs w:val="1"/>
          <w:color w:val="auto"/>
        </w:rPr>
      </w:pPr>
    </w:p>
    <w:p>
      <w:pPr>
        <w:ind w:left="-656" w:right="20" w:firstLine="656"/>
        <w:spacing w:after="0" w:line="273" w:lineRule="auto"/>
        <w:tabs>
          <w:tab w:leader="none" w:pos="432"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when so executed and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deemed an original, and all of which together shall constitute one and the same agreement.</w:t>
      </w:r>
    </w:p>
    <w:p>
      <w:pPr>
        <w:spacing w:after="0" w:line="165" w:lineRule="exact"/>
        <w:rPr>
          <w:rFonts w:ascii="Times New Roman" w:cs="Times New Roman" w:eastAsia="Times New Roman" w:hAnsi="Times New Roman"/>
          <w:sz w:val="20"/>
          <w:szCs w:val="20"/>
          <w:b w:val="1"/>
          <w:bCs w:val="1"/>
          <w:color w:val="auto"/>
        </w:rPr>
      </w:pPr>
    </w:p>
    <w:p>
      <w:pPr>
        <w:jc w:val="both"/>
        <w:ind w:left="-656" w:firstLine="656"/>
        <w:spacing w:after="0" w:line="252" w:lineRule="auto"/>
        <w:tabs>
          <w:tab w:leader="none" w:pos="409"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If any provision of this Agreement is determined by any court or arbitrator of competent jurisdiction to be invalid,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foregoing,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6" w:lineRule="exact"/>
        <w:rPr>
          <w:rFonts w:ascii="Times New Roman" w:cs="Times New Roman" w:eastAsia="Times New Roman" w:hAnsi="Times New Roman"/>
          <w:sz w:val="20"/>
          <w:szCs w:val="20"/>
          <w:b w:val="1"/>
          <w:bCs w:val="1"/>
          <w:color w:val="auto"/>
        </w:rPr>
      </w:pPr>
    </w:p>
    <w:p>
      <w:pPr>
        <w:ind w:left="-656" w:firstLine="656"/>
        <w:spacing w:after="0" w:line="315" w:lineRule="auto"/>
        <w:tabs>
          <w:tab w:leader="none" w:pos="388" w:val="left"/>
        </w:tabs>
        <w:numPr>
          <w:ilvl w:val="0"/>
          <w:numId w:val="18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Waiver</w:t>
      </w:r>
      <w:r>
        <w:rPr>
          <w:rFonts w:ascii="Times New Roman" w:cs="Times New Roman" w:eastAsia="Times New Roman" w:hAnsi="Times New Roman"/>
          <w:sz w:val="19"/>
          <w:szCs w:val="19"/>
          <w:color w:val="auto"/>
        </w:rPr>
        <w:t>. Participant acknowledges that a waiver by the Company of breach of any provision of this Agreement shall not operate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be construed as a waiver of any other provision of this Agreement, or of any subsequent breach by Participant or any other participant.</w:t>
      </w:r>
    </w:p>
    <w:p>
      <w:pPr>
        <w:spacing w:after="0" w:line="115" w:lineRule="exact"/>
        <w:rPr>
          <w:rFonts w:ascii="Times New Roman" w:cs="Times New Roman" w:eastAsia="Times New Roman" w:hAnsi="Times New Roman"/>
          <w:sz w:val="19"/>
          <w:szCs w:val="19"/>
          <w:b w:val="1"/>
          <w:bCs w:val="1"/>
          <w:color w:val="auto"/>
        </w:rPr>
      </w:pPr>
    </w:p>
    <w:p>
      <w:pPr>
        <w:jc w:val="both"/>
        <w:ind w:left="-656" w:firstLine="656"/>
        <w:spacing w:after="0" w:line="263" w:lineRule="auto"/>
        <w:tabs>
          <w:tab w:leader="none" w:pos="474"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This Agreement shall be binding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and inure to the benefit of the successors and assigns of the Company. Subject to the restrictions on transfer set forth herein, this Agreement will be binding upon Participant and Participant’s heirs, executors, administrators, legal representatives, successors and assigns.</w:t>
      </w:r>
    </w:p>
    <w:p>
      <w:pPr>
        <w:spacing w:after="0" w:line="179" w:lineRule="exact"/>
        <w:rPr>
          <w:rFonts w:ascii="Times New Roman" w:cs="Times New Roman" w:eastAsia="Times New Roman" w:hAnsi="Times New Roman"/>
          <w:sz w:val="20"/>
          <w:szCs w:val="20"/>
          <w:b w:val="1"/>
          <w:bCs w:val="1"/>
          <w:color w:val="auto"/>
        </w:rPr>
      </w:pPr>
    </w:p>
    <w:p>
      <w:pPr>
        <w:ind w:left="4624"/>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 * * *</w:t>
      </w:r>
    </w:p>
    <w:p>
      <w:pPr>
        <w:sectPr>
          <w:pgSz w:w="11900" w:h="16838" w:orient="portrait"/>
          <w:cols w:equalWidth="0" w:num="1">
            <w:col w:w="10584"/>
          </w:cols>
          <w:pgMar w:left="976" w:top="1409" w:right="339" w:bottom="1440" w:gutter="0" w:footer="0" w:header="0"/>
        </w:sectPr>
      </w:pPr>
    </w:p>
    <w:bookmarkStart w:id="298" w:name="page299"/>
    <w:bookmarkEnd w:id="298"/>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ADDENDUM</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RESTRICTED STOCK UNIT AGREEMENT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0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used but not defined herein shall have the meanings ascribed to them in the Global Notice of Restricted Stock Unit Award and the Global Restricted Stock Unit Agreement to which this Addendum is attached and/or the Plan, as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This Addendum includes additional terms and conditions that govern the RSUs granted to Participant under the Plan if Participant resides and/or works in one of the countries listed below.</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If Participant is a citizen or resident of a country other than the one in which he or she is currently working and/or residing, transfers to another country after the RSU Grant Date, is a consultant, changes employment status to a consultant position or is considered a resident of another country for local law purposes, the Company shall, in its discretion, determine the extent to which the additional terms and conditions contained herein apply to Participant. References to the Service Recipient shall include any entity that engages Participant’s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Addendum also includes information regarding exchange controls and certain other issues of which Participant should be aware with respect to Participant’s participation in the Plan. The information is provided solely for the convenience of Participant and is based on the securities, exchange control and other laws in effect in the respective countries as of June 2024. Such laws are often complex and change frequently. As a result, the Company strongly recommends that Participant not rely on the information noted herein as the only source of information relating to the consequences of Participant’s participation in the Plan because the information may be out of date by the time Participant vests in the RSUs, the RSUs are settled or Participant sells any acquired Shares.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In addition, the information contained in this Addendum is general in nature and may not apply to Participant’s particular situation, and the Company is not in a position to assure Participant of any particular result. Accordingly, Participant is advised to seek appropriate professional advice as to how the applicable laws in his or her country may apply to his or her situation.</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Finally, Participant understands that if he or she is a citizen or resident of a country other than the one in which he or she is currently residing and/or working, transfers to another country after the RSU Grant Date, or is considered a resident of another country for local law purposes, the notifications contained herein may not be applicable to Participant in the same manner.</w:t>
      </w:r>
    </w:p>
    <w:p>
      <w:pPr>
        <w:spacing w:after="0" w:line="17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TERMS AND CONDITIONS APPLICABLE TO NON-U.S. PARTICIPANTS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 accepting the RSUs, Participant understands, acknowledges, and agrees to the following:</w:t>
      </w:r>
    </w:p>
    <w:p>
      <w:pPr>
        <w:sectPr>
          <w:pgSz w:w="11900" w:h="16838" w:orient="portrait"/>
          <w:cols w:equalWidth="0" w:num="1">
            <w:col w:w="11240"/>
          </w:cols>
          <w:pgMar w:left="320" w:top="1440" w:right="339" w:bottom="1440" w:gutter="0" w:footer="0" w:header="0"/>
        </w:sectPr>
      </w:pPr>
    </w:p>
    <w:bookmarkStart w:id="299" w:name="page300"/>
    <w:bookmarkEnd w:id="299"/>
    <w:p>
      <w:pPr>
        <w:jc w:val="both"/>
        <w:ind w:firstLine="656"/>
        <w:spacing w:after="0" w:line="258" w:lineRule="auto"/>
        <w:tabs>
          <w:tab w:leader="none" w:pos="1048"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Data Privacy Information and Consent</w:t>
      </w:r>
      <w:r>
        <w:rPr>
          <w:rFonts w:ascii="Times New Roman" w:cs="Times New Roman" w:eastAsia="Times New Roman" w:hAnsi="Times New Roman"/>
          <w:sz w:val="20"/>
          <w:szCs w:val="20"/>
          <w:color w:val="auto"/>
        </w:rPr>
        <w:t>. The Company is located at 1501 Page Mill Road, Building 1 (Upper), Palo Alto, CA 94304, United States and grants awards to service providers of the Company and its Subsidiaries, Parent and Affiliates, at the Company’s sole discretion. If Participant would like to participate in the Plan, please review the following information about the Company’s data processing practices.</w:t>
      </w:r>
    </w:p>
    <w:p>
      <w:pPr>
        <w:spacing w:after="0" w:line="16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1.1 </w:t>
      </w:r>
      <w:r>
        <w:rPr>
          <w:rFonts w:ascii="Times New Roman" w:cs="Times New Roman" w:eastAsia="Times New Roman" w:hAnsi="Times New Roman"/>
          <w:sz w:val="20"/>
          <w:szCs w:val="20"/>
          <w:u w:val="single" w:color="auto"/>
          <w:color w:val="auto"/>
        </w:rPr>
        <w:t>Data Collection and Usage</w:t>
      </w:r>
      <w:r>
        <w:rPr>
          <w:rFonts w:ascii="Times New Roman" w:cs="Times New Roman" w:eastAsia="Times New Roman" w:hAnsi="Times New Roman"/>
          <w:sz w:val="20"/>
          <w:szCs w:val="20"/>
          <w:color w:val="auto"/>
        </w:rPr>
        <w:t>. The Company and the Service Recipient, and its other Subsidiaries, Parent or Affiliates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collect, process, transfer and use personal data about Plan participants that is necessary for the purpose of implementing, administering and managing the Plan. This personal data may include Participant’s name, home address and telephone number, date of birth, social insurance number or other identification number, salary, nationality and citizenship, job title, any shares or directorships held in the Company, details of all awards or other entitlements to Shares, granted, canceled, settled, vested, unvested or outstanding in Participant’s favor and any other personal information that could identify Participant (collectively, without limitation, “Data”), which the Company receives from Participant or the Service Recipient. If the Company offers Participant an award under the Plan, then the Company will collect Participant’s Data for purposes of allocating stock and implementing, administering and managing the Plan and will process such Data in accordance with the Company’s then-current data privacy policies, which are made available to Participant upon commencing service and also available upon request.</w:t>
      </w:r>
    </w:p>
    <w:p>
      <w:pPr>
        <w:spacing w:after="0" w:line="17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u w:val="single" w:color="auto"/>
          <w:color w:val="auto"/>
        </w:rPr>
        <w:t>Stock Plan Administration Service Providers</w:t>
      </w:r>
      <w:r>
        <w:rPr>
          <w:rFonts w:ascii="Times New Roman" w:cs="Times New Roman" w:eastAsia="Times New Roman" w:hAnsi="Times New Roman"/>
          <w:sz w:val="20"/>
          <w:szCs w:val="20"/>
          <w:color w:val="auto"/>
        </w:rPr>
        <w:t>. The Company transfers Data to an independent stock plan administrator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other third parties based in the United States who are involved in assisting the Company with the implementation, administration and management of the Plan, including the Company’s legal and accounting counsel, escrow agents, transfer agents, and trustees. In the future, the Company may select a different service provider and share Participant’s Data with another company that serves in a similar manner. Participant understands that the recipients of the Data may be located in the United States or elsewhere, and that the recipients’ country (e.g., the United States) may have different data privacy laws and protections than Participant’s country. The Company’s service provider may open an account for Participant to receive Shares. Participant will be asked to agree on separate terms and data processing practices with the service provider, which is a condition to Participant’s ability to participate in the Plan. Participant understands that Participant may request a list with the names and addresses of any potential recipients of the Data by contacting Participant’s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Participant’s participation in the Plan.</w:t>
      </w:r>
    </w:p>
    <w:p>
      <w:pPr>
        <w:spacing w:after="0" w:line="178"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1.3 </w:t>
      </w:r>
      <w:r>
        <w:rPr>
          <w:rFonts w:ascii="Times New Roman" w:cs="Times New Roman" w:eastAsia="Times New Roman" w:hAnsi="Times New Roman"/>
          <w:sz w:val="19"/>
          <w:szCs w:val="19"/>
          <w:u w:val="single" w:color="auto"/>
          <w:color w:val="auto"/>
        </w:rPr>
        <w:t>Data Retention</w:t>
      </w:r>
      <w:r>
        <w:rPr>
          <w:rFonts w:ascii="Times New Roman" w:cs="Times New Roman" w:eastAsia="Times New Roman" w:hAnsi="Times New Roman"/>
          <w:sz w:val="19"/>
          <w:szCs w:val="19"/>
          <w:color w:val="auto"/>
        </w:rPr>
        <w:t>. The Company will use Participant’s Data only as long as is necessary to implement, administer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manage Participant’s participation in the Plan or as required to comply with legal or regulatory obligations, including under tax, exchange control, labor and securities laws. This may mean Data may be retained until after Participant's Continuous Service ends, plus any additional time periods necessary for compliance with law, exercise or defense of legal rights, archiving, back-up and deletion purposes. When the Company no longer needs Participant’s Data, the Company will remove it from its systems. Participant understands that Participant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w:t>
      </w:r>
    </w:p>
    <w:p>
      <w:pPr>
        <w:sectPr>
          <w:pgSz w:w="11900" w:h="16838" w:orient="portrait"/>
          <w:cols w:equalWidth="0" w:num="1">
            <w:col w:w="11240"/>
          </w:cols>
          <w:pgMar w:left="320" w:top="1413" w:right="339" w:bottom="1440" w:gutter="0" w:footer="0" w:header="0"/>
        </w:sectPr>
      </w:pPr>
    </w:p>
    <w:bookmarkStart w:id="300" w:name="page301"/>
    <w:bookmarkEnd w:id="300"/>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1.4 </w:t>
      </w:r>
      <w:r>
        <w:rPr>
          <w:rFonts w:ascii="Times New Roman" w:cs="Times New Roman" w:eastAsia="Times New Roman" w:hAnsi="Times New Roman"/>
          <w:sz w:val="20"/>
          <w:szCs w:val="20"/>
          <w:u w:val="single" w:color="auto"/>
          <w:color w:val="auto"/>
        </w:rPr>
        <w:t>Consent; Voluntariness and Consequences of Denial or Withdrawal</w:t>
      </w:r>
      <w:r>
        <w:rPr>
          <w:rFonts w:ascii="Times New Roman" w:cs="Times New Roman" w:eastAsia="Times New Roman" w:hAnsi="Times New Roman"/>
          <w:sz w:val="20"/>
          <w:szCs w:val="20"/>
          <w:color w:val="auto"/>
        </w:rPr>
        <w:t>. Where permitted by applicable local law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country where Participant resides, consent is a requirement for participation in the Plan. In such cases, by accepting this grant, Participant hereby agrees with the data processing practices as described in this notice and grants such consent to the processing and transfer of his or her Data as described in the Global Restricted Stock Unit Agreement and as necessary for the purpose of administering the Plan. Participant’s participation in the Plan and Participant’s grant of consent is purely voluntary. Participant may deny or withdraw his or her consent at any time; provided that if Participant does not consent, or if Participant withdraws his or her consent, Participant cannot participate in the Plan unless required by applicable law. This would not affect Participant’s compensation or his or her Continuous Service; Participant would merely forfeit the opportunities associated with the Plan.</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1.5 </w:t>
      </w:r>
      <w:r>
        <w:rPr>
          <w:rFonts w:ascii="Times New Roman" w:cs="Times New Roman" w:eastAsia="Times New Roman" w:hAnsi="Times New Roman"/>
          <w:sz w:val="20"/>
          <w:szCs w:val="20"/>
          <w:u w:val="single" w:color="auto"/>
          <w:color w:val="auto"/>
        </w:rPr>
        <w:t>Data Subject Rights</w:t>
      </w:r>
      <w:r>
        <w:rPr>
          <w:rFonts w:ascii="Times New Roman" w:cs="Times New Roman" w:eastAsia="Times New Roman" w:hAnsi="Times New Roman"/>
          <w:sz w:val="20"/>
          <w:szCs w:val="20"/>
          <w:color w:val="auto"/>
        </w:rPr>
        <w:t>. Participant has a number of rights under data privacy laws in his or her country. Depending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 Participant is based, Participant’s rights may include the right to (i) request access or copies of Participant’s Data the Company processes, (ii) have the Company rectify Participant’s incorrect Data and/or delete Participant’s Data, (iv) restrict processing of Participant’s Data, (v) have portability of Participant’s Data, (vi) lodge complaints with the competent tax authorities in Participant’s country and/or (vii) obtain a list with the names and addresses of any potential recipients of Participant’s Data. To receive clarification regarding Participant’s rights or to exercise Participant’s rights please contact the Company at 1501 Page Mill Road, Building 1 (Upper), Palo Alto, CA 94304 United States, Attn: Stock Administration.</w:t>
      </w:r>
    </w:p>
    <w:p>
      <w:pPr>
        <w:spacing w:after="0" w:line="18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1.6 </w:t>
      </w:r>
      <w:r>
        <w:rPr>
          <w:rFonts w:ascii="Times New Roman" w:cs="Times New Roman" w:eastAsia="Times New Roman" w:hAnsi="Times New Roman"/>
          <w:sz w:val="20"/>
          <w:szCs w:val="20"/>
          <w:u w:val="single" w:color="auto"/>
          <w:color w:val="auto"/>
        </w:rPr>
        <w:t>Data Privacy Compliance for EEA+ Countries</w:t>
      </w:r>
      <w:r>
        <w:rPr>
          <w:rFonts w:ascii="Times New Roman" w:cs="Times New Roman" w:eastAsia="Times New Roman" w:hAnsi="Times New Roman"/>
          <w:sz w:val="20"/>
          <w:szCs w:val="20"/>
          <w:color w:val="auto"/>
        </w:rPr>
        <w:t>. If Participant resides and/or works in a member country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European Union and/or the European Economic Area, Switzerland, or the United Kingdom (the “EEA+”) the following provisions supplement this Section 1:</w:t>
      </w:r>
    </w:p>
    <w:p>
      <w:pPr>
        <w:spacing w:after="0" w:line="179" w:lineRule="exact"/>
        <w:rPr>
          <w:sz w:val="20"/>
          <w:szCs w:val="20"/>
          <w:color w:val="auto"/>
        </w:rPr>
      </w:pPr>
    </w:p>
    <w:p>
      <w:pPr>
        <w:jc w:val="both"/>
        <w:ind w:firstLine="1952"/>
        <w:spacing w:after="0" w:line="253" w:lineRule="auto"/>
        <w:tabs>
          <w:tab w:leader="none" w:pos="2399"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satisfaction and on the direction of the Committee, all operations of the Plan and the RSUs (at the time of grant and as necessary thereafter) shall include or be supported by appropriate agreements, notifications and arrangements in respect of Data and its use and processing under the Plan, in order to secure (a) the reasonable freedom of the Service Recipient, the Company and any Parent or Subsidiary, as appropriate, to operate the Plan and for connected purposes, and (b) compliance with the data-protection requirements applicable from time to time, including, if applicable, and without limitation, Regulation EU 2016/679 of the European Parliament and of the Council of 27 April 2016.</w:t>
      </w:r>
    </w:p>
    <w:p>
      <w:pPr>
        <w:spacing w:after="0" w:line="178" w:lineRule="exact"/>
        <w:rPr>
          <w:rFonts w:ascii="Times New Roman" w:cs="Times New Roman" w:eastAsia="Times New Roman" w:hAnsi="Times New Roman"/>
          <w:sz w:val="20"/>
          <w:szCs w:val="20"/>
          <w:b w:val="1"/>
          <w:bCs w:val="1"/>
          <w:color w:val="auto"/>
        </w:rPr>
      </w:pPr>
    </w:p>
    <w:p>
      <w:pPr>
        <w:ind w:left="2400" w:hanging="448"/>
        <w:spacing w:after="0"/>
        <w:tabs>
          <w:tab w:leader="none" w:pos="2400"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Participant has certain rights under data protection legislation as summarized below:</w:t>
      </w:r>
    </w:p>
    <w:p>
      <w:pPr>
        <w:spacing w:after="0" w:line="229" w:lineRule="exact"/>
        <w:rPr>
          <w:rFonts w:ascii="Times New Roman" w:cs="Times New Roman" w:eastAsia="Times New Roman" w:hAnsi="Times New Roman"/>
          <w:sz w:val="20"/>
          <w:szCs w:val="20"/>
          <w:b w:val="1"/>
          <w:bCs w:val="1"/>
          <w:color w:val="auto"/>
        </w:rPr>
      </w:pPr>
    </w:p>
    <w:p>
      <w:pPr>
        <w:jc w:val="both"/>
        <w:ind w:firstLine="2600"/>
        <w:spacing w:after="0" w:line="261" w:lineRule="auto"/>
        <w:tabs>
          <w:tab w:leader="none" w:pos="3004" w:val="left"/>
        </w:tabs>
        <w:numPr>
          <w:ilvl w:val="1"/>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Right of Access. Participant has the right to obtain from us confirmation as to whether or not personal data concerning Participant is being processed, and, where that is the case, to request access to the personal data, as well as certain information on how the Company is processing such data.</w:t>
      </w:r>
    </w:p>
    <w:p>
      <w:pPr>
        <w:spacing w:after="0" w:line="181" w:lineRule="exact"/>
        <w:rPr>
          <w:rFonts w:ascii="Times New Roman" w:cs="Times New Roman" w:eastAsia="Times New Roman" w:hAnsi="Times New Roman"/>
          <w:sz w:val="20"/>
          <w:szCs w:val="20"/>
          <w:b w:val="1"/>
          <w:bCs w:val="1"/>
          <w:color w:val="auto"/>
        </w:rPr>
      </w:pPr>
    </w:p>
    <w:p>
      <w:pPr>
        <w:jc w:val="both"/>
        <w:ind w:firstLine="2600"/>
        <w:spacing w:after="0" w:line="261" w:lineRule="auto"/>
        <w:tabs>
          <w:tab w:leader="none" w:pos="3031" w:val="left"/>
        </w:tabs>
        <w:numPr>
          <w:ilvl w:val="1"/>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Right to Rectification. Participant has the right to obtain from us the rectification of inaccurate personal data concerning Participant. Considering the purpose of the processing, Participant may also, in some cases, be entitled to supplemental information regarding incomplete personal data.</w:t>
      </w:r>
    </w:p>
    <w:p>
      <w:pPr>
        <w:sectPr>
          <w:pgSz w:w="11900" w:h="16838" w:orient="portrait"/>
          <w:cols w:equalWidth="0" w:num="1">
            <w:col w:w="11240"/>
          </w:cols>
          <w:pgMar w:left="320" w:top="1409" w:right="339" w:bottom="1440" w:gutter="0" w:footer="0" w:header="0"/>
        </w:sectPr>
      </w:pPr>
    </w:p>
    <w:bookmarkStart w:id="301" w:name="page302"/>
    <w:bookmarkEnd w:id="301"/>
    <w:p>
      <w:pPr>
        <w:jc w:val="both"/>
        <w:ind w:left="-656" w:firstLine="2600"/>
        <w:spacing w:after="0" w:line="253" w:lineRule="auto"/>
        <w:tabs>
          <w:tab w:leader="none" w:pos="2498" w:val="left"/>
        </w:tabs>
        <w:numPr>
          <w:ilvl w:val="2"/>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Right to Erasure (Right to be Forgotten). Participant may, in certain circumstances, have his or her personal data deleted, for example if Participant’s personal information is no longer necessary in relation to the purpose for which it was collected, if Participant has objected to the processing of personal data and the Company does not have a legitimate interest which outweighs Participant’s interest, if the personal data has been processed unlawfully, or if the personal data must be deleted to comply with a legal obligation.</w:t>
      </w:r>
    </w:p>
    <w:p>
      <w:pPr>
        <w:spacing w:after="0" w:line="191" w:lineRule="exact"/>
        <w:rPr>
          <w:rFonts w:ascii="Times New Roman" w:cs="Times New Roman" w:eastAsia="Times New Roman" w:hAnsi="Times New Roman"/>
          <w:sz w:val="20"/>
          <w:szCs w:val="20"/>
          <w:b w:val="1"/>
          <w:bCs w:val="1"/>
          <w:color w:val="auto"/>
        </w:rPr>
      </w:pPr>
    </w:p>
    <w:p>
      <w:pPr>
        <w:jc w:val="both"/>
        <w:ind w:left="-656" w:firstLine="2600"/>
        <w:spacing w:after="0" w:line="258" w:lineRule="auto"/>
        <w:tabs>
          <w:tab w:leader="none" w:pos="2433" w:val="left"/>
        </w:tabs>
        <w:numPr>
          <w:ilvl w:val="2"/>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Right to Restriction of Processing. Participant may require that the Company restrict the processing of Participant’s personal data in certain cases, for example where the Company no longer needs Participant’s personal data but Participant needs it to determine, enforce or defend legal claims or Participant has objected to processing based on the Company’s legitimate interest in order to enable the Company to check if its interest overrides Participant interest.</w:t>
      </w:r>
    </w:p>
    <w:p>
      <w:pPr>
        <w:spacing w:after="0" w:line="172" w:lineRule="exact"/>
        <w:rPr>
          <w:rFonts w:ascii="Times New Roman" w:cs="Times New Roman" w:eastAsia="Times New Roman" w:hAnsi="Times New Roman"/>
          <w:sz w:val="20"/>
          <w:szCs w:val="20"/>
          <w:b w:val="1"/>
          <w:bCs w:val="1"/>
          <w:color w:val="auto"/>
        </w:rPr>
      </w:pPr>
    </w:p>
    <w:p>
      <w:pPr>
        <w:jc w:val="both"/>
        <w:ind w:left="-656" w:firstLine="2600"/>
        <w:spacing w:after="0" w:line="268" w:lineRule="auto"/>
        <w:tabs>
          <w:tab w:leader="none" w:pos="2432" w:val="left"/>
        </w:tabs>
        <w:numPr>
          <w:ilvl w:val="2"/>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Right to Data Portability. In some circumstances, Participant may be entitled to receive the personal data concerning Participant which Participant provided to the Company in a structured, commonly used and machine-readable format and Participant has the right to transmit those personal data to another controller.</w:t>
      </w:r>
    </w:p>
    <w:p>
      <w:pPr>
        <w:spacing w:after="0" w:line="161" w:lineRule="exact"/>
        <w:rPr>
          <w:rFonts w:ascii="Times New Roman" w:cs="Times New Roman" w:eastAsia="Times New Roman" w:hAnsi="Times New Roman"/>
          <w:sz w:val="20"/>
          <w:szCs w:val="20"/>
          <w:b w:val="1"/>
          <w:bCs w:val="1"/>
          <w:color w:val="auto"/>
        </w:rPr>
      </w:pPr>
    </w:p>
    <w:p>
      <w:pPr>
        <w:jc w:val="both"/>
        <w:ind w:left="-656" w:firstLine="2600"/>
        <w:spacing w:after="0" w:line="261" w:lineRule="auto"/>
        <w:tabs>
          <w:tab w:leader="none" w:pos="2473" w:val="left"/>
        </w:tabs>
        <w:numPr>
          <w:ilvl w:val="2"/>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Right to Object. Participant has the right to object to the processing of Participant’s personal data in certain circumstances, for example where the processing is based on the Company’s legitimate interest. If so, in order to continue processing, the Company must be able to show compelling legitimate grounds that override Participant’s interests, rights and freedoms.</w:t>
      </w:r>
    </w:p>
    <w:p>
      <w:pPr>
        <w:spacing w:after="0" w:line="181" w:lineRule="exact"/>
        <w:rPr>
          <w:rFonts w:ascii="Times New Roman" w:cs="Times New Roman" w:eastAsia="Times New Roman" w:hAnsi="Times New Roman"/>
          <w:sz w:val="20"/>
          <w:szCs w:val="20"/>
          <w:b w:val="1"/>
          <w:bCs w:val="1"/>
          <w:color w:val="auto"/>
        </w:rPr>
      </w:pPr>
    </w:p>
    <w:p>
      <w:pPr>
        <w:jc w:val="both"/>
        <w:ind w:left="-656" w:firstLine="1952"/>
        <w:spacing w:after="0" w:line="253" w:lineRule="auto"/>
        <w:tabs>
          <w:tab w:leader="none" w:pos="1773" w:val="left"/>
        </w:tabs>
        <w:numPr>
          <w:ilvl w:val="1"/>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Participant’s rights will in each case be subject to the restrictions set out in applicable data protection laws. Further information on these rights, and the circumstances in which they may arise in connection with the Company’s processing of Participant’s personal data, can be obtained by contacting Participant’s local human resources representative. If Participant wants to review, verify, correct or request erasure of Participant’s personal information, object to the processing of Participant’s personal data, or request that the Company transfer a copy of Participant’s personal information to another party, please contact Participant’s local human resources representative.</w:t>
      </w:r>
    </w:p>
    <w:p>
      <w:pPr>
        <w:spacing w:after="0" w:line="178" w:lineRule="exact"/>
        <w:rPr>
          <w:rFonts w:ascii="Times New Roman" w:cs="Times New Roman" w:eastAsia="Times New Roman" w:hAnsi="Times New Roman"/>
          <w:sz w:val="20"/>
          <w:szCs w:val="20"/>
          <w:b w:val="1"/>
          <w:bCs w:val="1"/>
          <w:color w:val="auto"/>
        </w:rPr>
      </w:pPr>
    </w:p>
    <w:p>
      <w:pPr>
        <w:ind w:left="-656" w:firstLine="1952"/>
        <w:spacing w:after="0" w:line="283" w:lineRule="auto"/>
        <w:tabs>
          <w:tab w:leader="none" w:pos="1836" w:val="left"/>
        </w:tabs>
        <w:numPr>
          <w:ilvl w:val="1"/>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agrees to ensure that Data transferred outside the EEA+ will be done pursuant to a lawful transfer mechanism (for example, European Commission approved model contract clauses).</w:t>
      </w:r>
    </w:p>
    <w:p>
      <w:pPr>
        <w:spacing w:after="0" w:line="159" w:lineRule="exact"/>
        <w:rPr>
          <w:rFonts w:ascii="Times New Roman" w:cs="Times New Roman" w:eastAsia="Times New Roman" w:hAnsi="Times New Roman"/>
          <w:sz w:val="20"/>
          <w:szCs w:val="20"/>
          <w:b w:val="1"/>
          <w:bCs w:val="1"/>
          <w:color w:val="auto"/>
        </w:rPr>
      </w:pPr>
    </w:p>
    <w:p>
      <w:pPr>
        <w:ind w:left="-656" w:firstLine="1952"/>
        <w:spacing w:after="0" w:line="269" w:lineRule="auto"/>
        <w:tabs>
          <w:tab w:leader="none" w:pos="1759" w:val="left"/>
        </w:tabs>
        <w:numPr>
          <w:ilvl w:val="1"/>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will separately provide Participant with information in a data privacy notice on the collection, processing and transfer of their personal data, including the grounds for processing.</w:t>
      </w:r>
    </w:p>
    <w:p>
      <w:pPr>
        <w:spacing w:after="0" w:line="172" w:lineRule="exact"/>
        <w:rPr>
          <w:rFonts w:ascii="Times New Roman" w:cs="Times New Roman" w:eastAsia="Times New Roman" w:hAnsi="Times New Roman"/>
          <w:sz w:val="20"/>
          <w:szCs w:val="20"/>
          <w:b w:val="1"/>
          <w:bCs w:val="1"/>
          <w:color w:val="auto"/>
        </w:rPr>
      </w:pPr>
    </w:p>
    <w:p>
      <w:pPr>
        <w:jc w:val="both"/>
        <w:ind w:left="-656" w:firstLine="1952"/>
        <w:spacing w:after="0" w:line="258" w:lineRule="auto"/>
        <w:tabs>
          <w:tab w:leader="none" w:pos="1792" w:val="left"/>
        </w:tabs>
        <w:numPr>
          <w:ilvl w:val="1"/>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Participant has any grievance, issue or problem in respect of the handling or processing of Participant’s personal data in any way, Participant has the right to lodge a complaint to the competent data protection authority. The list of national data protection authorities for each country in the European Union and their contact details are available at: https://ec.europa.eu/justice/article-29/structure/data-protection-authorities/index_en.htm.</w:t>
      </w:r>
    </w:p>
    <w:p>
      <w:pPr>
        <w:spacing w:after="0" w:line="168" w:lineRule="exact"/>
        <w:rPr>
          <w:rFonts w:ascii="Times New Roman" w:cs="Times New Roman" w:eastAsia="Times New Roman" w:hAnsi="Times New Roman"/>
          <w:sz w:val="20"/>
          <w:szCs w:val="20"/>
          <w:b w:val="1"/>
          <w:bCs w:val="1"/>
          <w:color w:val="auto"/>
        </w:rPr>
      </w:pPr>
    </w:p>
    <w:p>
      <w:pPr>
        <w:jc w:val="both"/>
        <w:ind w:left="-656" w:firstLine="656"/>
        <w:spacing w:after="0" w:line="260" w:lineRule="auto"/>
        <w:tabs>
          <w:tab w:leader="none" w:pos="487"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Insider Trading Restrictions/Market Abuse Laws</w:t>
      </w:r>
      <w:r>
        <w:rPr>
          <w:rFonts w:ascii="Times New Roman" w:cs="Times New Roman" w:eastAsia="Times New Roman" w:hAnsi="Times New Roman"/>
          <w:sz w:val="20"/>
          <w:szCs w:val="20"/>
          <w:color w:val="auto"/>
        </w:rPr>
        <w:t>. If and when the Shares are publicly listed on any stock exchange,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may be subject to insider trading restrictions and/or market abuse laws in applicable jurisdictions, which may affect his or her ability to directly or indirectly, accept, acquire, sell or attempt to sell or otherwise dispose of Shares or rights to the Shares, or rights linked to the value of Shares during such times as Participant is considered to have “inside information” regarding the</w:t>
      </w:r>
    </w:p>
    <w:p>
      <w:pPr>
        <w:sectPr>
          <w:pgSz w:w="11900" w:h="16838" w:orient="portrait"/>
          <w:cols w:equalWidth="0" w:num="1">
            <w:col w:w="10584"/>
          </w:cols>
          <w:pgMar w:left="976" w:top="1413" w:right="339" w:bottom="1440" w:gutter="0" w:footer="0" w:header="0"/>
        </w:sectPr>
      </w:pPr>
    </w:p>
    <w:bookmarkStart w:id="302" w:name="page303"/>
    <w:bookmarkEnd w:id="302"/>
    <w:p>
      <w:pPr>
        <w:jc w:val="both"/>
        <w:spacing w:after="0" w:line="253" w:lineRule="auto"/>
        <w:rPr>
          <w:sz w:val="20"/>
          <w:szCs w:val="20"/>
          <w:color w:val="auto"/>
        </w:rPr>
      </w:pPr>
      <w:r>
        <w:rPr>
          <w:rFonts w:ascii="Times New Roman" w:cs="Times New Roman" w:eastAsia="Times New Roman" w:hAnsi="Times New Roman"/>
          <w:sz w:val="20"/>
          <w:szCs w:val="20"/>
          <w:color w:val="auto"/>
        </w:rPr>
        <w:t>Company (as defined by the laws and/or regulations in applicable jurisdictions or Participant’s country). Local insider trading laws and regulations may prohibit the cancellation or amendment of orders placed by Participant before possessing the inside information. Furthermore, Participant may be prohibited from (i) disclosing inside information to any third party, including fellow service providers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is advised to speak to his or her personal advisor on this matter.</w:t>
      </w:r>
    </w:p>
    <w:p>
      <w:pPr>
        <w:spacing w:after="0" w:line="175" w:lineRule="exact"/>
        <w:rPr>
          <w:sz w:val="20"/>
          <w:szCs w:val="20"/>
          <w:color w:val="auto"/>
        </w:rPr>
      </w:pPr>
    </w:p>
    <w:p>
      <w:pPr>
        <w:jc w:val="both"/>
        <w:ind w:firstLine="656"/>
        <w:spacing w:after="0" w:line="252" w:lineRule="auto"/>
        <w:tabs>
          <w:tab w:leader="none" w:pos="1102"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Private Placement</w:t>
      </w:r>
      <w:r>
        <w:rPr>
          <w:rFonts w:ascii="Times New Roman" w:cs="Times New Roman" w:eastAsia="Times New Roman" w:hAnsi="Times New Roman"/>
          <w:sz w:val="20"/>
          <w:szCs w:val="20"/>
          <w:color w:val="auto"/>
        </w:rPr>
        <w:t>. The grant of the RSUs is not intended to be a public offering of securities in Participant’s country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residence (and country of service, if different). The Company has not submitted any registration statement, prospectus or other filings with the local securities authorities (unless otherwise required under local law), and the grant of the RSUs is not subject to the supervision of the local securities authorities. No service provider of the Company or Service Recipient is permitted to advise Participant on whether Participant should acquire Shares under the Plan. Investment in Shares involves a degree of risk. Before deciding to acquire Shares by vesting in the RSUs, Participant should carefully consider all risk factors relevant to the acquisition of Shares under the Plan and Participant should carefully review all of the materials related to the RSUs and the Plan. In addition, Participant should consult with his or her personal advisor for professional investment advice.</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021"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Language</w:t>
      </w:r>
      <w:r>
        <w:rPr>
          <w:rFonts w:ascii="Times New Roman" w:cs="Times New Roman" w:eastAsia="Times New Roman" w:hAnsi="Times New Roman"/>
          <w:sz w:val="20"/>
          <w:szCs w:val="20"/>
          <w:color w:val="auto"/>
        </w:rPr>
        <w:t>. Participant acknowledges that he or she is sufficiently proficient in English or has consulted with an advisor who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sufficiently proficient in English so as to allow Participant to understand the terms and conditions of the Global Restricted Stock Unit Agreement. Furthermore, if Participant has received the Global Restricted Stock Unit Agreement, or any other document related to the RSUs and/or the Plan translated into a language other than English and if the meaning of the translated version is different than the English version, the English version will control, unless otherwise required by applicable law.</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994"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Foreign Asset/Account Reporting Requirements and Exchange Controls</w:t>
      </w:r>
      <w:r>
        <w:rPr>
          <w:rFonts w:ascii="Times New Roman" w:cs="Times New Roman" w:eastAsia="Times New Roman" w:hAnsi="Times New Roman"/>
          <w:sz w:val="20"/>
          <w:szCs w:val="20"/>
          <w:color w:val="auto"/>
        </w:rPr>
        <w:t>. Participant acknowledges that there may be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asset and/or account reporting requirements and exchange controls which may affect Participant’s ability to acquire or hold Shares acquired under the Plan or cash received from participating in the Plan in a brokerage account outside his or her country. Participant may be required to report such accounts, assets or transactions to the tax or other authorities in Participant’s country and/or to repatriate sale proceeds or other funds received as a result of participating in the Plan to his or her country through a designated bank or broker within a certain time after receipt. It is Participant’s responsibility to be compliant with such regulations and Participant should speak with his or her personal advisor on this matter.</w:t>
      </w:r>
    </w:p>
    <w:p>
      <w:pPr>
        <w:spacing w:after="0" w:line="186"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062"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Participation Ceases When Service Ceases</w:t>
      </w:r>
      <w:r>
        <w:rPr>
          <w:rFonts w:ascii="Times New Roman" w:cs="Times New Roman" w:eastAsia="Times New Roman" w:hAnsi="Times New Roman"/>
          <w:sz w:val="20"/>
          <w:szCs w:val="20"/>
          <w:color w:val="auto"/>
        </w:rPr>
        <w:t>. For purposes of the RSUs, Participant’s Continuous Service will be considered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as of the date Participant is no longer actively providing services to the Company, the Service Recipient or any of its other Parent, Subsidiaries or Affiliates (regardless of the reason for such termination and whether or not later found to be invalid or in breach of laws in the jurisdiction where Participant is rendering services or the terms of Participant’s employment or other service agreement, if any), and Continuous Service shall not be extended by any notice period or garden leave mandated by local law, provided however, that a change in status from an employee to a consultant or advisor shall not terminate Participant’s Continuous Service, unless determined by the Committee, in its discretion. The Committee shall have the exclusive discretion to determine when Participant is no longer actively providing Continuous Service for purposes of the RSUs</w:t>
      </w:r>
    </w:p>
    <w:p>
      <w:pPr>
        <w:sectPr>
          <w:pgSz w:w="11900" w:h="16838" w:orient="portrait"/>
          <w:cols w:equalWidth="0" w:num="1">
            <w:col w:w="11240"/>
          </w:cols>
          <w:pgMar w:left="320" w:top="1413"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0"/>
          <w:szCs w:val="20"/>
          <w:color w:val="auto"/>
        </w:rPr>
        <w:t>(including whether Participant may still be considered to be providing services while on a leave of absence).</w:t>
      </w:r>
    </w:p>
    <w:p>
      <w:pPr>
        <w:spacing w:after="0" w:line="225" w:lineRule="exact"/>
        <w:rPr>
          <w:sz w:val="20"/>
          <w:szCs w:val="20"/>
          <w:color w:val="auto"/>
        </w:rPr>
      </w:pPr>
    </w:p>
    <w:p>
      <w:pPr>
        <w:ind w:left="1060" w:hanging="404"/>
        <w:spacing w:after="0"/>
        <w:tabs>
          <w:tab w:leader="none" w:pos="1060"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Acknowledgments and Agreements</w:t>
      </w:r>
      <w:r>
        <w:rPr>
          <w:rFonts w:ascii="Times New Roman" w:cs="Times New Roman" w:eastAsia="Times New Roman" w:hAnsi="Times New Roman"/>
          <w:sz w:val="20"/>
          <w:szCs w:val="20"/>
          <w:color w:val="auto"/>
        </w:rPr>
        <w:t>. By accepting the RSUs, Participant acknowledges, understands and agrees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203"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7.1 </w:t>
      </w:r>
      <w:r>
        <w:rPr>
          <w:rFonts w:ascii="Times New Roman" w:cs="Times New Roman" w:eastAsia="Times New Roman" w:hAnsi="Times New Roman"/>
          <w:sz w:val="20"/>
          <w:szCs w:val="20"/>
          <w:color w:val="auto"/>
        </w:rPr>
        <w:t>the Plan is established voluntarily by the Company, it is discretionary in nature, and may be amended, suspended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by the Company at any time, to the extent permitted by the Plan;</w:t>
      </w:r>
    </w:p>
    <w:p>
      <w:pPr>
        <w:spacing w:after="0" w:line="165"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7.2 </w:t>
      </w:r>
      <w:r>
        <w:rPr>
          <w:rFonts w:ascii="Times New Roman" w:cs="Times New Roman" w:eastAsia="Times New Roman" w:hAnsi="Times New Roman"/>
          <w:sz w:val="20"/>
          <w:szCs w:val="20"/>
          <w:color w:val="auto"/>
        </w:rPr>
        <w:t>the grant of the RSUs is voluntary and occasional and does not create any contractual or other right to receive future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grants of restricted stock units, or benefits in lieu of restricted stock units, even if restricted stock units have been granted in the past;</w:t>
      </w:r>
    </w:p>
    <w:p>
      <w:pPr>
        <w:spacing w:after="0" w:line="138"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7.3</w:t>
      </w:r>
      <w:r>
        <w:rPr>
          <w:sz w:val="20"/>
          <w:szCs w:val="20"/>
          <w:color w:val="auto"/>
        </w:rPr>
        <w:tab/>
      </w:r>
      <w:r>
        <w:rPr>
          <w:rFonts w:ascii="Times New Roman" w:cs="Times New Roman" w:eastAsia="Times New Roman" w:hAnsi="Times New Roman"/>
          <w:sz w:val="20"/>
          <w:szCs w:val="20"/>
          <w:color w:val="auto"/>
        </w:rPr>
        <w:t>all decisions with respect to future restricted stock units or other grants, if any, will be at the sole discretion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w:t>
      </w:r>
    </w:p>
    <w:p>
      <w:pPr>
        <w:spacing w:after="0" w:line="19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7.4 </w:t>
      </w:r>
      <w:r>
        <w:rPr>
          <w:rFonts w:ascii="Times New Roman" w:cs="Times New Roman" w:eastAsia="Times New Roman" w:hAnsi="Times New Roman"/>
          <w:sz w:val="20"/>
          <w:szCs w:val="20"/>
          <w:color w:val="auto"/>
        </w:rPr>
        <w:t>the RSUs and Participant’s participation in the Plan shall not create a right to employment or other service or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interpreted as forming or amending an employment or service contract with the Company, the Service Recipient, or any other Subsidiary or Parent or Affiliate of the Company and shall not interfere with the ability of the Company, the Service Recipient or any Subsidiary or Parent or Affiliate of the Company, as applicable, to terminate Participant’s employment or other service relationship;</w:t>
      </w:r>
    </w:p>
    <w:p>
      <w:pPr>
        <w:spacing w:after="0" w:line="178"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7.5</w:t>
      </w:r>
      <w:r>
        <w:rPr>
          <w:sz w:val="20"/>
          <w:szCs w:val="20"/>
          <w:color w:val="auto"/>
        </w:rPr>
        <w:tab/>
      </w:r>
      <w:r>
        <w:rPr>
          <w:rFonts w:ascii="Times New Roman" w:cs="Times New Roman" w:eastAsia="Times New Roman" w:hAnsi="Times New Roman"/>
          <w:sz w:val="19"/>
          <w:szCs w:val="19"/>
          <w:color w:val="auto"/>
        </w:rPr>
        <w:t>Participant is voluntarily participating in the Plan;</w:t>
      </w:r>
    </w:p>
    <w:p>
      <w:pPr>
        <w:spacing w:after="0" w:line="216"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7.6</w:t>
      </w:r>
      <w:r>
        <w:rPr>
          <w:sz w:val="20"/>
          <w:szCs w:val="20"/>
          <w:color w:val="auto"/>
        </w:rPr>
        <w:tab/>
      </w:r>
      <w:r>
        <w:rPr>
          <w:rFonts w:ascii="Times New Roman" w:cs="Times New Roman" w:eastAsia="Times New Roman" w:hAnsi="Times New Roman"/>
          <w:sz w:val="20"/>
          <w:szCs w:val="20"/>
          <w:color w:val="auto"/>
        </w:rPr>
        <w:t>the RSUs and any Shares acquired under the Plan are not intended to replace any pension or retirement rights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w:t>
      </w:r>
    </w:p>
    <w:p>
      <w:pPr>
        <w:spacing w:after="0" w:line="21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7.7 </w:t>
      </w:r>
      <w:r>
        <w:rPr>
          <w:rFonts w:ascii="Times New Roman" w:cs="Times New Roman" w:eastAsia="Times New Roman" w:hAnsi="Times New Roman"/>
          <w:sz w:val="20"/>
          <w:szCs w:val="20"/>
          <w:color w:val="auto"/>
        </w:rPr>
        <w:t>the RSUs and any Shares subject to the RSUs, and the income from and value of same, are not part of normal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expected compensation for any purpose, including, without limitation to, calculating any severance, resignation, termination, redundancy, dismissal, end-of-service payments, bonuses, long-service awards, holiday pay, leave-related pay, pension or retirement or welfare benefits or similar payments;</w:t>
      </w:r>
    </w:p>
    <w:p>
      <w:pPr>
        <w:spacing w:after="0" w:line="184"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7.8</w:t>
      </w:r>
      <w:r>
        <w:rPr>
          <w:sz w:val="20"/>
          <w:szCs w:val="20"/>
          <w:color w:val="auto"/>
        </w:rPr>
        <w:tab/>
      </w:r>
      <w:r>
        <w:rPr>
          <w:rFonts w:ascii="Times New Roman" w:cs="Times New Roman" w:eastAsia="Times New Roman" w:hAnsi="Times New Roman"/>
          <w:sz w:val="19"/>
          <w:szCs w:val="19"/>
          <w:color w:val="auto"/>
        </w:rPr>
        <w:t>the future value of the Shares underlying the RSUs is unknown, indeterminable, and cannot be predicted with certainty;</w:t>
      </w:r>
    </w:p>
    <w:p>
      <w:pPr>
        <w:spacing w:after="0" w:line="216"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7.9</w:t>
      </w:r>
      <w:r>
        <w:rPr>
          <w:sz w:val="20"/>
          <w:szCs w:val="20"/>
          <w:color w:val="auto"/>
        </w:rPr>
        <w:tab/>
      </w:r>
      <w:r>
        <w:rPr>
          <w:rFonts w:ascii="Times New Roman" w:cs="Times New Roman" w:eastAsia="Times New Roman" w:hAnsi="Times New Roman"/>
          <w:sz w:val="19"/>
          <w:szCs w:val="19"/>
          <w:color w:val="auto"/>
        </w:rPr>
        <w:t>if Participant acquires Shares upon settlement of the RSUs, the value of such Shares may increase or decrease in value;</w:t>
      </w:r>
    </w:p>
    <w:p>
      <w:pPr>
        <w:spacing w:after="0" w:line="22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7.10 </w:t>
      </w:r>
      <w:r>
        <w:rPr>
          <w:rFonts w:ascii="Times New Roman" w:cs="Times New Roman" w:eastAsia="Times New Roman" w:hAnsi="Times New Roman"/>
          <w:sz w:val="20"/>
          <w:szCs w:val="20"/>
          <w:color w:val="auto"/>
        </w:rPr>
        <w:t>no claim or entitlement to compensation or damages shall arise from forfeiture of the RSUs resulting from (i)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Participant’s Continuous Service (for any reason whatsoever, whether or not later found to be invalid or in breach of laws in the jurisdiction where Participant is rendering services or the terms of Participant’s employment or other service agreement, if any) or (ii) the application of any compensation clawback or recoupment policy adopted by the Board or required by law;</w:t>
      </w:r>
    </w:p>
    <w:p>
      <w:pPr>
        <w:spacing w:after="0" w:line="164"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7.11 </w:t>
      </w:r>
      <w:r>
        <w:rPr>
          <w:rFonts w:ascii="Times New Roman" w:cs="Times New Roman" w:eastAsia="Times New Roman" w:hAnsi="Times New Roman"/>
          <w:sz w:val="20"/>
          <w:szCs w:val="20"/>
          <w:color w:val="auto"/>
        </w:rPr>
        <w:t>unless otherwise provided in the Plan or by the Company in its discretion, the RSUs and the benefits evidenced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Global Restricted Stock Unit Agreement do not create any</w:t>
      </w:r>
    </w:p>
    <w:p>
      <w:pPr>
        <w:sectPr>
          <w:pgSz w:w="11900" w:h="16838" w:orient="portrait"/>
          <w:cols w:equalWidth="0" w:num="1">
            <w:col w:w="11240"/>
          </w:cols>
          <w:pgMar w:left="320" w:top="1413" w:right="339" w:bottom="1440" w:gutter="0" w:footer="0" w:header="0"/>
        </w:sectPr>
      </w:pPr>
    </w:p>
    <w:bookmarkStart w:id="304" w:name="page305"/>
    <w:bookmarkEnd w:id="304"/>
    <w:p>
      <w:pPr>
        <w:jc w:val="both"/>
        <w:spacing w:after="0" w:line="283" w:lineRule="auto"/>
        <w:rPr>
          <w:sz w:val="20"/>
          <w:szCs w:val="20"/>
          <w:color w:val="auto"/>
        </w:rPr>
      </w:pPr>
      <w:r>
        <w:rPr>
          <w:rFonts w:ascii="Times New Roman" w:cs="Times New Roman" w:eastAsia="Times New Roman" w:hAnsi="Times New Roman"/>
          <w:sz w:val="20"/>
          <w:szCs w:val="20"/>
          <w:color w:val="auto"/>
        </w:rPr>
        <w:t>entitlement to have the RSUs or any such benefits transferred to, or assumed by, another company nor to be exchanged, cashed out or substituted for, in connection with any corporate transaction affecting the shares of the Company; and</w:t>
      </w:r>
    </w:p>
    <w:p>
      <w:pPr>
        <w:spacing w:after="0" w:line="14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7.12 </w:t>
      </w:r>
      <w:r>
        <w:rPr>
          <w:rFonts w:ascii="Times New Roman" w:cs="Times New Roman" w:eastAsia="Times New Roman" w:hAnsi="Times New Roman"/>
          <w:sz w:val="20"/>
          <w:szCs w:val="20"/>
          <w:color w:val="auto"/>
        </w:rPr>
        <w:t>neither the Company, the Service Recipient nor any other Subsidiary, Parent or Affiliate shall be liable for any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rate fluctuation between Participant’s local currency and the United States Dollar that may affect the value of the RSUs or of any amounts due to Participant pursuant to the settlement of the RSUs or the subsequent sale of any Shares acquired upon settlement.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PROVISIONS APPLICABLE TO PARTICIPANTS IN THE COUNTRIES INCLUDED BELOW</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AUSTRALIA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offer is being made under Division 1A, Part 7.12 of the Corporations Act 2001 (</w:t>
      </w:r>
      <w:r>
        <w:rPr>
          <w:rFonts w:ascii="Times New Roman" w:cs="Times New Roman" w:eastAsia="Times New Roman" w:hAnsi="Times New Roman"/>
          <w:sz w:val="20"/>
          <w:szCs w:val="20"/>
          <w:i w:val="1"/>
          <w:iCs w:val="1"/>
          <w:color w:val="auto"/>
        </w:rPr>
        <w:t>Cth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Tax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is a plan to which Subdivision 83A-C of the Income Tax Assessment Act 1997 (Cth) applies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conditions in the Act).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AUSTRIA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Participant holds securities (including Shares acquired under the Plan) outside Austria,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may be subject to reporting obligations to the Austrian National Bank. If the value of the Shares meets or exceeds a certain threshold (currently €5,000,000), Participant must report the Shares held on a quarterly basis to the Austrian National Bank as of the last day of the quarter, on or before the 15th day of the month following the end of the calendar quarter.</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Further, if Participant holds cash (including proceeds from the sale of Shares) in accounts outside Austria, monthly reporting requirements will apply if the aggregate transaction volume of such cash accounts meets or exceeds a certain threshold (currently €10,000,000). In this case, the movements and balances of all accounts must be reported monthly, as of the last day of the month, on or before the fifteenth day of the following month, on the prescribed form. Participant should consult with Participant’s personal advisor(s) regarding any exchange control reporting obligations Participant may have in connection with Participant’s participation in the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Settlement of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in the Agreement or any discretion retained in the Plan to the contrary, the RSUs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settled in Shares only (and shall not be settled in cash).</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Participation Ceases when Service Ceases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provision replaces Section 6 of this Addendum:</w:t>
      </w:r>
    </w:p>
    <w:p>
      <w:pPr>
        <w:sectPr>
          <w:pgSz w:w="11900" w:h="16838" w:orient="portrait"/>
          <w:cols w:equalWidth="0" w:num="1">
            <w:col w:w="11240"/>
          </w:cols>
          <w:pgMar w:left="320" w:top="1413" w:right="339" w:bottom="1440" w:gutter="0" w:footer="0" w:header="0"/>
        </w:sectPr>
      </w:pPr>
    </w:p>
    <w:bookmarkStart w:id="305" w:name="page306"/>
    <w:bookmarkEnd w:id="305"/>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For purposes of the RSUs, Participant’s Continuous Service will be considered terminated as of the date Participant is no longer actually providing services to the Company, the Service Recipient or any of its other Parent, Subsidiaries or Affiliates (regardless of the reason for such termination and whether or not later found to be invalid or in breach of laws in the jurisdiction where Participant is rendering services or the terms of Participant’s employment or other service agreement, if any). Participant’s period of Continuous Service will exclude and will not be extended by any period during which notice, pay in lieu of notice or related payments or damages are provided or required to be provided under statute, contract, common/civil law or otherwise. The Committee shall have the exclusive discretion to determine when Participant is no longer providing Continuous Service for purposes of the RSUs (including whether Participant may still be considered to be providing services while on a leave of absence).</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the foregoing, if applicable employment standards legislation explicitly requires continued entitlement to vesting during a statutory notice period, Participant’s right to vest in the RSUs under the Plan, if any, will terminate effective as of the last day of Participant’s minimum statutory notice period, but Participant will not earn or be entitled to pro-rated vesting in the RSUs if the vesting date falls after the end of Participant’s statutory notice period, nor will Participant be entitled to any compensation for lost vesting.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is permitted to sell Shares acquired upon the vesting and settlement of the RSUs through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designated broker appointed under the Plan, if any, provided the resale of Shares acquired under the Plan takes place outside of Canada through the facilities of a stock exchange on which the Shares are then listed.</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Specified foreign property, including the RSUs, Shares acquired under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other rights to receive shares of a non-Canadian company held by a Canadian resident generally must be reported annually on a Form T1135 (Foreign Income Verification Statement) if the total cost of the foreign property exceeds C$100,000 at any time during the year. Thus, the unvested portion of the RSUs must be reported – generally at a nil cost – if the C$100,000 cost threshold is exceeded because Participant holds other specified foreign property. When Shares are acquired, their cost generally is the adjusted cost base (“</w:t>
      </w:r>
      <w:r>
        <w:rPr>
          <w:rFonts w:ascii="Times New Roman" w:cs="Times New Roman" w:eastAsia="Times New Roman" w:hAnsi="Times New Roman"/>
          <w:sz w:val="20"/>
          <w:szCs w:val="20"/>
          <w:b w:val="1"/>
          <w:bCs w:val="1"/>
          <w:color w:val="auto"/>
        </w:rPr>
        <w:t>ACB</w:t>
      </w:r>
      <w:r>
        <w:rPr>
          <w:rFonts w:ascii="Times New Roman" w:cs="Times New Roman" w:eastAsia="Times New Roman" w:hAnsi="Times New Roman"/>
          <w:sz w:val="20"/>
          <w:szCs w:val="20"/>
          <w:color w:val="auto"/>
        </w:rPr>
        <w:t>”) of the Shares. The ACB ordinarily will equal the fair market value of the Shares at the time of acquisition, but if Participant owns other Shares, the ACB may need to be averaged with the ACB of the other Shares. Participant should consult with Participant’s personal advisor(s) regarding any personal foreign asset/foreign account tax obligations Participant may have in connection with Participant’s participation in the Plan.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Language Consent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accepting the grant of the RSUs, Participant confirms having read and understood the Agreement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both of which have been provided in the English language. Participant accepts the terms of those documents accordingly.</w:t>
      </w:r>
    </w:p>
    <w:p>
      <w:pPr>
        <w:spacing w:after="0" w:line="152"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Consentement Relatif à la Langue Utilisée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En acceptant l’attribution, le Paricipant confirme avoir lu et compris le Plan et le Contrat,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qui ont été communiqués en langue anglaise. Le Participant accepte les termes de ces documents en connaissance de cause.</w:t>
      </w:r>
    </w:p>
    <w:p>
      <w:pPr>
        <w:sectPr>
          <w:pgSz w:w="11900" w:h="16838" w:orient="portrait"/>
          <w:cols w:equalWidth="0" w:num="1">
            <w:col w:w="11240"/>
          </w:cols>
          <w:pgMar w:left="320" w:top="1413" w:right="339" w:bottom="1440" w:gutter="0" w:footer="0" w:header="0"/>
        </w:sectPr>
      </w:pPr>
    </w:p>
    <w:bookmarkStart w:id="306" w:name="page307"/>
    <w:bookmarkEnd w:id="306"/>
    <w:p>
      <w:pPr>
        <w:jc w:val="both"/>
        <w:ind w:firstLine="648"/>
        <w:spacing w:after="0" w:line="271" w:lineRule="auto"/>
        <w:rPr>
          <w:sz w:val="20"/>
          <w:szCs w:val="20"/>
          <w:color w:val="auto"/>
        </w:rPr>
      </w:pPr>
      <w:r>
        <w:rPr>
          <w:rFonts w:ascii="Times New Roman" w:cs="Times New Roman" w:eastAsia="Times New Roman" w:hAnsi="Times New Roman"/>
          <w:sz w:val="19"/>
          <w:szCs w:val="19"/>
          <w:b w:val="1"/>
          <w:bCs w:val="1"/>
          <w:u w:val="single" w:color="auto"/>
          <w:color w:val="auto"/>
        </w:rPr>
        <w:t>French-Qualified Status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RSUs are intended to qualify for the special tax and social security regime applicable to RSUs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granted for no consideration under Sections L. 225-197-1 to L. 225-197-5 and Sections L. 22-10-59 to L. 22-10-60 of the French Commercial Code, as amended (“</w:t>
      </w:r>
      <w:r>
        <w:rPr>
          <w:rFonts w:ascii="Times New Roman" w:cs="Times New Roman" w:eastAsia="Times New Roman" w:hAnsi="Times New Roman"/>
          <w:sz w:val="19"/>
          <w:szCs w:val="19"/>
          <w:b w:val="1"/>
          <w:bCs w:val="1"/>
          <w:color w:val="auto"/>
        </w:rPr>
        <w:t>French-Qualified RSU</w:t>
      </w:r>
      <w:r>
        <w:rPr>
          <w:rFonts w:ascii="Times New Roman" w:cs="Times New Roman" w:eastAsia="Times New Roman" w:hAnsi="Times New Roman"/>
          <w:sz w:val="19"/>
          <w:szCs w:val="19"/>
          <w:b w:val="1"/>
          <w:bCs w:val="1"/>
          <w:i w:val="1"/>
          <w:iCs w:val="1"/>
          <w:color w:val="auto"/>
        </w:rPr>
        <w:t>s</w:t>
      </w:r>
      <w:r>
        <w:rPr>
          <w:rFonts w:ascii="Times New Roman" w:cs="Times New Roman" w:eastAsia="Times New Roman" w:hAnsi="Times New Roman"/>
          <w:sz w:val="19"/>
          <w:szCs w:val="19"/>
          <w:color w:val="auto"/>
        </w:rPr>
        <w:t>”). As such, the RSUs will be governed by the provisions in the Plan, the French Sub-Plan to the Plan (“</w:t>
      </w:r>
      <w:r>
        <w:rPr>
          <w:rFonts w:ascii="Times New Roman" w:cs="Times New Roman" w:eastAsia="Times New Roman" w:hAnsi="Times New Roman"/>
          <w:sz w:val="19"/>
          <w:szCs w:val="19"/>
          <w:b w:val="1"/>
          <w:bCs w:val="1"/>
          <w:color w:val="auto"/>
        </w:rPr>
        <w:t>French Sub-Plan</w:t>
      </w:r>
      <w:r>
        <w:rPr>
          <w:rFonts w:ascii="Times New Roman" w:cs="Times New Roman" w:eastAsia="Times New Roman" w:hAnsi="Times New Roman"/>
          <w:sz w:val="19"/>
          <w:szCs w:val="19"/>
          <w:color w:val="auto"/>
        </w:rPr>
        <w:t>”) and this Agreement, including the following provisions applicable to French-Qualified RSUs. By accepting the French-Qualified RSUs, Participant acknowledges that Participant has received a copy of the Plan and the French Sub-Plan.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Certain events may affect the status of the RSUs as French-Qualified RSUs, and the French-Qualified RSUs or the underlying Shares may be disqualified in the future. The Company does not make any undertaking or representation to maintain the qualified status of the French-Qualified RSUs or of the underlying Shares.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Capitalized terms used but not defined in the following provisions, the Agreement or the Plan shall have the meanings ascribed to them in the French Sub-Plan.</w:t>
      </w:r>
    </w:p>
    <w:p>
      <w:pPr>
        <w:spacing w:after="0" w:line="200" w:lineRule="exact"/>
        <w:rPr>
          <w:sz w:val="20"/>
          <w:szCs w:val="20"/>
          <w:color w:val="auto"/>
        </w:rPr>
      </w:pPr>
    </w:p>
    <w:p>
      <w:pPr>
        <w:ind w:left="660" w:right="20" w:hanging="328"/>
        <w:spacing w:after="0" w:line="248" w:lineRule="auto"/>
        <w:tabs>
          <w:tab w:leader="none" w:pos="78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Minimum Vesting Period</w:t>
      </w:r>
      <w:r>
        <w:rPr>
          <w:rFonts w:ascii="Times New Roman" w:cs="Times New Roman" w:eastAsia="Times New Roman" w:hAnsi="Times New Roman"/>
          <w:sz w:val="20"/>
          <w:szCs w:val="20"/>
          <w:color w:val="auto"/>
        </w:rPr>
        <w:t>. Notwithstanding the vesting schedule set forth in the Notice of Grant, under no circumstances will the French-Qualified RSUs vest prior to the expiration of such period as is required to comply with the minimum vesting period applicable to French-Qualified RSUs under Sections L. 225-197-1 to L. 225-197-5 and Sections L. 22-10-59 to L. 22-10-60 of the French Commercial Code, as amended, the relevant sections of the French Tax Code and/or the relevant sections of the French Social Security Code, as amended,except in the case of Participant’s death. The minimum vesting period is currently one year from the Grant Date.</w:t>
      </w:r>
    </w:p>
    <w:p>
      <w:pPr>
        <w:spacing w:after="0" w:line="224" w:lineRule="exact"/>
        <w:rPr>
          <w:rFonts w:ascii="Times New Roman" w:cs="Times New Roman" w:eastAsia="Times New Roman" w:hAnsi="Times New Roman"/>
          <w:sz w:val="22"/>
          <w:szCs w:val="22"/>
          <w:color w:val="auto"/>
        </w:rPr>
      </w:pPr>
    </w:p>
    <w:p>
      <w:pPr>
        <w:ind w:left="660" w:right="20" w:hanging="328"/>
        <w:spacing w:after="0" w:line="245" w:lineRule="auto"/>
        <w:tabs>
          <w:tab w:leader="none" w:pos="79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Termination of Service Due to Death</w:t>
      </w:r>
      <w:r>
        <w:rPr>
          <w:rFonts w:ascii="Times New Roman" w:cs="Times New Roman" w:eastAsia="Times New Roman" w:hAnsi="Times New Roman"/>
          <w:sz w:val="20"/>
          <w:szCs w:val="20"/>
          <w:color w:val="auto"/>
        </w:rPr>
        <w:t>. In the event of Participant’s death, the applicable vesting requirements will be considered met in full and Participant’s heirs may request the issuance of the Shares subject to the French-Qualified RSUs within six months from the date of Participant’s death. If Participant’s heirs do not request the issuance of the Shares within six months from the date of Participant’s death, the French-Qualified RSUs will be forfeited.</w:t>
      </w:r>
    </w:p>
    <w:p>
      <w:pPr>
        <w:spacing w:after="0" w:line="225" w:lineRule="exact"/>
        <w:rPr>
          <w:rFonts w:ascii="Times New Roman" w:cs="Times New Roman" w:eastAsia="Times New Roman" w:hAnsi="Times New Roman"/>
          <w:sz w:val="22"/>
          <w:szCs w:val="22"/>
          <w:color w:val="auto"/>
        </w:rPr>
      </w:pPr>
    </w:p>
    <w:p>
      <w:pPr>
        <w:ind w:left="660" w:right="40" w:hanging="328"/>
        <w:spacing w:after="0" w:line="248" w:lineRule="auto"/>
        <w:tabs>
          <w:tab w:leader="none" w:pos="78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Restriction on Disposition of Shares</w:t>
      </w:r>
      <w:r>
        <w:rPr>
          <w:rFonts w:ascii="Times New Roman" w:cs="Times New Roman" w:eastAsia="Times New Roman" w:hAnsi="Times New Roman"/>
          <w:sz w:val="20"/>
          <w:szCs w:val="20"/>
          <w:color w:val="auto"/>
        </w:rPr>
        <w:t>. Participant may not sell or transfer the Shares Participant acquires upon vesting of the French-Qualified RSUs until such time as is required to comply with the minimum holding period applicable to Shares underlying French-Qualified RSUs under Sections</w:t>
      </w:r>
    </w:p>
    <w:p>
      <w:pPr>
        <w:spacing w:after="0" w:line="194" w:lineRule="exact"/>
        <w:rPr>
          <w:rFonts w:ascii="Times New Roman" w:cs="Times New Roman" w:eastAsia="Times New Roman" w:hAnsi="Times New Roman"/>
          <w:sz w:val="22"/>
          <w:szCs w:val="22"/>
          <w:color w:val="auto"/>
        </w:rPr>
      </w:pPr>
    </w:p>
    <w:p>
      <w:pPr>
        <w:jc w:val="both"/>
        <w:ind w:firstLine="656"/>
        <w:spacing w:after="0" w:line="254" w:lineRule="auto"/>
        <w:tabs>
          <w:tab w:leader="none" w:pos="885"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225-197-1 to L. 225-197-5 and Sections L. 22-10-59 to L. 22-10-60 of the French Commercial Code, as amended, the relevant sections of the French Tax Code and/or the relevant sections of the French Social Security Code, as amended, except in the case of Participant’s death. The minimum holding period is currently two years from the Grant Date. Except in the case of the Termination due to death, the minimum holding period restriction will continue to apply even if Participant's Continuous Service ceases.</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Furthermore, the Shares underlying French-Qualified RSUs cannot be sold or transferred during a Closed Period, to the extent applicable under French law.</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Finally, if Participant qualifies as managing corporate officer, as defined in Section 3(b) of the French Sub-Plan, Participant may not sell 20% of the Shares acquired upon vesting of the French-Qualified RSUs until the termination of Participant’s duties as a managing corporate officer.</w:t>
      </w:r>
    </w:p>
    <w:p>
      <w:pPr>
        <w:sectPr>
          <w:pgSz w:w="11900" w:h="16838" w:orient="portrait"/>
          <w:cols w:equalWidth="0" w:num="1">
            <w:col w:w="11240"/>
          </w:cols>
          <w:pgMar w:left="320" w:top="1409" w:right="339"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cross-border transactions in excess of a certain threshold (currently €12,500) (the “</w:t>
      </w:r>
      <w:r>
        <w:rPr>
          <w:rFonts w:ascii="Times New Roman" w:cs="Times New Roman" w:eastAsia="Times New Roman" w:hAnsi="Times New Roman"/>
          <w:sz w:val="20"/>
          <w:szCs w:val="20"/>
          <w:b w:val="1"/>
          <w:bCs w:val="1"/>
          <w:color w:val="auto"/>
        </w:rPr>
        <w:t>Threshold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must be reported to the German Federal Bank. (</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xml:space="preserve">). If Participant makes or receives a payment in excess of the Threshold (including if Participant acquires Shares under the Plan with a value in excess of the Threshold or sells Shares via a foreign broker, bank or service provider and receives proceeds in excess of the Threshold) and/or if the Company withholds or sells Shares with a value in excess of the Threshold to cover Tax-Related Items, Participant must report the payment and/or the value of the Shares withheld or sold to the </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either electronically using the “General Statistics Reporting Portal” (“</w:t>
      </w:r>
      <w:r>
        <w:rPr>
          <w:rFonts w:ascii="Times New Roman" w:cs="Times New Roman" w:eastAsia="Times New Roman" w:hAnsi="Times New Roman"/>
          <w:sz w:val="20"/>
          <w:szCs w:val="20"/>
          <w:i w:val="1"/>
          <w:iCs w:val="1"/>
          <w:color w:val="auto"/>
        </w:rPr>
        <w:t>Allgemeine Meldeportal Statistik</w:t>
      </w:r>
      <w:r>
        <w:rPr>
          <w:rFonts w:ascii="Times New Roman" w:cs="Times New Roman" w:eastAsia="Times New Roman" w:hAnsi="Times New Roman"/>
          <w:sz w:val="20"/>
          <w:szCs w:val="20"/>
          <w:color w:val="auto"/>
        </w:rPr>
        <w:t>”) available via the</w:t>
      </w:r>
      <w:r>
        <w:rPr>
          <w:rFonts w:ascii="Times New Roman" w:cs="Times New Roman" w:eastAsia="Times New Roman" w:hAnsi="Times New Roman"/>
          <w:sz w:val="20"/>
          <w:szCs w:val="20"/>
          <w:i w:val="1"/>
          <w:iCs w:val="1"/>
          <w:color w:val="auto"/>
        </w:rPr>
        <w:t xml:space="preserve"> Bundesbank’s </w:t>
      </w:r>
      <w:r>
        <w:rPr>
          <w:rFonts w:ascii="Times New Roman" w:cs="Times New Roman" w:eastAsia="Times New Roman" w:hAnsi="Times New Roman"/>
          <w:sz w:val="20"/>
          <w:szCs w:val="20"/>
          <w:color w:val="auto"/>
        </w:rPr>
        <w:t>website (</w:t>
      </w:r>
      <w:r>
        <w:rPr>
          <w:rFonts w:ascii="Times New Roman" w:cs="Times New Roman" w:eastAsia="Times New Roman" w:hAnsi="Times New Roman"/>
          <w:sz w:val="20"/>
          <w:szCs w:val="20"/>
          <w:u w:val="single" w:color="auto"/>
          <w:color w:val="0000FF"/>
        </w:rPr>
        <w:t>www.bundesbank.de</w:t>
      </w:r>
      <w:r>
        <w:rPr>
          <w:rFonts w:ascii="Times New Roman" w:cs="Times New Roman" w:eastAsia="Times New Roman" w:hAnsi="Times New Roman"/>
          <w:sz w:val="20"/>
          <w:szCs w:val="20"/>
          <w:color w:val="auto"/>
        </w:rPr>
        <w:t>) or via such other method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by email or telephone) as is permitted or required by the</w:t>
      </w:r>
      <w:r>
        <w:rPr>
          <w:rFonts w:ascii="Times New Roman" w:cs="Times New Roman" w:eastAsia="Times New Roman" w:hAnsi="Times New Roman"/>
          <w:sz w:val="20"/>
          <w:szCs w:val="20"/>
          <w:i w:val="1"/>
          <w:iCs w:val="1"/>
          <w:color w:val="auto"/>
        </w:rPr>
        <w:t xml:space="preserve"> Bundesbank</w:t>
      </w:r>
      <w:r>
        <w:rPr>
          <w:rFonts w:ascii="Times New Roman" w:cs="Times New Roman" w:eastAsia="Times New Roman" w:hAnsi="Times New Roman"/>
          <w:sz w:val="20"/>
          <w:szCs w:val="20"/>
          <w:color w:val="auto"/>
        </w:rPr>
        <w:t>. The report must be submitted monthly or within such other timing as is permitted or required by the</w:t>
      </w:r>
      <w:r>
        <w:rPr>
          <w:rFonts w:ascii="Times New Roman" w:cs="Times New Roman" w:eastAsia="Times New Roman" w:hAnsi="Times New Roman"/>
          <w:sz w:val="20"/>
          <w:szCs w:val="20"/>
          <w:i w:val="1"/>
          <w:iCs w:val="1"/>
          <w:color w:val="auto"/>
        </w:rPr>
        <w:t xml:space="preserve"> Bundesbank</w:t>
      </w:r>
      <w:r>
        <w:rPr>
          <w:rFonts w:ascii="Times New Roman" w:cs="Times New Roman" w:eastAsia="Times New Roman" w:hAnsi="Times New Roman"/>
          <w:sz w:val="20"/>
          <w:szCs w:val="20"/>
          <w:color w:val="auto"/>
        </w:rPr>
        <w:t>. Participant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responsible for complying with applicable reporting requirements.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German residents must notify their local tax office of the acquisition of Shares when they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file their personal income tax returns for the relevant year if the value of the Shares acquired exceeds €150,000 or in the unlikely event that the resident holds Shares exceeding 10% of the total outstanding Shares. However, if the Shares are listed on a recognized U.S. stock exchange and Participant owns less than 1% of the total Shares, this requirement will not apply even if Shares with a value exceeding €150,000 are acquired. Participant should consult with Participant’s personal advisor(s) regarding any personal foreign asset/foreign account tax obligations Participant may have in connection with Participant’s participation in the Plan.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control laws and regulations in India require that all proceeds resulting from the sale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and any dividends received in relation to such Shares be repatriated to India within a specified period of time as prescribed under applicable Indian exchange control laws. Indian residents must obtain a foreign inward remittance certificate (“</w:t>
      </w:r>
      <w:r>
        <w:rPr>
          <w:rFonts w:ascii="Times New Roman" w:cs="Times New Roman" w:eastAsia="Times New Roman" w:hAnsi="Times New Roman"/>
          <w:sz w:val="20"/>
          <w:szCs w:val="20"/>
          <w:b w:val="1"/>
          <w:bCs w:val="1"/>
          <w:color w:val="auto"/>
        </w:rPr>
        <w:t>FIRC</w:t>
      </w:r>
      <w:r>
        <w:rPr>
          <w:rFonts w:ascii="Times New Roman" w:cs="Times New Roman" w:eastAsia="Times New Roman" w:hAnsi="Times New Roman"/>
          <w:sz w:val="20"/>
          <w:szCs w:val="20"/>
          <w:color w:val="auto"/>
        </w:rPr>
        <w:t>”) from the bank into which foreign currency is deposited and retain the FIRC as evidence of the repatriation of funds in the event that the Reserve Bank of India or any Parent, Subsidiary or Affiliate of the Company requests proof of repatriation. Participant also agrees to provide any information that may be required by the Company, the Service Recipient or any other Parent, Subsidiary or Affiliate of the Company to make any applicable filings under exchange control laws in India.</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bank accounts and any foreign financial assets (including Shares held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outside India) must be reported in the annual Indian personal tax return. It is Participant’s responsibility to comply with this reporting obligation and Participant should consult his or her personal advisor in this regard.</w:t>
      </w:r>
    </w:p>
    <w:p>
      <w:pPr>
        <w:sectPr>
          <w:pgSz w:w="11900" w:h="16838" w:orient="portrait"/>
          <w:cols w:equalWidth="0" w:num="1">
            <w:col w:w="11240"/>
          </w:cols>
          <w:pgMar w:left="320" w:top="1409" w:right="339" w:bottom="1440" w:gutter="0" w:footer="0" w:header="0"/>
        </w:sectPr>
      </w:pPr>
    </w:p>
    <w:bookmarkStart w:id="308" w:name="page309"/>
    <w:bookmarkEnd w:id="308"/>
    <w:p>
      <w:pPr>
        <w:jc w:val="center"/>
        <w:spacing w:after="0"/>
        <w:rPr>
          <w:sz w:val="20"/>
          <w:szCs w:val="20"/>
          <w:color w:val="auto"/>
        </w:rPr>
      </w:pPr>
      <w:r>
        <w:rPr>
          <w:rFonts w:ascii="Times New Roman" w:cs="Times New Roman" w:eastAsia="Times New Roman" w:hAnsi="Times New Roman"/>
          <w:sz w:val="20"/>
          <w:szCs w:val="20"/>
          <w:b w:val="1"/>
          <w:bCs w:val="1"/>
          <w:color w:val="auto"/>
        </w:rPr>
        <w:t>IRELAND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Director Notification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Participant is a director, shadow director or secretary of an Irish Subsidiary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whose interest in the Company represents more than 1% of the Company’s voting share capital, Participant is required to notify such Irish Subsidiary in writing within a certain time period. upon the acquisition of an Award or any Shares issued pursuant to an Award. This notification requirement also applies with respect to the interests in the Company of Participant’s spouse or children under the age of 18 (whose interests will be attributed to Participant in Participant’s capacity as a director, shadow director or secretary of the Irish Subsidiary of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ITALY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Plan Document Acknowledgement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acknowledges that by accepting the RSUs, Participant has reviewed the Plan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Agreement in their entirety and fully understands and accepts all provisions of the Plan and the Agreement. Further, Participant specifically and expressly approves the following clauses of the Global Restricted Stock Unit Agreement: Section 8 – Responsibility for Taxes, Section 14 – Award Subject to Company Clawback or Recoupment, Section 15 - Notices, Section 16 - Governing Law; Venue, Section 18 – Further Assurances, Section 19(e) - Severability, as well as the following clauses of this Addendum: Section 1 - Data Privacy Information and Consent, Section 4 – Language, Section 5 - Foreign Asset/Account Reporting Requirements and Exchange Controls, and Section 7 - Additional Acknowledgments and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Italian residents who, at any time during the fiscal year, hold foreign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Participant should consult with Participant’s personal advisor(s) regarding any personal foreign asset/foreign account tax obligations Participant may have in connection with Participant’s participation in the Plan.</w:t>
      </w:r>
    </w:p>
    <w:p>
      <w:pPr>
        <w:spacing w:after="0" w:line="1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Foreign Asset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value of any Shares (and other financial assets) held outside Italy by individuals resident of Italy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a foreign asset tax. The taxable amount will be the fair market value of the financial assets (e.g., Shares) assessed at the end of the calendar year. The value of financial assets held abroad must be reported in Form RM of the annual return. Participant should consult Participant’s personal tax advisor for additional information on the foreign asset tax.</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NETHERLANDS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ectPr>
          <w:pgSz w:w="11900" w:h="16838" w:orient="portrait"/>
          <w:cols w:equalWidth="0" w:num="1">
            <w:col w:w="11240"/>
          </w:cols>
          <w:pgMar w:left="320" w:top="1409" w:right="339"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20"/>
          <w:szCs w:val="20"/>
          <w:b w:val="1"/>
          <w:bCs w:val="1"/>
          <w:color w:val="auto"/>
        </w:rPr>
        <w:t>NEW ZEALAND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320"/>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WARNING: Participant is being offered RSUs, which allow Participant to acquire Shares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with the terms of the Plan and this Agreement. The Shares, if issued, give Participant a stake in the ownership of the Company. Participant may receive a return if dividends are paid.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If the Company runs into financial difficulties and is wound up, Participant will be paid only after all creditors have been paid.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Participant may lose some or all of Participant’s investment.</w:t>
      </w:r>
    </w:p>
    <w:p>
      <w:pPr>
        <w:spacing w:after="0" w:line="196" w:lineRule="exact"/>
        <w:rPr>
          <w:sz w:val="20"/>
          <w:szCs w:val="20"/>
          <w:color w:val="auto"/>
        </w:rPr>
      </w:pPr>
    </w:p>
    <w:p>
      <w:pPr>
        <w:jc w:val="both"/>
        <w:ind w:right="320"/>
        <w:spacing w:after="0" w:line="260" w:lineRule="auto"/>
        <w:rPr>
          <w:sz w:val="20"/>
          <w:szCs w:val="20"/>
          <w:color w:val="auto"/>
        </w:rPr>
      </w:pPr>
      <w:r>
        <w:rPr>
          <w:rFonts w:ascii="Times New Roman" w:cs="Times New Roman" w:eastAsia="Times New Roman" w:hAnsi="Times New Roman"/>
          <w:sz w:val="20"/>
          <w:szCs w:val="20"/>
          <w:i w:val="1"/>
          <w:iCs w:val="1"/>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(i.e., the Plan). As a result, Participant may not be given all information typically provided to potential investors. Participant will also have fewer other legal protections for this investment.</w:t>
      </w:r>
    </w:p>
    <w:p>
      <w:pPr>
        <w:spacing w:after="0" w:line="178" w:lineRule="exact"/>
        <w:rPr>
          <w:sz w:val="20"/>
          <w:szCs w:val="20"/>
          <w:color w:val="auto"/>
        </w:rPr>
      </w:pPr>
    </w:p>
    <w:p>
      <w:pPr>
        <w:jc w:val="both"/>
        <w:ind w:right="340"/>
        <w:spacing w:after="0" w:line="273" w:lineRule="auto"/>
        <w:rPr>
          <w:sz w:val="20"/>
          <w:szCs w:val="20"/>
          <w:color w:val="auto"/>
        </w:rPr>
      </w:pPr>
      <w:r>
        <w:rPr>
          <w:rFonts w:ascii="Times New Roman" w:cs="Times New Roman" w:eastAsia="Times New Roman" w:hAnsi="Times New Roman"/>
          <w:sz w:val="20"/>
          <w:szCs w:val="20"/>
          <w:i w:val="1"/>
          <w:iCs w:val="1"/>
          <w:color w:val="auto"/>
        </w:rPr>
        <w:t>Participant should ask questions, read all documents carefully, and seek independent financial advice before committing himself or herself</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PORTUGAL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Language Consent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hereby expressly declares that Participant has full knowledge of the English language and has read,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understood and fully accepted and agreed with the terms and conditions established in the Plan and the Agreement.</w:t>
      </w:r>
    </w:p>
    <w:p>
      <w:pPr>
        <w:spacing w:after="0" w:line="138"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Conhecimento da Lingua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Por meio do presente, eu declaro expressamente que tem pleno conhecimento da língua inglesa e que li,</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compreendi e livremente aceitei e concordei com os termos e condições estabelecidas no Plano e no acordo.</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Participant is a Portuguese resident and holds Shares after vesting of the RSUs, the acquisition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Shares should be reported to the </w:t>
      </w:r>
      <w:r>
        <w:rPr>
          <w:rFonts w:ascii="Times New Roman" w:cs="Times New Roman" w:eastAsia="Times New Roman" w:hAnsi="Times New Roman"/>
          <w:sz w:val="20"/>
          <w:szCs w:val="20"/>
          <w:i w:val="1"/>
          <w:iCs w:val="1"/>
          <w:color w:val="auto"/>
        </w:rPr>
        <w:t>Banco de Portugal</w:t>
      </w:r>
      <w:r>
        <w:rPr>
          <w:rFonts w:ascii="Times New Roman" w:cs="Times New Roman" w:eastAsia="Times New Roman" w:hAnsi="Times New Roman"/>
          <w:sz w:val="20"/>
          <w:szCs w:val="20"/>
          <w:color w:val="auto"/>
        </w:rPr>
        <w:t xml:space="preserve"> for statistical purposes. If the Shares are deposited with a commercial bank or financial intermediary in Portugal, such bank or financial intermediary will submit the report on Participant’s behalf. If the Shares is not deposited with a commercial bank or financial intermediary in Portugal, Participant is responsible for submitting the report to the </w:t>
      </w:r>
      <w:r>
        <w:rPr>
          <w:rFonts w:ascii="Times New Roman" w:cs="Times New Roman" w:eastAsia="Times New Roman" w:hAnsi="Times New Roman"/>
          <w:sz w:val="20"/>
          <w:szCs w:val="20"/>
          <w:i w:val="1"/>
          <w:iCs w:val="1"/>
          <w:color w:val="auto"/>
        </w:rPr>
        <w:t>Banco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Portugal</w:t>
      </w:r>
      <w:r>
        <w:rPr>
          <w:rFonts w:ascii="Times New Roman" w:cs="Times New Roman" w:eastAsia="Times New Roman" w:hAnsi="Times New Roman"/>
          <w:sz w:val="20"/>
          <w:szCs w:val="20"/>
          <w:color w:val="auto"/>
        </w:rPr>
        <w:t>, unless Participant engages a Portuguese financial intermediary to file the reports on Participant’s behalf. Participant should consult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Participant’s personal advisor(s) regarding any personal legal, regulatory or foreign exchange obligations Participant may have in connection with Participant’s participation in the Plan.</w:t>
      </w:r>
    </w:p>
    <w:p>
      <w:pPr>
        <w:sectPr>
          <w:pgSz w:w="11900" w:h="16838" w:orient="portrait"/>
          <w:cols w:equalWidth="0" w:num="1">
            <w:col w:w="11240"/>
          </w:cols>
          <w:pgMar w:left="320" w:top="1409" w:right="339"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20"/>
          <w:szCs w:val="20"/>
          <w:b w:val="1"/>
          <w:bCs w:val="1"/>
          <w:color w:val="auto"/>
        </w:rPr>
        <w:t>SINGAPORE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Sale Restriction on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received upon settlement of the RSUs are accepted as a personal investment. In the event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RSUs vest and Shares are issued to Participant (or Participant’s heirs) within six (6) months of the Grant Date, Participant (or Participant’s heirs) expressly agrees that the Shares will not be offered to the public or otherwise disposed of prior to the six (6)-month anniversary of the Grant Date, unless such sale or offer is made pursuant to the exemption under Part XIII Division I Subdivision (4) (other than section 280) of the Securities and Futures Act (Chap. 289, 2006 Ed.) (“</w:t>
      </w:r>
      <w:r>
        <w:rPr>
          <w:rFonts w:ascii="Times New Roman" w:cs="Times New Roman" w:eastAsia="Times New Roman" w:hAnsi="Times New Roman"/>
          <w:sz w:val="20"/>
          <w:szCs w:val="20"/>
          <w:b w:val="1"/>
          <w:bCs w:val="1"/>
          <w:color w:val="auto"/>
        </w:rPr>
        <w:t>SFA</w:t>
      </w:r>
      <w:r>
        <w:rPr>
          <w:rFonts w:ascii="Times New Roman" w:cs="Times New Roman" w:eastAsia="Times New Roman" w:hAnsi="Times New Roman"/>
          <w:sz w:val="20"/>
          <w:szCs w:val="20"/>
          <w:color w:val="auto"/>
        </w:rPr>
        <w:t>”) or pursuant to, and in accordance with the conditions of, any other applicable provision(s) of the SFA.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 of the RSUs under the Plan is being made pursuant to the “Qualifying Person” exemption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section 273(1)(f) of the SFA and is not made with a view to the Shares being subsequently offered for sale to any other party. The Plan has not been lodged or registered as a prospectus with the Monetary Authority of Singapore, and hence, statutory liability under the SFA in relation to the content of prospectuses will not apply.</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Director Notification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Participant is a director, associate director or shadow director of a Singaporean Subsidiary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Affiliate, Participant is subject to certain notification requirements under the Singapore Companies Act. Among these requirements is an obligation to notify the Singaporean Subsidiary and/or Affiliate in writing when Participant receives or dispose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RSUs, Shares) in the Company or any related companies. These notifications must be made within two business days of acquiring or disposing of any interest in the Company or any related company. In addition, a notification must be made of Participant’s interests in the Company or any related company within two business days of becoming a director, associate director or shadow director.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Nature of the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provision supplements Section 7 of this Addendum:</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By accepting the RSUs, Participant consents to participation in the Plan and acknowledges that Participant has received a copy of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Participant further understands that the Company has unilaterally, gratuitously and discretionally decided to grant the RSUs under the Plan to employees of the Company and its Subsidiaries or Affiliates throughout the world. The decision to grant the RSUs is a limited decision and is entered into upon the express assumption and condition that any RSU granted under the Plan will not economically or otherwise bind the Company or any of the Company’s Subsidiaries or Affiliates on an ongoing basis other than as set forth in the Agreement. Consequently, Participant understands that any grant is made on the assumption and condition that it shall not become a part of any employment or service contract (either with the Company or any Parent, Subsidiary or Affiliate of the Company) and shall not be considered a mandatory benefit, salary for any purpose (including severance compensation) or any other right whatsoever. Further, Participant understands and freely accepts that there is no guarantee that any benefit shall arise from any gratuitous and discretionary grant since the future value of the Shares is unknown and unpredictable.</w:t>
      </w:r>
    </w:p>
    <w:p>
      <w:pPr>
        <w:sectPr>
          <w:pgSz w:w="11900" w:h="16838" w:orient="portrait"/>
          <w:cols w:equalWidth="0" w:num="1">
            <w:col w:w="11240"/>
          </w:cols>
          <w:pgMar w:left="320" w:top="1409" w:right="339" w:bottom="1440" w:gutter="0" w:footer="0" w:header="0"/>
        </w:sectPr>
      </w:pPr>
    </w:p>
    <w:bookmarkStart w:id="311" w:name="page312"/>
    <w:bookmarkEnd w:id="311"/>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Additionally, Participant understands that the vesting and settlement of the RSUs is expressly conditioned on Participant’s Continuous Service, such that if Participant’s employment or service terminates for any reason whatsoever, the RSUs will cease vesting immediately effective as of the date of Termination. This will be the case, for example, even if (a) Participant is considered to be unfairly dismissed without good cause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subject to a “</w:t>
      </w:r>
      <w:r>
        <w:rPr>
          <w:rFonts w:ascii="Times New Roman" w:cs="Times New Roman" w:eastAsia="Times New Roman" w:hAnsi="Times New Roman"/>
          <w:sz w:val="20"/>
          <w:szCs w:val="20"/>
          <w:i w:val="1"/>
          <w:iCs w:val="1"/>
          <w:color w:val="auto"/>
        </w:rPr>
        <w:t>despido improcedente</w:t>
      </w:r>
      <w:r>
        <w:rPr>
          <w:rFonts w:ascii="Times New Roman" w:cs="Times New Roman" w:eastAsia="Times New Roman" w:hAnsi="Times New Roman"/>
          <w:sz w:val="20"/>
          <w:szCs w:val="20"/>
          <w:color w:val="auto"/>
        </w:rPr>
        <w:t>”); (b) Participant is dismissed for disciplinary or objective reasons or due to a collective dismissal; (c) Participant terminates employment due to a change of work location, duties or any other employment or contractual condition; (d) Participant terminates employment due to the Company’s or any Subsidiary or Affiliate’s unilateral breach of contract; or (e) Participant terminates employment for any other reason whatsoever. Consequently, upon Termination for any of the above reasons, Participant will automatically lose any rights to RSUs granted to Participant that were unvested on the date of Termination, as described in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“offer of securities to the public,” as defined under Spanish law, has taken place or will take place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 the Spanish territory in connection with the grant of the RSUs. This Agreement has not been nor will it be registered with the </w:t>
      </w:r>
      <w:r>
        <w:rPr>
          <w:rFonts w:ascii="Times New Roman" w:cs="Times New Roman" w:eastAsia="Times New Roman" w:hAnsi="Times New Roman"/>
          <w:sz w:val="20"/>
          <w:szCs w:val="20"/>
          <w:i w:val="1"/>
          <w:iCs w:val="1"/>
          <w:color w:val="auto"/>
        </w:rPr>
        <w:t>Comisión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Nacional del Mercado de Valores</w:t>
      </w:r>
      <w:r>
        <w:rPr>
          <w:rFonts w:ascii="Times New Roman" w:cs="Times New Roman" w:eastAsia="Times New Roman" w:hAnsi="Times New Roman"/>
          <w:sz w:val="20"/>
          <w:szCs w:val="20"/>
          <w:color w:val="auto"/>
        </w:rPr>
        <w:t>, and does not constitute a public offering prospectus.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must declare the acquisition of Shares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Register for Investments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Ministry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Economy and Competitiveness on Form D-5 within one month of the acquisition of Shares. Note the requirements will be different if the Shares become publicly traded. In addition, Participant may be required to electronically declare to the Bank of Spain any foreign accounts (including brokerage accounts held abroad), any foreign instruments (including Shares acquired under the Plan), and any transactions with non-Spanish residents (including any payments of Shares made pursuant to the Plan), depending on the balances in such accounts together with the value of such instruments as of December 31 of the relevant year, or the volume of transactions with non-Spanish residents during the relevant year.</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extent Participant holds rights or assets (e.g., cash or the Shares held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or brokerage account) outside Spain with a value in excess of €50,000 per type of right or asset as of December 31 each year (or at any time during the year in which Participant sells or disposes of such right or asset), Participant is required to report information on such rights and assets on Participant’s tax return for such year. After such rights or assets are initially reported, the reporting obligation will only apply for subsequent years if the value of any previously-reported rights or assets increases by more than €20,000 per type of right or asset as of each subsequent December 31, or if Participant sells Shares or cancels bank accounts that were previously reported. Participant should consult with Participant’s personal advisor(s) regarding any personal foreign asset/foreign account reporting obligations Participant may have in connection with Participant’s participation in the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SWEDEN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Responsibility for 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provision supplements Section 8 of the Global Restricted Stock Unit Agreement:</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Without limiting the Company’s and the Service Recipient's authority to satisfy any withholding obligations for Tax-Related Items as set forth in Section 8 of the Global Restricted Stock Unit Agreement, by accepting the RSUs, Participant authorizes the Company and/or the Service Recipient to withhold or</w:t>
      </w:r>
    </w:p>
    <w:p>
      <w:pPr>
        <w:sectPr>
          <w:pgSz w:w="11900" w:h="16838" w:orient="portrait"/>
          <w:cols w:equalWidth="0" w:num="1">
            <w:col w:w="11240"/>
          </w:cols>
          <w:pgMar w:left="320" w:top="1413" w:right="339" w:bottom="1440" w:gutter="0" w:footer="0" w:header="0"/>
        </w:sectPr>
      </w:pPr>
    </w:p>
    <w:bookmarkStart w:id="312" w:name="page313"/>
    <w:bookmarkEnd w:id="312"/>
    <w:p>
      <w:pPr>
        <w:jc w:val="both"/>
        <w:spacing w:after="0" w:line="283" w:lineRule="auto"/>
        <w:rPr>
          <w:sz w:val="20"/>
          <w:szCs w:val="20"/>
          <w:color w:val="auto"/>
        </w:rPr>
      </w:pPr>
      <w:r>
        <w:rPr>
          <w:rFonts w:ascii="Times New Roman" w:cs="Times New Roman" w:eastAsia="Times New Roman" w:hAnsi="Times New Roman"/>
          <w:sz w:val="20"/>
          <w:szCs w:val="20"/>
          <w:color w:val="auto"/>
        </w:rPr>
        <w:t>sell Shares otherwise deliverable to Participant upon vesting/settlement of the RSUs to satisfy any liability Participant may have for Tax-Related Items, regardless of whether the Company and/or the Service Recipient have any obligation to withhold such Tax-Related Items.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ARAB EMIRATES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b w:val="1"/>
          <w:bCs w:val="1"/>
          <w:u w:val="single" w:color="auto"/>
          <w:color w:val="auto"/>
        </w:rPr>
        <w:t>Securities Law Information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Plan is only being offered to qualified service providers of the Company and its Subsidiaries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Affiliates and is in the nature of providing equity incentives such service providers in the United Arab Emirates. The Plan and the Agreement are intended for distribution only to such service providers and must not be delivered to, or relied on by, any other person. Participant should conduct Participant’s own due diligence on the RSUs offered pursuant to the Agreement. If Participant does not understand the contents of the Plan and/or the Agreement, Participant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Settlement of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in the Agreement or any discretion retained in the Plan to the contrary, the RSUs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settled in Shares only (and shall not be settled in cash).</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Responsibility for 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provision supplements Section 8 Responsibility for Taxes of the Global Restricted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 Agreement.</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Without limitation to Section 8 of the Global Restricted Stock Unit Agreement, Participant agrees to be liable for any Tax-Related Items and hereby covenants to pay any such Tax-Related Items, as and when requested by the Company or the Service Recipient or by HM Revenue &amp; Customs (“</w:t>
      </w:r>
      <w:r>
        <w:rPr>
          <w:rFonts w:ascii="Times New Roman" w:cs="Times New Roman" w:eastAsia="Times New Roman" w:hAnsi="Times New Roman"/>
          <w:sz w:val="20"/>
          <w:szCs w:val="20"/>
          <w:b w:val="1"/>
          <w:bCs w:val="1"/>
          <w:color w:val="auto"/>
        </w:rPr>
        <w:t>HMRC</w:t>
      </w:r>
      <w:r>
        <w:rPr>
          <w:rFonts w:ascii="Times New Roman" w:cs="Times New Roman" w:eastAsia="Times New Roman" w:hAnsi="Times New Roman"/>
          <w:sz w:val="20"/>
          <w:szCs w:val="20"/>
          <w:color w:val="auto"/>
        </w:rPr>
        <w:t>”) (or any other tax authority or any other relevant authority). Participant agrees to indemnify and keep indemnified the Company and the Service Recipient against any Tax-Related Items that they are required to pay or withhold or have paid or will pay to HMRC (or any other tax authority or any other relevant authority) on Participant’s behalf.</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Notwithstanding the foregoing, if Participant is an executive officer or director (within the meaning of Section 13(k) of the Exchange Act), Participant understands that Participant may not be able to indemnify the Company for the amount of any Tax-Related Items not collected from or paid by Participant, in case the indemnification could be considered to be a loan. In this case, the Tax-Related Items not collected or paid may constitute a benefit to Participant on which additional income tax and National Insurance contributions (“</w:t>
      </w:r>
      <w:r>
        <w:rPr>
          <w:rFonts w:ascii="Times New Roman" w:cs="Times New Roman" w:eastAsia="Times New Roman" w:hAnsi="Times New Roman"/>
          <w:sz w:val="20"/>
          <w:szCs w:val="20"/>
          <w:b w:val="1"/>
          <w:bCs w:val="1"/>
          <w:color w:val="auto"/>
        </w:rPr>
        <w:t>NICs</w:t>
      </w:r>
      <w:r>
        <w:rPr>
          <w:rFonts w:ascii="Times New Roman" w:cs="Times New Roman" w:eastAsia="Times New Roman" w:hAnsi="Times New Roman"/>
          <w:sz w:val="20"/>
          <w:szCs w:val="20"/>
          <w:color w:val="auto"/>
        </w:rPr>
        <w:t>”) may be payable. Participant acknowledges that Participant will be personally responsible for reporting and paying any income tax due on this additional benefit directly to the HMRC under the self-assessment regime and for paying the Company or the Service Recipient, as applicable, for the value of any employee NICs due on this additional benefit, which may also be recovered from Participant by any of the means referred to in Section 8 of the Global Restricted Stock Unit Agreement.</w:t>
      </w:r>
    </w:p>
    <w:p>
      <w:pPr>
        <w:sectPr>
          <w:pgSz w:w="11900" w:h="16838" w:orient="portrait"/>
          <w:cols w:equalWidth="0" w:num="1">
            <w:col w:w="11240"/>
          </w:cols>
          <w:pgMar w:left="320" w:top="1413" w:right="339" w:bottom="1440" w:gutter="0" w:footer="0" w:header="0"/>
        </w:sectPr>
      </w:pPr>
    </w:p>
    <w:bookmarkStart w:id="313" w:name="page314"/>
    <w:bookmarkEnd w:id="313"/>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Section 431 Election.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condition of Participant’s participation in the Plan and the vesting of the Award, Participant agrees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jointly with the Service Recipient, Participant shall enter into a joint election within Section 431 of the U.K. Income Tax (Earnings and Pensions) Act 2003 (“</w:t>
      </w:r>
      <w:r>
        <w:rPr>
          <w:rFonts w:ascii="Times New Roman" w:cs="Times New Roman" w:eastAsia="Times New Roman" w:hAnsi="Times New Roman"/>
          <w:sz w:val="20"/>
          <w:szCs w:val="20"/>
          <w:b w:val="1"/>
          <w:bCs w:val="1"/>
          <w:color w:val="auto"/>
        </w:rPr>
        <w:t>ITEPA 2003</w:t>
      </w:r>
      <w:r>
        <w:rPr>
          <w:rFonts w:ascii="Times New Roman" w:cs="Times New Roman" w:eastAsia="Times New Roman" w:hAnsi="Times New Roman"/>
          <w:sz w:val="20"/>
          <w:szCs w:val="20"/>
          <w:color w:val="auto"/>
        </w:rPr>
        <w:t>”) in respect of computing any tax charge on the acquisition of “Restricted Securities” (as defined in Sections 423 and 424 of ITEPA 2003), and that Participant will not revoke such election at any time. This election will be to treat any Shares acquired pursuant to the settlement of the RSUs as if such Shares were not “Restricted Securities” (for U.K. tax purposes only). Participant must enter into the form of 431 election attached to this Addendum concurrent with the execution of the Agreement.</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u w:val="single" w:color="auto"/>
          <w:color w:val="auto"/>
        </w:rPr>
        <w:t>NIC Joint Election</w:t>
      </w:r>
      <w:r>
        <w:rPr>
          <w:rFonts w:ascii="Times New Roman" w:cs="Times New Roman" w:eastAsia="Times New Roman" w:hAnsi="Times New Roman"/>
          <w:sz w:val="20"/>
          <w:szCs w:val="20"/>
          <w:color w:val="auto"/>
        </w:rPr>
        <w:t>. Participant agrees, as a condition of Participant’s participation in the Plan and the vesting of the Award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of any benefit in connection with the Award, to accept any liability for secondary Class 1 NICs that may be payable by the Company or the Service Recipient (or any successor to the Company or the Service Recipient) in connection with the Award and any event giving rise to Tax-Related Items (the “</w:t>
      </w:r>
      <w:r>
        <w:rPr>
          <w:rFonts w:ascii="Times New Roman" w:cs="Times New Roman" w:eastAsia="Times New Roman" w:hAnsi="Times New Roman"/>
          <w:sz w:val="20"/>
          <w:szCs w:val="20"/>
          <w:b w:val="1"/>
          <w:bCs w:val="1"/>
          <w:color w:val="auto"/>
        </w:rPr>
        <w:t>Service Recipient Liability</w:t>
      </w:r>
      <w:r>
        <w:rPr>
          <w:rFonts w:ascii="Times New Roman" w:cs="Times New Roman" w:eastAsia="Times New Roman" w:hAnsi="Times New Roman"/>
          <w:sz w:val="20"/>
          <w:szCs w:val="20"/>
          <w:color w:val="auto"/>
        </w:rPr>
        <w:t>”). Without prejudice to the foregoing, Participant agrees to enter into the following joint election with the Company, the form of such joint election being formally approved by HMRC (the “</w:t>
      </w:r>
      <w:r>
        <w:rPr>
          <w:rFonts w:ascii="Times New Roman" w:cs="Times New Roman" w:eastAsia="Times New Roman" w:hAnsi="Times New Roman"/>
          <w:sz w:val="20"/>
          <w:szCs w:val="20"/>
          <w:b w:val="1"/>
          <w:bCs w:val="1"/>
          <w:color w:val="auto"/>
        </w:rPr>
        <w:t>Joint Election</w:t>
      </w:r>
      <w:r>
        <w:rPr>
          <w:rFonts w:ascii="Times New Roman" w:cs="Times New Roman" w:eastAsia="Times New Roman" w:hAnsi="Times New Roman"/>
          <w:sz w:val="20"/>
          <w:szCs w:val="20"/>
          <w:color w:val="auto"/>
        </w:rPr>
        <w:t>”), and any other required consent or elections. Participant further agrees to enter into such other Joint Elections as may be required between Participant and any successor to the Company and/or the Service Recipient for the purpose of continuing the effectiveness of the Joint Election. Participant further agrees that the Company and/or the Service Recipient may collect the Service Recipient Liability from Participant by any of the means set forth in this Agreement.</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Participant does not enter into the Joint Election prior to the vesting of the Award or any other event giving rise to Tax-Related Items, Participant will not be entitled to vest in the Award and receive Shares (or receive any benefit in connection with the Award) unless and until Participant enters into the Joint Election, and no Shares or other benefit will be issued to Participant under the Plan, without any liability to the Company or the Service Recipient.</w:t>
      </w:r>
    </w:p>
    <w:p>
      <w:pPr>
        <w:spacing w:after="0" w:line="168" w:lineRule="exact"/>
        <w:rPr>
          <w:sz w:val="20"/>
          <w:szCs w:val="20"/>
          <w:color w:val="auto"/>
        </w:rPr>
      </w:pPr>
    </w:p>
    <w:p>
      <w:pPr>
        <w:jc w:val="both"/>
        <w:ind w:right="320"/>
        <w:spacing w:after="0" w:line="252" w:lineRule="auto"/>
        <w:rPr>
          <w:sz w:val="20"/>
          <w:szCs w:val="20"/>
          <w:color w:val="auto"/>
        </w:rPr>
      </w:pPr>
      <w:r>
        <w:rPr>
          <w:rFonts w:ascii="Times New Roman" w:cs="Times New Roman" w:eastAsia="Times New Roman" w:hAnsi="Times New Roman"/>
          <w:sz w:val="20"/>
          <w:szCs w:val="20"/>
          <w:b w:val="1"/>
          <w:bCs w:val="1"/>
          <w:color w:val="auto"/>
        </w:rPr>
        <w:t>IMPORTANT NOTE: By accepting the Award (whether by signing this Agreement or via the Company’s online acceptance procedures), Participant is agreeing to be bound by the terms of the Joint Election and the Section 431 Election. Participant should read the terms of the Joint Election and the Section 431 Election carefully before accepting the Agreement, the Joint Election and the Section 431 Election. If requested by the Company, Participant agrees to execute the Joint Election and/or the Section 431 Election in hard copy even if Participant has accepted the Agreement through the Company’s electronic acceptance procedure. By entering into the Joint Election: Participant is agreeing that any Service Recipient Liability that may arise in connection with the Award will be transferred to the Participant, and Participant is authorizing the Service Recipient or the Company to recover an amount sufficient to cover this liability by such methods including, but not limited to, deductions from Participant’s salary or other payments due or the sale of sufficient Shares acquired pursuant to the Award.</w:t>
      </w:r>
    </w:p>
    <w:p>
      <w:pPr>
        <w:sectPr>
          <w:pgSz w:w="11900" w:h="16838" w:orient="portrait"/>
          <w:cols w:equalWidth="0" w:num="1">
            <w:col w:w="11240"/>
          </w:cols>
          <w:pgMar w:left="320" w:top="1409" w:right="339"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20"/>
          <w:szCs w:val="20"/>
          <w:b w:val="1"/>
          <w:bCs w:val="1"/>
          <w:color w:val="auto"/>
        </w:rPr>
        <w:t>Attachment to U.K. Section of Addendum</w:t>
      </w:r>
    </w:p>
    <w:p>
      <w:pPr>
        <w:spacing w:after="0" w:line="229" w:lineRule="exact"/>
        <w:rPr>
          <w:sz w:val="20"/>
          <w:szCs w:val="20"/>
          <w:color w:val="auto"/>
        </w:rPr>
      </w:pPr>
    </w:p>
    <w:p>
      <w:pPr>
        <w:ind w:right="220"/>
        <w:spacing w:after="0" w:line="471" w:lineRule="auto"/>
        <w:rPr>
          <w:sz w:val="20"/>
          <w:szCs w:val="20"/>
          <w:color w:val="auto"/>
        </w:rPr>
      </w:pPr>
      <w:r>
        <w:rPr>
          <w:rFonts w:ascii="Times New Roman" w:cs="Times New Roman" w:eastAsia="Times New Roman" w:hAnsi="Times New Roman"/>
          <w:sz w:val="20"/>
          <w:szCs w:val="20"/>
          <w:b w:val="1"/>
          <w:bCs w:val="1"/>
          <w:color w:val="auto"/>
        </w:rPr>
        <w:t>Joint Election under s431 ITEPA 2003 for full or partial disapplication of Chapter 2 Income Tax (Earnings and Pensions) Act 2003 Two Part Election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A - To be completed by Participant</w:t>
      </w:r>
    </w:p>
    <w:p>
      <w:pPr>
        <w:spacing w:after="0" w:line="220" w:lineRule="exact"/>
        <w:rPr>
          <w:sz w:val="20"/>
          <w:szCs w:val="20"/>
          <w:color w:val="auto"/>
        </w:rPr>
      </w:pPr>
    </w:p>
    <w:p>
      <w:pPr>
        <w:ind w:left="360" w:hanging="352"/>
        <w:spacing w:after="0"/>
        <w:tabs>
          <w:tab w:leader="none" w:pos="3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Between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Participant, who has obtained authorized access to the joint election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Company (who is the Employee’s employer), identified in the attached Schedule, of Company Registration Number provided in the attached Schedule.</w:t>
      </w:r>
    </w:p>
    <w:p>
      <w:pPr>
        <w:spacing w:after="0" w:line="146" w:lineRule="exact"/>
        <w:rPr>
          <w:sz w:val="20"/>
          <w:szCs w:val="20"/>
          <w:color w:val="auto"/>
        </w:rPr>
      </w:pPr>
    </w:p>
    <w:p>
      <w:pPr>
        <w:ind w:left="360" w:hanging="352"/>
        <w:spacing w:after="0"/>
        <w:tabs>
          <w:tab w:leader="none" w:pos="3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 of Election</w:t>
      </w:r>
    </w:p>
    <w:p>
      <w:pPr>
        <w:spacing w:after="0" w:line="22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This joint election is made pursuant to section 431(1) Income Tax (Earnings and Pensions) Act 2003 (“</w:t>
      </w:r>
      <w:r>
        <w:rPr>
          <w:rFonts w:ascii="Times New Roman" w:cs="Times New Roman" w:eastAsia="Times New Roman" w:hAnsi="Times New Roman"/>
          <w:sz w:val="20"/>
          <w:szCs w:val="20"/>
          <w:b w:val="1"/>
          <w:bCs w:val="1"/>
          <w:color w:val="auto"/>
        </w:rPr>
        <w:t>ITEPA</w:t>
      </w:r>
      <w:r>
        <w:rPr>
          <w:rFonts w:ascii="Times New Roman" w:cs="Times New Roman" w:eastAsia="Times New Roman" w:hAnsi="Times New Roman"/>
          <w:sz w:val="20"/>
          <w:szCs w:val="20"/>
          <w:color w:val="auto"/>
        </w:rPr>
        <w:t>”) and applies where employment-related securities, which are restricted securities by reason of section 423 ITEPA, are acquired.</w:t>
      </w:r>
    </w:p>
    <w:p>
      <w:pPr>
        <w:spacing w:after="0" w:line="138"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0"/>
          <w:szCs w:val="20"/>
          <w:color w:val="auto"/>
        </w:rPr>
        <w:t>The effect of an election under section 431(1) is that, for the relevant income tax and National Insurance contribution (“</w:t>
      </w:r>
      <w:r>
        <w:rPr>
          <w:rFonts w:ascii="Times New Roman" w:cs="Times New Roman" w:eastAsia="Times New Roman" w:hAnsi="Times New Roman"/>
          <w:sz w:val="20"/>
          <w:szCs w:val="20"/>
          <w:b w:val="1"/>
          <w:bCs w:val="1"/>
          <w:color w:val="auto"/>
        </w:rPr>
        <w:t>NICs</w:t>
      </w:r>
      <w:r>
        <w:rPr>
          <w:rFonts w:ascii="Times New Roman" w:cs="Times New Roman" w:eastAsia="Times New Roman" w:hAnsi="Times New Roman"/>
          <w:sz w:val="20"/>
          <w:szCs w:val="20"/>
          <w:color w:val="auto"/>
        </w:rPr>
        <w:t>”) purposes, the employment-related securities and their market value will be treated as if they were not restricted securities and that sections 425 to 430 ITEPA do not apply. Additional income tax will be payable (with PAYE and NICs where the securities are Readily Convertible Assets).</w:t>
      </w:r>
    </w:p>
    <w:p>
      <w:pPr>
        <w:spacing w:after="0" w:line="178"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20"/>
          <w:szCs w:val="20"/>
          <w:b w:val="1"/>
          <w:bCs w:val="1"/>
          <w:color w:val="auto"/>
        </w:rPr>
        <w:t>Should the value of the securities fall following the acquisition, it is possible that Income Tax/NICs that would have arisen because of any future chargeable event (in the absence of an election) would have been less than the Income Tax/NICs due by reason of this election. Should this be the case, there is no income tax/NICs relief available under Part 7 of ITEPA 2003; nor is it available if the securities acquired are subsequently transferred, forfeited or revert to the original owner.</w:t>
      </w:r>
    </w:p>
    <w:p>
      <w:pPr>
        <w:sectPr>
          <w:pgSz w:w="11900" w:h="16838" w:orient="portrait"/>
          <w:cols w:equalWidth="0" w:num="1">
            <w:col w:w="11240"/>
          </w:cols>
          <w:pgMar w:left="320" w:top="1409" w:right="339" w:bottom="1440" w:gutter="0" w:footer="0" w:header="0"/>
        </w:sectPr>
      </w:pPr>
    </w:p>
    <w:bookmarkStart w:id="315" w:name="page316"/>
    <w:bookmarkEnd w:id="315"/>
    <w:p>
      <w:pPr>
        <w:ind w:left="360" w:hanging="352"/>
        <w:spacing w:after="0"/>
        <w:tabs>
          <w:tab w:leader="none" w:pos="36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This joint election is made not later than 14 days after the date of acquisition of the securities by Participant and applies to:</w:t>
      </w:r>
    </w:p>
    <w:p>
      <w:pPr>
        <w:sectPr>
          <w:pgSz w:w="11900" w:h="16838" w:orient="portrait"/>
          <w:cols w:equalWidth="0" w:num="1">
            <w:col w:w="11240"/>
          </w:cols>
          <w:pgMar w:left="320" w:top="1413" w:right="339" w:bottom="1440" w:gutter="0" w:footer="0" w:header="0"/>
        </w:sectPr>
      </w:pPr>
    </w:p>
    <w:p>
      <w:pPr>
        <w:spacing w:after="0" w:line="2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Number of securities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securities</w:t>
      </w:r>
    </w:p>
    <w:p>
      <w:pPr>
        <w:spacing w:after="0" w:line="200" w:lineRule="exact"/>
        <w:rPr>
          <w:sz w:val="20"/>
          <w:szCs w:val="20"/>
          <w:color w:val="auto"/>
        </w:rPr>
      </w:pPr>
    </w:p>
    <w:p>
      <w:pPr>
        <w:sectPr>
          <w:pgSz w:w="11900" w:h="16838" w:orient="portrait"/>
          <w:cols w:equalWidth="0" w:num="2">
            <w:col w:w="3900" w:space="720"/>
            <w:col w:w="6620"/>
          </w:cols>
          <w:pgMar w:left="320" w:top="1413" w:right="339" w:bottom="1440" w:gutter="0" w:footer="0" w:header="0"/>
          <w:type w:val="continuous"/>
        </w:sectPr>
      </w:pP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Description of securities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Shares of common stock of Navan, Inc.</w:t>
      </w:r>
    </w:p>
    <w:p>
      <w:pPr>
        <w:spacing w:after="0" w:line="200" w:lineRule="exact"/>
        <w:rPr>
          <w:sz w:val="20"/>
          <w:szCs w:val="20"/>
          <w:color w:val="auto"/>
        </w:rPr>
      </w:pPr>
    </w:p>
    <w:p>
      <w:pPr>
        <w:sectPr>
          <w:pgSz w:w="11900" w:h="16838" w:orient="portrait"/>
          <w:cols w:equalWidth="0" w:num="2">
            <w:col w:w="3900" w:space="720"/>
            <w:col w:w="6620"/>
          </w:cols>
          <w:pgMar w:left="320" w:top="1413" w:right="339" w:bottom="1440" w:gutter="0" w:footer="0" w:header="0"/>
          <w:type w:val="continuous"/>
        </w:sectPr>
      </w:pPr>
    </w:p>
    <w:p>
      <w:pPr>
        <w:spacing w:after="0" w:line="2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Name of issuer of securities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Navan, Inc.</w:t>
      </w:r>
    </w:p>
    <w:p>
      <w:pPr>
        <w:spacing w:after="0" w:line="200" w:lineRule="exact"/>
        <w:rPr>
          <w:sz w:val="20"/>
          <w:szCs w:val="20"/>
          <w:color w:val="auto"/>
        </w:rPr>
      </w:pPr>
    </w:p>
    <w:p>
      <w:pPr>
        <w:sectPr>
          <w:pgSz w:w="11900" w:h="16838" w:orient="portrait"/>
          <w:cols w:equalWidth="0" w:num="2">
            <w:col w:w="3900" w:space="720"/>
            <w:col w:w="6620"/>
          </w:cols>
          <w:pgMar w:left="320" w:top="1413" w:right="339" w:bottom="1440" w:gutter="0" w:footer="0" w:header="0"/>
          <w:type w:val="continuous"/>
        </w:sectPr>
      </w:pP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 be acquired by Participant on or after the date of this Election under the terms of the Navan, Inc. 2015 Equity Incentive Plan.</w:t>
      </w:r>
    </w:p>
    <w:p>
      <w:pPr>
        <w:spacing w:after="0" w:line="216" w:lineRule="exact"/>
        <w:rPr>
          <w:sz w:val="20"/>
          <w:szCs w:val="20"/>
          <w:color w:val="auto"/>
        </w:rPr>
      </w:pPr>
    </w:p>
    <w:p>
      <w:pPr>
        <w:ind w:left="360" w:hanging="352"/>
        <w:spacing w:after="0"/>
        <w:tabs>
          <w:tab w:leader="none" w:pos="36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Extent of Application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election disapplies: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S.431(1) ITEPA: All restrictions attaching to the securities.</w:t>
      </w:r>
    </w:p>
    <w:p>
      <w:pPr>
        <w:spacing w:after="0" w:line="216" w:lineRule="exact"/>
        <w:rPr>
          <w:sz w:val="20"/>
          <w:szCs w:val="20"/>
          <w:color w:val="auto"/>
        </w:rPr>
      </w:pPr>
    </w:p>
    <w:p>
      <w:pPr>
        <w:ind w:left="360" w:hanging="352"/>
        <w:spacing w:after="0"/>
        <w:tabs>
          <w:tab w:leader="none" w:pos="36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Declaration</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This election will become irrevocable upon the later of its execution or the acquisition (and each subsequent acquisition) of employment-related securities to which this election applies.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signing or electronically accepting this joint election, Participant agrees to be bound by its terms as stated above.</w:t>
      </w:r>
    </w:p>
    <w:p>
      <w:pPr>
        <w:sectPr>
          <w:pgSz w:w="11900" w:h="16838" w:orient="portrait"/>
          <w:cols w:equalWidth="0" w:num="1">
            <w:col w:w="11240"/>
          </w:cols>
          <w:pgMar w:left="320" w:top="1413" w:right="339" w:bottom="1440" w:gutter="0" w:footer="0" w:header="0"/>
          <w:type w:val="continuous"/>
        </w:sectPr>
      </w:pPr>
    </w:p>
    <w:p>
      <w:pPr>
        <w:spacing w:after="0" w:line="2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5740" w:space="720"/>
            <w:col w:w="4780"/>
          </w:cols>
          <w:pgMar w:left="320" w:top="1413" w:right="339" w:bottom="1440" w:gutter="0" w:footer="0" w:header="0"/>
          <w:type w:val="continuous"/>
        </w:sectPr>
      </w:pPr>
    </w:p>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Signature (Participant)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ectPr>
          <w:pgSz w:w="11900" w:h="16838" w:orient="portrait"/>
          <w:cols w:equalWidth="0" w:num="2">
            <w:col w:w="5740" w:space="720"/>
            <w:col w:w="4780"/>
          </w:cols>
          <w:pgMar w:left="320" w:top="1413" w:right="339" w:bottom="1440" w:gutter="0" w:footer="0" w:header="0"/>
          <w:type w:val="continuous"/>
        </w:sectPr>
      </w:pPr>
    </w:p>
    <w:p>
      <w:pPr>
        <w:spacing w:after="0" w:line="106"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i w:val="1"/>
          <w:iCs w:val="1"/>
          <w:color w:val="auto"/>
        </w:rPr>
        <w:t>Note: Where the election is in respect of multiple acquisitions, prior to the date of any subsequent acquisition of a security it may be revoked by agreement between Participant and Participant’s employer in respect of that and any later acquisition.</w:t>
      </w:r>
    </w:p>
    <w:p>
      <w:pPr>
        <w:sectPr>
          <w:pgSz w:w="11900" w:h="16838" w:orient="portrait"/>
          <w:cols w:equalWidth="0" w:num="1">
            <w:col w:w="11240"/>
          </w:cols>
          <w:pgMar w:left="320" w:top="1413" w:right="339" w:bottom="1440" w:gutter="0" w:footer="0" w:header="0"/>
          <w:type w:val="continuous"/>
        </w:sectPr>
      </w:pPr>
    </w:p>
    <w:bookmarkStart w:id="316" w:name="page317"/>
    <w:bookmarkEnd w:id="316"/>
    <w:p>
      <w:pPr>
        <w:spacing w:after="0" w:line="18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b w:val="1"/>
          <w:bCs w:val="1"/>
          <w:color w:val="auto"/>
        </w:rPr>
        <w:t>SCHEDULE TO FORM OF JOINT ELECTION – EMPLOYING COMPANY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employing companies to which this joint election relates are:</w:t>
      </w:r>
    </w:p>
    <w:p>
      <w:pPr>
        <w:spacing w:after="0" w:line="243" w:lineRule="exact"/>
        <w:rPr>
          <w:sz w:val="20"/>
          <w:szCs w:val="20"/>
          <w:color w:val="auto"/>
        </w:rPr>
      </w:pPr>
    </w:p>
    <w:p>
      <w:pPr>
        <w:ind w:left="660" w:hanging="328"/>
        <w:spacing w:after="0"/>
        <w:tabs>
          <w:tab w:leader="none" w:pos="660" w:val="left"/>
        </w:tabs>
        <w:numPr>
          <w:ilvl w:val="0"/>
          <w:numId w:val="200"/>
        </w:numPr>
        <w:rPr>
          <w:rFonts w:ascii="Arial" w:cs="Arial" w:eastAsia="Arial" w:hAnsi="Arial"/>
          <w:sz w:val="22"/>
          <w:szCs w:val="22"/>
          <w:color w:val="auto"/>
        </w:rPr>
      </w:pPr>
      <w:r>
        <w:rPr>
          <w:rFonts w:ascii="Times New Roman" w:cs="Times New Roman" w:eastAsia="Times New Roman" w:hAnsi="Times New Roman"/>
          <w:sz w:val="20"/>
          <w:szCs w:val="20"/>
          <w:color w:val="auto"/>
        </w:rPr>
        <w:t>Navan Labs UK Limited, of Company Registration Number 11250234</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00"/>
        </w:numPr>
        <w:rPr>
          <w:rFonts w:ascii="Arial" w:cs="Arial" w:eastAsia="Arial" w:hAnsi="Arial"/>
          <w:sz w:val="22"/>
          <w:szCs w:val="22"/>
          <w:color w:val="auto"/>
        </w:rPr>
      </w:pPr>
      <w:r>
        <w:rPr>
          <w:rFonts w:ascii="Times New Roman" w:cs="Times New Roman" w:eastAsia="Times New Roman" w:hAnsi="Times New Roman"/>
          <w:sz w:val="20"/>
          <w:szCs w:val="20"/>
          <w:color w:val="auto"/>
        </w:rPr>
        <w:t>Reed &amp; Mackay Travel Limited, of Company Registration Number 00963087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 2 to U.K. Section of the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Important Note on the Election to Transfer Service Recipient’s National Insurance Liability to the Employee</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If Participant is or may be liable for National Insurance contributions (“</w:t>
      </w:r>
      <w:r>
        <w:rPr>
          <w:rFonts w:ascii="Times New Roman" w:cs="Times New Roman" w:eastAsia="Times New Roman" w:hAnsi="Times New Roman"/>
          <w:sz w:val="20"/>
          <w:szCs w:val="20"/>
          <w:b w:val="1"/>
          <w:bCs w:val="1"/>
          <w:color w:val="auto"/>
        </w:rPr>
        <w:t>NICs</w:t>
      </w:r>
      <w:r>
        <w:rPr>
          <w:rFonts w:ascii="Times New Roman" w:cs="Times New Roman" w:eastAsia="Times New Roman" w:hAnsi="Times New Roman"/>
          <w:sz w:val="20"/>
          <w:szCs w:val="20"/>
          <w:color w:val="auto"/>
        </w:rPr>
        <w:t>”) in the United Kingdom in connection with Participant’s participation in the Navan, Inc. 2015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Participant is required to enter into a Joint Election for the Transfer of Liability for National Insurance Contributions (“</w:t>
      </w:r>
      <w:r>
        <w:rPr>
          <w:rFonts w:ascii="Times New Roman" w:cs="Times New Roman" w:eastAsia="Times New Roman" w:hAnsi="Times New Roman"/>
          <w:sz w:val="20"/>
          <w:szCs w:val="20"/>
          <w:b w:val="1"/>
          <w:bCs w:val="1"/>
          <w:color w:val="auto"/>
        </w:rPr>
        <w:t>Service Recipient NICs</w:t>
      </w:r>
      <w:r>
        <w:rPr>
          <w:rFonts w:ascii="Times New Roman" w:cs="Times New Roman" w:eastAsia="Times New Roman" w:hAnsi="Times New Roman"/>
          <w:sz w:val="20"/>
          <w:szCs w:val="20"/>
          <w:color w:val="auto"/>
        </w:rPr>
        <w:t>”) to Participant (the “</w:t>
      </w:r>
      <w:r>
        <w:rPr>
          <w:rFonts w:ascii="Times New Roman" w:cs="Times New Roman" w:eastAsia="Times New Roman" w:hAnsi="Times New Roman"/>
          <w:sz w:val="20"/>
          <w:szCs w:val="20"/>
          <w:b w:val="1"/>
          <w:bCs w:val="1"/>
          <w:color w:val="auto"/>
        </w:rPr>
        <w:t>Election</w:t>
      </w:r>
      <w:r>
        <w:rPr>
          <w:rFonts w:ascii="Times New Roman" w:cs="Times New Roman" w:eastAsia="Times New Roman" w:hAnsi="Times New Roman"/>
          <w:sz w:val="20"/>
          <w:szCs w:val="20"/>
          <w:color w:val="auto"/>
        </w:rPr>
        <w:t>”). The Election acts to transfer to Participant any liability for Service Recipient NICs that may arise in connection with Participant’s participation in the Plan. By accepting the Award (whether by clicking to ACCEPT the Award where indicated in the Company’s electronic acceptance procedure or by signing the Notice of Grant in hard copy) or by entering into the Election:</w:t>
      </w:r>
    </w:p>
    <w:p>
      <w:pPr>
        <w:spacing w:after="0" w:line="218" w:lineRule="exact"/>
        <w:rPr>
          <w:sz w:val="20"/>
          <w:szCs w:val="20"/>
          <w:color w:val="auto"/>
        </w:rPr>
      </w:pPr>
    </w:p>
    <w:p>
      <w:pPr>
        <w:ind w:left="660" w:right="640" w:hanging="328"/>
        <w:spacing w:after="0" w:line="245" w:lineRule="auto"/>
        <w:tabs>
          <w:tab w:leader="none" w:pos="655" w:val="left"/>
        </w:tabs>
        <w:numPr>
          <w:ilvl w:val="0"/>
          <w:numId w:val="201"/>
        </w:numPr>
        <w:rPr>
          <w:rFonts w:ascii="Arial" w:cs="Arial" w:eastAsia="Arial" w:hAnsi="Arial"/>
          <w:sz w:val="22"/>
          <w:szCs w:val="22"/>
          <w:color w:val="auto"/>
        </w:rPr>
      </w:pPr>
      <w:r>
        <w:rPr>
          <w:rFonts w:ascii="Times New Roman" w:cs="Times New Roman" w:eastAsia="Times New Roman" w:hAnsi="Times New Roman"/>
          <w:sz w:val="20"/>
          <w:szCs w:val="20"/>
          <w:color w:val="auto"/>
        </w:rPr>
        <w:t>Participant agrees that any Service Recipient NICs liability that may arise in connection with Participant’s participation in the Plan will be transferred to Participant;</w:t>
      </w:r>
    </w:p>
    <w:p>
      <w:pPr>
        <w:spacing w:after="0" w:line="222" w:lineRule="exact"/>
        <w:rPr>
          <w:rFonts w:ascii="Arial" w:cs="Arial" w:eastAsia="Arial" w:hAnsi="Arial"/>
          <w:sz w:val="22"/>
          <w:szCs w:val="22"/>
          <w:color w:val="auto"/>
        </w:rPr>
      </w:pPr>
    </w:p>
    <w:p>
      <w:pPr>
        <w:ind w:left="660" w:right="400" w:hanging="328"/>
        <w:spacing w:after="0" w:line="248" w:lineRule="auto"/>
        <w:tabs>
          <w:tab w:leader="none" w:pos="655" w:val="left"/>
        </w:tabs>
        <w:numPr>
          <w:ilvl w:val="0"/>
          <w:numId w:val="201"/>
        </w:numPr>
        <w:rPr>
          <w:rFonts w:ascii="Arial" w:cs="Arial" w:eastAsia="Arial" w:hAnsi="Arial"/>
          <w:sz w:val="22"/>
          <w:szCs w:val="22"/>
          <w:color w:val="auto"/>
        </w:rPr>
      </w:pPr>
      <w:r>
        <w:rPr>
          <w:rFonts w:ascii="Times New Roman" w:cs="Times New Roman" w:eastAsia="Times New Roman" w:hAnsi="Times New Roman"/>
          <w:sz w:val="20"/>
          <w:szCs w:val="20"/>
          <w:color w:val="auto"/>
        </w:rPr>
        <w:t>Participant authorises the Service Recipient to recover an amount sufficient to cover this liability by such methods including, but not limited to, deductions from Participant’s salary or other payments due or the sale of sufficient shares acquired pursuant to Participant’s Awards; and</w:t>
      </w:r>
    </w:p>
    <w:p>
      <w:pPr>
        <w:spacing w:after="0" w:line="221" w:lineRule="exact"/>
        <w:rPr>
          <w:rFonts w:ascii="Arial" w:cs="Arial" w:eastAsia="Arial" w:hAnsi="Arial"/>
          <w:sz w:val="22"/>
          <w:szCs w:val="22"/>
          <w:color w:val="auto"/>
        </w:rPr>
      </w:pPr>
    </w:p>
    <w:p>
      <w:pPr>
        <w:ind w:left="660" w:right="560" w:hanging="328"/>
        <w:spacing w:after="0" w:line="248" w:lineRule="auto"/>
        <w:tabs>
          <w:tab w:leader="none" w:pos="655" w:val="left"/>
        </w:tabs>
        <w:numPr>
          <w:ilvl w:val="0"/>
          <w:numId w:val="201"/>
        </w:numPr>
        <w:rPr>
          <w:rFonts w:ascii="Arial" w:cs="Arial" w:eastAsia="Arial" w:hAnsi="Arial"/>
          <w:sz w:val="22"/>
          <w:szCs w:val="22"/>
          <w:color w:val="auto"/>
        </w:rPr>
      </w:pPr>
      <w:r>
        <w:rPr>
          <w:rFonts w:ascii="Times New Roman" w:cs="Times New Roman" w:eastAsia="Times New Roman" w:hAnsi="Times New Roman"/>
          <w:sz w:val="20"/>
          <w:szCs w:val="20"/>
          <w:color w:val="auto"/>
        </w:rPr>
        <w:t>Participant acknowledges that even if Participant has clicked ACCEPT where indicated, the Company or the Service Recipient still may require Participant to sign a paper copy of this Election (or a substantially similar form) if the Company determines such is necessary to give effect to the Election.</w:t>
      </w:r>
    </w:p>
    <w:p>
      <w:pPr>
        <w:spacing w:after="0" w:line="18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Times New Roman" w:cs="Times New Roman" w:eastAsia="Times New Roman" w:hAnsi="Times New Roman"/>
          <w:sz w:val="20"/>
          <w:szCs w:val="20"/>
          <w:color w:val="auto"/>
        </w:rPr>
        <w:t>The Election is attached hereto. Participant should read the Election carefully.</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u w:val="single" w:color="auto"/>
          <w:color w:val="auto"/>
        </w:rPr>
        <w:t>Election to Transfer the Service Recipient’s National Insurance Liability to the Employee</w:t>
      </w:r>
    </w:p>
    <w:p>
      <w:pPr>
        <w:spacing w:after="0" w:line="229" w:lineRule="exact"/>
        <w:rPr>
          <w:sz w:val="20"/>
          <w:szCs w:val="20"/>
          <w:color w:val="auto"/>
        </w:rPr>
      </w:pPr>
    </w:p>
    <w:p>
      <w:pPr>
        <w:ind w:left="1000" w:hanging="344"/>
        <w:spacing w:after="0"/>
        <w:tabs>
          <w:tab w:leader="none" w:pos="1000" w:val="left"/>
        </w:tabs>
        <w:numPr>
          <w:ilvl w:val="0"/>
          <w:numId w:val="2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PARTIES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Election to Transfer the Service Recipient’s National Insurance Liability to the Employee (this “</w:t>
      </w:r>
      <w:r>
        <w:rPr>
          <w:rFonts w:ascii="Times New Roman" w:cs="Times New Roman" w:eastAsia="Times New Roman" w:hAnsi="Times New Roman"/>
          <w:sz w:val="20"/>
          <w:szCs w:val="20"/>
          <w:b w:val="1"/>
          <w:bCs w:val="1"/>
          <w:color w:val="auto"/>
        </w:rPr>
        <w:t>Election</w:t>
      </w:r>
      <w:r>
        <w:rPr>
          <w:rFonts w:ascii="Times New Roman" w:cs="Times New Roman" w:eastAsia="Times New Roman" w:hAnsi="Times New Roman"/>
          <w:sz w:val="20"/>
          <w:szCs w:val="20"/>
          <w:color w:val="auto"/>
        </w:rPr>
        <w:t>”) is between:</w:t>
      </w:r>
    </w:p>
    <w:p>
      <w:pPr>
        <w:spacing w:after="0" w:line="229" w:lineRule="exact"/>
        <w:rPr>
          <w:sz w:val="20"/>
          <w:szCs w:val="20"/>
          <w:color w:val="auto"/>
        </w:rPr>
      </w:pPr>
    </w:p>
    <w:p>
      <w:pPr>
        <w:jc w:val="both"/>
        <w:ind w:firstLine="1952"/>
        <w:spacing w:after="0" w:line="263" w:lineRule="auto"/>
        <w:tabs>
          <w:tab w:leader="none" w:pos="2480" w:val="left"/>
        </w:tabs>
        <w:numPr>
          <w:ilvl w:val="0"/>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individual who has gained access to this Election (the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who is employed by one of the employing companies listed in the attached schedule (the “</w:t>
      </w:r>
      <w:r>
        <w:rPr>
          <w:rFonts w:ascii="Times New Roman" w:cs="Times New Roman" w:eastAsia="Times New Roman" w:hAnsi="Times New Roman"/>
          <w:sz w:val="20"/>
          <w:szCs w:val="20"/>
          <w:b w:val="1"/>
          <w:bCs w:val="1"/>
          <w:color w:val="auto"/>
        </w:rPr>
        <w:t>Service Recipient</w:t>
      </w:r>
      <w:r>
        <w:rPr>
          <w:rFonts w:ascii="Times New Roman" w:cs="Times New Roman" w:eastAsia="Times New Roman" w:hAnsi="Times New Roman"/>
          <w:sz w:val="20"/>
          <w:szCs w:val="20"/>
          <w:color w:val="auto"/>
        </w:rPr>
        <w:t>”) and who is eligible to receive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pursuant to the terms and</w:t>
      </w:r>
    </w:p>
    <w:p>
      <w:pPr>
        <w:sectPr>
          <w:pgSz w:w="11900" w:h="16838" w:orient="portrait"/>
          <w:cols w:equalWidth="0" w:num="1">
            <w:col w:w="11240"/>
          </w:cols>
          <w:pgMar w:left="320" w:top="1440" w:right="3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20"/>
          <w:szCs w:val="20"/>
          <w:color w:val="auto"/>
        </w:rPr>
        <w:t>conditions of the Navan, Inc. 2015 Equity Incentive Plan, as may be amended from time to time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and</w:t>
      </w:r>
    </w:p>
    <w:p>
      <w:pPr>
        <w:spacing w:after="0" w:line="229" w:lineRule="exact"/>
        <w:rPr>
          <w:sz w:val="20"/>
          <w:szCs w:val="20"/>
          <w:color w:val="auto"/>
        </w:rPr>
      </w:pPr>
    </w:p>
    <w:p>
      <w:pPr>
        <w:ind w:firstLine="1952"/>
        <w:spacing w:after="0" w:line="273" w:lineRule="auto"/>
        <w:tabs>
          <w:tab w:leader="none" w:pos="2397" w:val="left"/>
        </w:tabs>
        <w:numPr>
          <w:ilvl w:val="1"/>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Navan, Inc. of 3045 Park Blvd, Palo Alto, CA 94306, U.S.A.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which may grant RSUs under the Plan and is entering into this Election on behalf of the Service Recipient.</w:t>
      </w:r>
    </w:p>
    <w:p>
      <w:pPr>
        <w:spacing w:after="0" w:line="165"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PURPOSE OF ELECTION</w:t>
      </w:r>
    </w:p>
    <w:p>
      <w:pPr>
        <w:spacing w:after="0" w:line="216"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color w:val="auto"/>
        </w:rPr>
        <w:t>This Election relates to all RSUs granted to the Employee under the Plan up to the termination date of the Plan.</w:t>
      </w:r>
    </w:p>
    <w:p>
      <w:pPr>
        <w:spacing w:after="0" w:line="229"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2.2 </w:t>
      </w:r>
      <w:r>
        <w:rPr>
          <w:rFonts w:ascii="Times New Roman" w:cs="Times New Roman" w:eastAsia="Times New Roman" w:hAnsi="Times New Roman"/>
          <w:sz w:val="20"/>
          <w:szCs w:val="20"/>
          <w:color w:val="auto"/>
        </w:rPr>
        <w:t>In this Election the following words and phrases have the following meanings: “</w:t>
      </w:r>
      <w:r>
        <w:rPr>
          <w:rFonts w:ascii="Times New Roman" w:cs="Times New Roman" w:eastAsia="Times New Roman" w:hAnsi="Times New Roman"/>
          <w:sz w:val="20"/>
          <w:szCs w:val="20"/>
          <w:u w:val="single" w:color="auto"/>
          <w:color w:val="auto"/>
        </w:rPr>
        <w:t>ITEPA</w:t>
      </w:r>
      <w:r>
        <w:rPr>
          <w:rFonts w:ascii="Times New Roman" w:cs="Times New Roman" w:eastAsia="Times New Roman" w:hAnsi="Times New Roman"/>
          <w:sz w:val="20"/>
          <w:szCs w:val="20"/>
          <w:color w:val="auto"/>
        </w:rPr>
        <w:t>” means the Income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(Earnings and Pensions) Act 2003.</w:t>
      </w:r>
    </w:p>
    <w:p>
      <w:pPr>
        <w:spacing w:after="0" w:line="14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Employment Income</w:t>
      </w:r>
      <w:r>
        <w:rPr>
          <w:rFonts w:ascii="Times New Roman" w:cs="Times New Roman" w:eastAsia="Times New Roman" w:hAnsi="Times New Roman"/>
          <w:sz w:val="20"/>
          <w:szCs w:val="20"/>
          <w:color w:val="auto"/>
        </w:rPr>
        <w:t>” from RSUs on which the Service Recipient’s National Insurance Contributions becomes due is defined as:</w:t>
      </w:r>
    </w:p>
    <w:p>
      <w:pPr>
        <w:spacing w:after="0" w:line="146" w:lineRule="exact"/>
        <w:rPr>
          <w:sz w:val="20"/>
          <w:szCs w:val="20"/>
          <w:color w:val="auto"/>
        </w:rPr>
      </w:pPr>
    </w:p>
    <w:p>
      <w:pPr>
        <w:ind w:firstLine="1952"/>
        <w:spacing w:after="0" w:line="283" w:lineRule="auto"/>
        <w:tabs>
          <w:tab w:leader="none" w:pos="2453"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amount that counts as employment income of the earner under section 426 ITEPA (restricted securities: charge on certain post-acquisition events);</w:t>
      </w:r>
    </w:p>
    <w:p>
      <w:pPr>
        <w:spacing w:after="0" w:line="159" w:lineRule="exact"/>
        <w:rPr>
          <w:rFonts w:ascii="Times New Roman" w:cs="Times New Roman" w:eastAsia="Times New Roman" w:hAnsi="Times New Roman"/>
          <w:sz w:val="20"/>
          <w:szCs w:val="20"/>
          <w:b w:val="1"/>
          <w:bCs w:val="1"/>
          <w:color w:val="auto"/>
        </w:rPr>
      </w:pPr>
    </w:p>
    <w:p>
      <w:pPr>
        <w:ind w:right="20" w:firstLine="1952"/>
        <w:spacing w:after="0" w:line="269" w:lineRule="auto"/>
        <w:tabs>
          <w:tab w:leader="none" w:pos="2384"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amount that counts as employment income of the earner under section 438 of ITEPA (convertible securities: charge on certain post-acquisition events); or</w:t>
      </w:r>
    </w:p>
    <w:p>
      <w:pPr>
        <w:spacing w:after="0" w:line="172" w:lineRule="exact"/>
        <w:rPr>
          <w:rFonts w:ascii="Times New Roman" w:cs="Times New Roman" w:eastAsia="Times New Roman" w:hAnsi="Times New Roman"/>
          <w:sz w:val="20"/>
          <w:szCs w:val="20"/>
          <w:b w:val="1"/>
          <w:bCs w:val="1"/>
          <w:color w:val="auto"/>
        </w:rPr>
      </w:pPr>
    </w:p>
    <w:p>
      <w:pPr>
        <w:ind w:firstLine="1952"/>
        <w:spacing w:after="0" w:line="269" w:lineRule="auto"/>
        <w:tabs>
          <w:tab w:leader="none" w:pos="2456"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gain that is treated as remuneration derived from the earner’s employment by virtue of section 4(4)(a) SSCBA, including without limitation:</w:t>
      </w:r>
    </w:p>
    <w:p>
      <w:pPr>
        <w:spacing w:after="0" w:line="172" w:lineRule="exact"/>
        <w:rPr>
          <w:rFonts w:ascii="Times New Roman" w:cs="Times New Roman" w:eastAsia="Times New Roman" w:hAnsi="Times New Roman"/>
          <w:sz w:val="20"/>
          <w:szCs w:val="20"/>
          <w:b w:val="1"/>
          <w:bCs w:val="1"/>
          <w:color w:val="auto"/>
        </w:rPr>
      </w:pPr>
    </w:p>
    <w:p>
      <w:pPr>
        <w:ind w:left="2980" w:hanging="380"/>
        <w:spacing w:after="0"/>
        <w:tabs>
          <w:tab w:leader="none" w:pos="2980" w:val="left"/>
        </w:tabs>
        <w:numPr>
          <w:ilvl w:val="1"/>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acquisition of securities pursuant to the RSUs (within the meaning of section 477(3)(a) of ITEPA);</w:t>
      </w:r>
    </w:p>
    <w:p>
      <w:pPr>
        <w:spacing w:after="0" w:line="229" w:lineRule="exact"/>
        <w:rPr>
          <w:rFonts w:ascii="Times New Roman" w:cs="Times New Roman" w:eastAsia="Times New Roman" w:hAnsi="Times New Roman"/>
          <w:sz w:val="20"/>
          <w:szCs w:val="20"/>
          <w:b w:val="1"/>
          <w:bCs w:val="1"/>
          <w:color w:val="auto"/>
        </w:rPr>
      </w:pPr>
    </w:p>
    <w:p>
      <w:pPr>
        <w:ind w:left="3040" w:hanging="440"/>
        <w:spacing w:after="0"/>
        <w:tabs>
          <w:tab w:leader="none" w:pos="3040" w:val="left"/>
        </w:tabs>
        <w:numPr>
          <w:ilvl w:val="1"/>
          <w:numId w:val="20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assignment (if applicable) or release of the RSUs in return for consideration (within the meaning of</w:t>
      </w:r>
    </w:p>
    <w:p>
      <w:pPr>
        <w:spacing w:after="0" w:line="33"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section 477(3)(b) of ITEPA);</w:t>
      </w:r>
    </w:p>
    <w:p>
      <w:pPr>
        <w:spacing w:after="0" w:line="207" w:lineRule="exact"/>
        <w:rPr>
          <w:rFonts w:ascii="Times New Roman" w:cs="Times New Roman" w:eastAsia="Times New Roman" w:hAnsi="Times New Roman"/>
          <w:sz w:val="19"/>
          <w:szCs w:val="19"/>
          <w:b w:val="1"/>
          <w:bCs w:val="1"/>
          <w:color w:val="auto"/>
        </w:rPr>
      </w:pPr>
    </w:p>
    <w:p>
      <w:pPr>
        <w:ind w:right="20" w:firstLine="2600"/>
        <w:spacing w:after="0" w:line="269" w:lineRule="auto"/>
        <w:tabs>
          <w:tab w:leader="none" w:pos="3181" w:val="left"/>
        </w:tabs>
        <w:numPr>
          <w:ilvl w:val="1"/>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receipt of a benefit in connection with the RSUs, other than a benefit within (i) or (ii) above (within the meaning of section 477(3)(c) of ITEPA). “</w:t>
      </w:r>
      <w:r>
        <w:rPr>
          <w:rFonts w:ascii="Times New Roman" w:cs="Times New Roman" w:eastAsia="Times New Roman" w:hAnsi="Times New Roman"/>
          <w:sz w:val="20"/>
          <w:szCs w:val="20"/>
          <w:u w:val="single" w:color="auto"/>
          <w:color w:val="auto"/>
        </w:rPr>
        <w:t>SSCBA</w:t>
      </w:r>
      <w:r>
        <w:rPr>
          <w:rFonts w:ascii="Times New Roman" w:cs="Times New Roman" w:eastAsia="Times New Roman" w:hAnsi="Times New Roman"/>
          <w:sz w:val="20"/>
          <w:szCs w:val="20"/>
          <w:color w:val="auto"/>
        </w:rPr>
        <w:t>” means the Social Security Contributions and Benefits Act 1992.</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Taxable Event</w:t>
      </w:r>
      <w:r>
        <w:rPr>
          <w:rFonts w:ascii="Times New Roman" w:cs="Times New Roman" w:eastAsia="Times New Roman" w:hAnsi="Times New Roman"/>
          <w:sz w:val="20"/>
          <w:szCs w:val="20"/>
          <w:color w:val="auto"/>
        </w:rPr>
        <w:t>” means any event giving rise to Relevant Employment Income.</w:t>
      </w:r>
    </w:p>
    <w:p>
      <w:pPr>
        <w:spacing w:after="0" w:line="212"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2.3 </w:t>
      </w:r>
      <w:r>
        <w:rPr>
          <w:rFonts w:ascii="Times New Roman" w:cs="Times New Roman" w:eastAsia="Times New Roman" w:hAnsi="Times New Roman"/>
          <w:sz w:val="20"/>
          <w:szCs w:val="20"/>
          <w:color w:val="auto"/>
        </w:rPr>
        <w:t>This Election relates to the Service Recipient’s secondary Class 1 National Insurance Contributions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Service Recipient’s Liability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which may arise in respect of Relevant Employment Income in respect of the RSUs pursuant to section 4(4)(a)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paragraph 3B(1A) of Schedule 1 of the SSCBA.</w:t>
      </w:r>
    </w:p>
    <w:p>
      <w:pPr>
        <w:spacing w:after="0" w:line="15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2.4 </w:t>
      </w:r>
      <w:r>
        <w:rPr>
          <w:rFonts w:ascii="Times New Roman" w:cs="Times New Roman" w:eastAsia="Times New Roman" w:hAnsi="Times New Roman"/>
          <w:sz w:val="20"/>
          <w:szCs w:val="20"/>
          <w:color w:val="auto"/>
        </w:rPr>
        <w:t>This Election does not apply in relation to any liability, or any part of any liability, arising as a result of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being given retrospective effect by virtue of section 4B(2) of either the SSCBA or the Social Security Contributions and Benefits (Northern Ireland) Act 1992.</w:t>
      </w:r>
    </w:p>
    <w:p>
      <w:pPr>
        <w:sectPr>
          <w:pgSz w:w="11900" w:h="16838" w:orient="portrait"/>
          <w:cols w:equalWidth="0" w:num="1">
            <w:col w:w="11240"/>
          </w:cols>
          <w:pgMar w:left="320" w:top="1409" w:right="339" w:bottom="1440" w:gutter="0" w:footer="0" w:header="0"/>
        </w:sectPr>
      </w:pPr>
    </w:p>
    <w:bookmarkStart w:id="318" w:name="page319"/>
    <w:bookmarkEnd w:id="318"/>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2.5 </w:t>
      </w:r>
      <w:r>
        <w:rPr>
          <w:rFonts w:ascii="Times New Roman" w:cs="Times New Roman" w:eastAsia="Times New Roman" w:hAnsi="Times New Roman"/>
          <w:sz w:val="20"/>
          <w:szCs w:val="20"/>
          <w:color w:val="auto"/>
        </w:rPr>
        <w:t>This Election does not apply to the extent that it relates to relevant employment income which is employment income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earner by virtue of Chapter 3A of Part VII of ITEPA (employment income: securities with artificially depressed market value).</w:t>
      </w:r>
    </w:p>
    <w:p>
      <w:pPr>
        <w:spacing w:after="0" w:line="138"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2.6 </w:t>
      </w:r>
      <w:r>
        <w:rPr>
          <w:rFonts w:ascii="Times New Roman" w:cs="Times New Roman" w:eastAsia="Times New Roman" w:hAnsi="Times New Roman"/>
          <w:sz w:val="20"/>
          <w:szCs w:val="20"/>
          <w:color w:val="auto"/>
        </w:rPr>
        <w:t>Any reference to the Company and/or the Service Recipient shall include that entity’s successors in title and assigns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in accordance with the terms of the Plan and the Agreement pursuant to which the RSUs were granted. This Election will have effect in respect of the RSUs and any awards which replace or replaced the RSUs following their grant in circumstances where section 483 of ITEPA applies.</w:t>
      </w:r>
    </w:p>
    <w:p>
      <w:pPr>
        <w:spacing w:after="0" w:line="178" w:lineRule="exact"/>
        <w:rPr>
          <w:sz w:val="20"/>
          <w:szCs w:val="20"/>
          <w:color w:val="auto"/>
        </w:rPr>
      </w:pPr>
    </w:p>
    <w:p>
      <w:pPr>
        <w:ind w:left="1000" w:hanging="344"/>
        <w:spacing w:after="0"/>
        <w:tabs>
          <w:tab w:leader="none" w:pos="1000"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ELECTION</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The Employee and the Company jointly elect that the entire liability of the Service Recipient to pay the Service Recipient’s Liability that arises on any Relevant Employment Income is hereby transferred to the Employee. The Employee understands that by accepting the RSUs, (whether by clicking to ACCEPT the RSUs where indicated in the Company’s electronic acceptance procedure or by signing the Notice of Grant in hard copy) or by signing this Election (whether electronically or in hard copy), he or she will become personally liable for the Service Recipient’s Liability covered by this Election. This Election is made in accordance with paragraph 3B(1) of Schedule 1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SSCBA.</w:t>
      </w:r>
    </w:p>
    <w:p>
      <w:pPr>
        <w:spacing w:after="0" w:line="203" w:lineRule="exact"/>
        <w:rPr>
          <w:sz w:val="20"/>
          <w:szCs w:val="20"/>
          <w:color w:val="auto"/>
        </w:rPr>
      </w:pPr>
    </w:p>
    <w:p>
      <w:pPr>
        <w:ind w:left="1000" w:hanging="344"/>
        <w:spacing w:after="0"/>
        <w:tabs>
          <w:tab w:leader="none" w:pos="1000"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PAYMENT OF THE SERVICE RECIPIENT’S LIABILITY</w:t>
      </w:r>
    </w:p>
    <w:p>
      <w:pPr>
        <w:spacing w:after="0" w:line="216"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color w:val="auto"/>
        </w:rPr>
        <w:t>The Employee hereby authorises the Company and/or the Service Recipient to collect the Service Recipient’s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respect of any Relevant Employment Income from the Employee at any time after the Taxable Event:</w:t>
      </w:r>
    </w:p>
    <w:p>
      <w:pPr>
        <w:spacing w:after="0" w:line="156" w:lineRule="exact"/>
        <w:rPr>
          <w:sz w:val="20"/>
          <w:szCs w:val="20"/>
          <w:color w:val="auto"/>
        </w:rPr>
      </w:pPr>
    </w:p>
    <w:p>
      <w:pPr>
        <w:ind w:left="2400" w:hanging="448"/>
        <w:spacing w:after="0"/>
        <w:tabs>
          <w:tab w:leader="none" w:pos="2400" w:val="left"/>
        </w:tabs>
        <w:numPr>
          <w:ilvl w:val="0"/>
          <w:numId w:val="2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deduction from salary or any other payment payable to the Employee at any time on or after the date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Taxable Event; and/or</w:t>
      </w:r>
    </w:p>
    <w:p>
      <w:pPr>
        <w:spacing w:after="0" w:line="207" w:lineRule="exact"/>
        <w:rPr>
          <w:sz w:val="20"/>
          <w:szCs w:val="20"/>
          <w:color w:val="auto"/>
        </w:rPr>
      </w:pPr>
    </w:p>
    <w:p>
      <w:pPr>
        <w:ind w:left="2400" w:hanging="448"/>
        <w:spacing w:after="0"/>
        <w:tabs>
          <w:tab w:leader="none" w:pos="2400"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directly from the Employee by payment in cash or cleared funds; and/or</w:t>
      </w:r>
    </w:p>
    <w:p>
      <w:pPr>
        <w:spacing w:after="0" w:line="215" w:lineRule="exact"/>
        <w:rPr>
          <w:rFonts w:ascii="Times New Roman" w:cs="Times New Roman" w:eastAsia="Times New Roman" w:hAnsi="Times New Roman"/>
          <w:sz w:val="20"/>
          <w:szCs w:val="20"/>
          <w:b w:val="1"/>
          <w:bCs w:val="1"/>
          <w:color w:val="auto"/>
        </w:rPr>
      </w:pPr>
    </w:p>
    <w:p>
      <w:pPr>
        <w:ind w:firstLine="1952"/>
        <w:spacing w:after="0" w:line="283" w:lineRule="auto"/>
        <w:tabs>
          <w:tab w:leader="none" w:pos="2361"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arranging, on behalf of the Employee, for the sale of some of the securities which the Employee is entitled to receive in respect of the RSUs; and/or</w:t>
      </w:r>
    </w:p>
    <w:p>
      <w:pPr>
        <w:spacing w:after="0" w:line="146" w:lineRule="exact"/>
        <w:rPr>
          <w:rFonts w:ascii="Times New Roman" w:cs="Times New Roman" w:eastAsia="Times New Roman" w:hAnsi="Times New Roman"/>
          <w:sz w:val="20"/>
          <w:szCs w:val="20"/>
          <w:b w:val="1"/>
          <w:bCs w:val="1"/>
          <w:color w:val="auto"/>
        </w:rPr>
      </w:pPr>
    </w:p>
    <w:p>
      <w:pPr>
        <w:ind w:left="2400" w:hanging="448"/>
        <w:spacing w:after="0"/>
        <w:tabs>
          <w:tab w:leader="none" w:pos="2400"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any other means specified in the Agreement pursuant to which the RSUs were granted.</w:t>
      </w:r>
    </w:p>
    <w:p>
      <w:pPr>
        <w:spacing w:after="0" w:line="225"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color w:val="auto"/>
        </w:rPr>
        <w:t>The Company hereby reserves for itself and the Service Recipient the right to withhold the transfer of any securities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of the RSUs to the Employee until full payment of the Service Recipient’s Liability is received.</w:t>
      </w:r>
    </w:p>
    <w:p>
      <w:pPr>
        <w:spacing w:after="0" w:line="138"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color w:val="auto"/>
        </w:rPr>
        <w:t>The Company agrees to procure the remittance by the Service Recipient of the Service Recipient’s Liability to HM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Revenue and Customs on behalf of the Employee within fourteen (14) days after the end of the UK tax month during which the Taxable Event occurs (or within seventeen (17) days after the end of the UK tax month during which the Taxable Event occurs, if payments are made electronically).</w:t>
      </w:r>
    </w:p>
    <w:p>
      <w:pPr>
        <w:sectPr>
          <w:pgSz w:w="11900" w:h="16838" w:orient="portrait"/>
          <w:cols w:equalWidth="0" w:num="1">
            <w:col w:w="11240"/>
          </w:cols>
          <w:pgMar w:left="320" w:top="1409" w:right="339" w:bottom="1440" w:gutter="0" w:footer="0" w:header="0"/>
        </w:sectPr>
      </w:pPr>
    </w:p>
    <w:bookmarkStart w:id="319" w:name="page320"/>
    <w:bookmarkEnd w:id="319"/>
    <w:p>
      <w:pPr>
        <w:ind w:left="1000" w:hanging="344"/>
        <w:spacing w:after="0"/>
        <w:tabs>
          <w:tab w:leader="none" w:pos="1000" w:val="left"/>
        </w:tabs>
        <w:numPr>
          <w:ilvl w:val="0"/>
          <w:numId w:val="2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DURATION OF ELECTION</w:t>
      </w:r>
    </w:p>
    <w:p>
      <w:pPr>
        <w:spacing w:after="0" w:line="229" w:lineRule="exact"/>
        <w:rPr>
          <w:sz w:val="20"/>
          <w:szCs w:val="20"/>
          <w:color w:val="auto"/>
        </w:rPr>
      </w:pPr>
    </w:p>
    <w:p>
      <w:pPr>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color w:val="auto"/>
        </w:rPr>
        <w:t>The Employee and the Company agree to be bound by the terms of this Election regardless of whether the Employee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transferred abroad or is not employed by the Service Recipient on the date on which the Service Recipient’s Liability becomes due.</w:t>
      </w:r>
    </w:p>
    <w:p>
      <w:pPr>
        <w:spacing w:after="0" w:line="165"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color w:val="auto"/>
        </w:rPr>
        <w:t>This Election will continue in effect until the earliest of the following:</w:t>
      </w:r>
    </w:p>
    <w:p>
      <w:pPr>
        <w:spacing w:after="0" w:line="220" w:lineRule="exact"/>
        <w:rPr>
          <w:sz w:val="20"/>
          <w:szCs w:val="20"/>
          <w:color w:val="auto"/>
        </w:rPr>
      </w:pPr>
    </w:p>
    <w:p>
      <w:pPr>
        <w:ind w:left="2380" w:hanging="428"/>
        <w:spacing w:after="0"/>
        <w:tabs>
          <w:tab w:leader="none" w:pos="2380" w:val="left"/>
        </w:tabs>
        <w:numPr>
          <w:ilvl w:val="0"/>
          <w:numId w:val="2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Employee and the Company agree in writing that it should cease to have effect;</w:t>
      </w:r>
    </w:p>
    <w:p>
      <w:pPr>
        <w:spacing w:after="0" w:line="229" w:lineRule="exact"/>
        <w:rPr>
          <w:rFonts w:ascii="Times New Roman" w:cs="Times New Roman" w:eastAsia="Times New Roman" w:hAnsi="Times New Roman"/>
          <w:sz w:val="20"/>
          <w:szCs w:val="20"/>
          <w:b w:val="1"/>
          <w:bCs w:val="1"/>
          <w:color w:val="auto"/>
        </w:rPr>
      </w:pPr>
    </w:p>
    <w:p>
      <w:pPr>
        <w:ind w:left="2400" w:hanging="448"/>
        <w:spacing w:after="0"/>
        <w:tabs>
          <w:tab w:leader="none" w:pos="2400" w:val="left"/>
        </w:tabs>
        <w:numPr>
          <w:ilvl w:val="0"/>
          <w:numId w:val="2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the date the Company serves written notice on the Employee terminating its effect;</w:t>
      </w:r>
    </w:p>
    <w:p>
      <w:pPr>
        <w:spacing w:after="0" w:line="229" w:lineRule="exact"/>
        <w:rPr>
          <w:rFonts w:ascii="Times New Roman" w:cs="Times New Roman" w:eastAsia="Times New Roman" w:hAnsi="Times New Roman"/>
          <w:sz w:val="20"/>
          <w:szCs w:val="20"/>
          <w:b w:val="1"/>
          <w:bCs w:val="1"/>
          <w:color w:val="auto"/>
        </w:rPr>
      </w:pPr>
    </w:p>
    <w:p>
      <w:pPr>
        <w:ind w:left="2360" w:hanging="408"/>
        <w:spacing w:after="0"/>
        <w:tabs>
          <w:tab w:leader="none" w:pos="2360" w:val="left"/>
        </w:tabs>
        <w:numPr>
          <w:ilvl w:val="0"/>
          <w:numId w:val="2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iii)  on the date HM Revenue and Customs withdraws approval of this Election; or</w:t>
      </w:r>
    </w:p>
    <w:p>
      <w:pPr>
        <w:spacing w:after="0" w:line="215" w:lineRule="exact"/>
        <w:rPr>
          <w:rFonts w:ascii="Times New Roman" w:cs="Times New Roman" w:eastAsia="Times New Roman" w:hAnsi="Times New Roman"/>
          <w:sz w:val="20"/>
          <w:szCs w:val="20"/>
          <w:b w:val="1"/>
          <w:bCs w:val="1"/>
          <w:color w:val="auto"/>
        </w:rPr>
      </w:pPr>
    </w:p>
    <w:p>
      <w:pPr>
        <w:ind w:firstLine="1952"/>
        <w:spacing w:after="0" w:line="283" w:lineRule="auto"/>
        <w:tabs>
          <w:tab w:leader="none" w:pos="2411" w:val="left"/>
        </w:tabs>
        <w:numPr>
          <w:ilvl w:val="0"/>
          <w:numId w:val="2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(iv) after due payment of the Service Recipient’s Liability in respect of the entirety of the RSUs to which this Election relates or could relate, such that the Election ceases to have effect in accordance with its terms.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Acceptance by the Employee</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Employee acknowledges that by accepting the RSUs (whether by clicking to ACCEPT the RSUs where indicated in the Company’s electronic acceptance procedure or by signing the Notice of Grant in hard copy) or by signing this Election, (whether electronically or in hard copy) the Employee agrees to be bound by the terms of this Election.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Employee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Acceptance by the Company</w:t>
      </w:r>
    </w:p>
    <w:p>
      <w:pPr>
        <w:spacing w:after="0" w:line="220"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Company acknowledges that, by arranging for the scanned signature of an authorised representative to appear on this Election, the Company agrees to be bound by the terms of this Election.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Signed for and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Howard Baik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Counsel and Corporate 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Designee)</w:t>
      </w:r>
    </w:p>
    <w:p>
      <w:pPr>
        <w:sectPr>
          <w:pgSz w:w="11900" w:h="16838" w:orient="portrait"/>
          <w:cols w:equalWidth="0" w:num="1">
            <w:col w:w="11240"/>
          </w:cols>
          <w:pgMar w:left="320" w:top="1409" w:right="339" w:bottom="1440" w:gutter="0" w:footer="0" w:header="0"/>
        </w:sectPr>
      </w:pPr>
    </w:p>
    <w:bookmarkStart w:id="320" w:name="page321"/>
    <w:bookmarkEnd w:id="320"/>
    <w:p>
      <w:pPr>
        <w:ind w:left="3260"/>
        <w:spacing w:after="0"/>
        <w:rPr>
          <w:sz w:val="20"/>
          <w:szCs w:val="20"/>
          <w:color w:val="auto"/>
        </w:rPr>
      </w:pPr>
      <w:r>
        <w:rPr>
          <w:rFonts w:ascii="Times New Roman" w:cs="Times New Roman" w:eastAsia="Times New Roman" w:hAnsi="Times New Roman"/>
          <w:sz w:val="20"/>
          <w:szCs w:val="20"/>
          <w:b w:val="1"/>
          <w:bCs w:val="1"/>
          <w:color w:val="auto"/>
        </w:rPr>
        <w:t>SCHEDULE OF SERVICE RECIPIENT COMPANIES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are the employing companies to which this Joint Election may apply: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Navan Labs UK Limited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0" w:type="dxa"/>
            <w:vAlign w:val="bottom"/>
            <w:tcBorders>
              <w:right w:val="single" w:sz="8" w:color="auto"/>
            </w:tcBorders>
          </w:tcPr>
          <w:p>
            <w:pPr>
              <w:spacing w:after="0"/>
              <w:rPr>
                <w:sz w:val="23"/>
                <w:szCs w:val="23"/>
                <w:color w:val="auto"/>
              </w:rPr>
            </w:pPr>
          </w:p>
        </w:tc>
        <w:tc>
          <w:tcPr>
            <w:tcW w:w="55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Registered Office:</w:t>
            </w:r>
          </w:p>
        </w:tc>
        <w:tc>
          <w:tcPr>
            <w:tcW w:w="55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Ground Floor, 26 Hatton Garden, London EC1N 8BR</w:t>
            </w:r>
          </w:p>
        </w:tc>
      </w:tr>
      <w:tr>
        <w:trPr>
          <w:trHeight w:val="250"/>
        </w:trPr>
        <w:tc>
          <w:tcPr>
            <w:tcW w:w="180" w:type="dxa"/>
            <w:vAlign w:val="bottom"/>
            <w:tcBorders>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Company Registration Number:</w:t>
            </w:r>
          </w:p>
        </w:tc>
        <w:tc>
          <w:tcPr>
            <w:tcW w:w="5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11250234</w:t>
            </w:r>
          </w:p>
        </w:tc>
      </w:tr>
      <w:tr>
        <w:trPr>
          <w:trHeight w:val="250"/>
        </w:trPr>
        <w:tc>
          <w:tcPr>
            <w:tcW w:w="180" w:type="dxa"/>
            <w:vAlign w:val="bottom"/>
            <w:tcBorders>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Corporation Tax Reference:</w:t>
            </w:r>
          </w:p>
        </w:tc>
        <w:tc>
          <w:tcPr>
            <w:tcW w:w="5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7772617558</w:t>
            </w:r>
          </w:p>
        </w:tc>
      </w:tr>
      <w:tr>
        <w:trPr>
          <w:trHeight w:val="250"/>
        </w:trPr>
        <w:tc>
          <w:tcPr>
            <w:tcW w:w="180" w:type="dxa"/>
            <w:vAlign w:val="bottom"/>
            <w:tcBorders>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PAYE Reference:</w:t>
            </w:r>
          </w:p>
        </w:tc>
        <w:tc>
          <w:tcPr>
            <w:tcW w:w="5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120/SB77025</w:t>
            </w:r>
          </w:p>
        </w:tc>
      </w:tr>
      <w:tr>
        <w:trPr>
          <w:trHeight w:val="323"/>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Reed &amp; Mackay Travel Limited</w:t>
            </w:r>
          </w:p>
        </w:tc>
        <w:tc>
          <w:tcPr>
            <w:tcW w:w="5520" w:type="dxa"/>
            <w:vAlign w:val="bottom"/>
          </w:tcPr>
          <w:p>
            <w:pPr>
              <w:spacing w:after="0"/>
              <w:rPr>
                <w:sz w:val="24"/>
                <w:szCs w:val="24"/>
                <w:color w:val="auto"/>
              </w:rPr>
            </w:pPr>
          </w:p>
        </w:tc>
      </w:tr>
      <w:tr>
        <w:trPr>
          <w:trHeight w:val="210"/>
        </w:trPr>
        <w:tc>
          <w:tcPr>
            <w:tcW w:w="180" w:type="dxa"/>
            <w:vAlign w:val="bottom"/>
          </w:tcPr>
          <w:p>
            <w:pPr>
              <w:spacing w:after="0"/>
              <w:rPr>
                <w:sz w:val="18"/>
                <w:szCs w:val="18"/>
                <w:color w:val="auto"/>
              </w:rPr>
            </w:pPr>
          </w:p>
        </w:tc>
        <w:tc>
          <w:tcPr>
            <w:tcW w:w="5520" w:type="dxa"/>
            <w:vAlign w:val="bottom"/>
            <w:tcBorders>
              <w:bottom w:val="single" w:sz="8" w:color="auto"/>
            </w:tcBorders>
          </w:tcPr>
          <w:p>
            <w:pPr>
              <w:spacing w:after="0"/>
              <w:rPr>
                <w:sz w:val="18"/>
                <w:szCs w:val="18"/>
                <w:color w:val="auto"/>
              </w:rPr>
            </w:pPr>
          </w:p>
        </w:tc>
        <w:tc>
          <w:tcPr>
            <w:tcW w:w="5520" w:type="dxa"/>
            <w:vAlign w:val="bottom"/>
            <w:tcBorders>
              <w:bottom w:val="single" w:sz="8" w:color="auto"/>
            </w:tcBorders>
          </w:tcPr>
          <w:p>
            <w:pPr>
              <w:spacing w:after="0"/>
              <w:rPr>
                <w:sz w:val="18"/>
                <w:szCs w:val="18"/>
                <w:color w:val="auto"/>
              </w:rPr>
            </w:pPr>
          </w:p>
        </w:tc>
      </w:tr>
      <w:tr>
        <w:trPr>
          <w:trHeight w:val="250"/>
        </w:trPr>
        <w:tc>
          <w:tcPr>
            <w:tcW w:w="180" w:type="dxa"/>
            <w:vAlign w:val="bottom"/>
            <w:tcBorders>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Registered Office:</w:t>
            </w:r>
          </w:p>
        </w:tc>
        <w:tc>
          <w:tcPr>
            <w:tcW w:w="5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Nexus Place, 25 Farringdon Street, London, EC4A 4AF</w:t>
            </w:r>
          </w:p>
        </w:tc>
      </w:tr>
      <w:tr>
        <w:trPr>
          <w:trHeight w:val="250"/>
        </w:trPr>
        <w:tc>
          <w:tcPr>
            <w:tcW w:w="180" w:type="dxa"/>
            <w:vAlign w:val="bottom"/>
            <w:tcBorders>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Company Registration Number:</w:t>
            </w:r>
          </w:p>
        </w:tc>
        <w:tc>
          <w:tcPr>
            <w:tcW w:w="5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00963087</w:t>
            </w:r>
          </w:p>
        </w:tc>
      </w:tr>
      <w:tr>
        <w:trPr>
          <w:trHeight w:val="250"/>
        </w:trPr>
        <w:tc>
          <w:tcPr>
            <w:tcW w:w="180" w:type="dxa"/>
            <w:vAlign w:val="bottom"/>
            <w:tcBorders>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Corporation Tax Reference:</w:t>
            </w:r>
          </w:p>
        </w:tc>
        <w:tc>
          <w:tcPr>
            <w:tcW w:w="5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7772617558</w:t>
            </w:r>
          </w:p>
        </w:tc>
      </w:tr>
      <w:tr>
        <w:trPr>
          <w:trHeight w:val="250"/>
        </w:trPr>
        <w:tc>
          <w:tcPr>
            <w:tcW w:w="180" w:type="dxa"/>
            <w:vAlign w:val="bottom"/>
            <w:tcBorders>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PAYE Reference:</w:t>
            </w:r>
          </w:p>
        </w:tc>
        <w:tc>
          <w:tcPr>
            <w:tcW w:w="5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120/SB77025</w:t>
            </w:r>
          </w:p>
        </w:tc>
      </w:tr>
    </w:tbl>
    <w:p>
      <w:pPr>
        <w:sectPr>
          <w:pgSz w:w="11900" w:h="16838" w:orient="portrait"/>
          <w:cols w:equalWidth="0" w:num="1">
            <w:col w:w="11220"/>
          </w:cols>
          <w:pgMar w:left="320" w:top="1409" w:right="359" w:bottom="1440" w:gutter="0" w:footer="0" w:header="0"/>
        </w:sectPr>
      </w:pPr>
    </w:p>
    <w:bookmarkStart w:id="321" w:name="page322"/>
    <w:bookmarkEnd w:id="32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NOTICE OF STOCK OPTION GRANT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0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The Optionee named below (“</w:t>
      </w:r>
      <w:r>
        <w:rPr>
          <w:rFonts w:ascii="Times New Roman" w:cs="Times New Roman" w:eastAsia="Times New Roman" w:hAnsi="Times New Roman"/>
          <w:sz w:val="20"/>
          <w:szCs w:val="20"/>
          <w:b w:val="1"/>
          <w:bCs w:val="1"/>
          <w:i w:val="1"/>
          <w:iCs w:val="1"/>
          <w:color w:val="auto"/>
        </w:rPr>
        <w:t>Optionee</w:t>
      </w:r>
      <w:r>
        <w:rPr>
          <w:rFonts w:ascii="Times New Roman" w:cs="Times New Roman" w:eastAsia="Times New Roman" w:hAnsi="Times New Roman"/>
          <w:sz w:val="20"/>
          <w:szCs w:val="20"/>
          <w:color w:val="auto"/>
        </w:rPr>
        <w:t>”) has been granted an option (this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to purchase shares of Common Stock, $0.0001 par value per share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of Navan,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the Company’s 2015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on the terms, and subject to the conditions, described below and in the Stock Option Agreement attached hereto as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including its annexes (the “</w:t>
      </w:r>
      <w:r>
        <w:rPr>
          <w:rFonts w:ascii="Times New Roman" w:cs="Times New Roman" w:eastAsia="Times New Roman" w:hAnsi="Times New Roman"/>
          <w:sz w:val="20"/>
          <w:szCs w:val="20"/>
          <w:b w:val="1"/>
          <w:bCs w:val="1"/>
          <w:i w:val="1"/>
          <w:iCs w:val="1"/>
          <w:color w:val="auto"/>
        </w:rPr>
        <w:t>Stock Option Agreement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09" w:right="339" w:bottom="1440" w:gutter="0" w:footer="0" w:header="0"/>
        </w:sect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Optionee: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Maximum Number of Shares Subject to this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Option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b w:val="1"/>
          <w:bCs w:val="1"/>
          <w:color w:val="auto"/>
        </w:rPr>
        <w:t>”):</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Exercise Price Per Share: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Date of Grant: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Vesting Start Date: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Exercise Schedule:</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Expiration Date:</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Tax Status of Option:</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This Option will become exercisable during its term with respect to portions of the Shares in accordance with the Vesting Schedule set forth below.</w:t>
      </w:r>
    </w:p>
    <w:p>
      <w:pPr>
        <w:spacing w:after="0" w:line="200"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The date ten (10) years after the Date of Grant set forth above, subject to earlier expiration in the event of Termination as provided in Section 3 of the Stock Option Agreement.</w:t>
      </w:r>
    </w:p>
    <w:p>
      <w:pPr>
        <w:spacing w:after="0" w:line="909" w:lineRule="exact"/>
        <w:rPr>
          <w:sz w:val="20"/>
          <w:szCs w:val="20"/>
          <w:color w:val="auto"/>
        </w:rPr>
      </w:pPr>
    </w:p>
    <w:p>
      <w:pPr>
        <w:sectPr>
          <w:pgSz w:w="11900" w:h="16838" w:orient="portrait"/>
          <w:cols w:equalWidth="0" w:num="2">
            <w:col w:w="3740" w:space="60"/>
            <w:col w:w="7440"/>
          </w:cols>
          <w:pgMar w:left="320" w:top="1409" w:right="339" w:bottom="1440" w:gutter="0" w:footer="0" w:header="0"/>
          <w:type w:val="continuous"/>
        </w:sectPr>
      </w:pPr>
    </w:p>
    <w:p>
      <w:pPr>
        <w:spacing w:after="0" w:line="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General; Agreement: </w:t>
      </w:r>
      <w:r>
        <w:rPr>
          <w:rFonts w:ascii="Times New Roman" w:cs="Times New Roman" w:eastAsia="Times New Roman" w:hAnsi="Times New Roman"/>
          <w:sz w:val="20"/>
          <w:szCs w:val="20"/>
          <w:color w:val="auto"/>
        </w:rPr>
        <w:t>By Optionee’s acceptance of this Option, Optionee and the Company agree that this Option is granted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governed by this Notice of Stock Option Grant (this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acceptance of this Option,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Execution and Delivery: </w:t>
      </w:r>
      <w:r>
        <w:rPr>
          <w:rFonts w:ascii="Times New Roman" w:cs="Times New Roman" w:eastAsia="Times New Roman" w:hAnsi="Times New Roman"/>
          <w:sz w:val="20"/>
          <w:szCs w:val="20"/>
          <w:color w:val="auto"/>
        </w:rPr>
        <w:t>This Grant Notice may be executed and delivered electronically whether via the Company’s intranet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Internet site of a third party or via email or any other means of electronic delivery specified by the Company. By Optionee’s acceptance hereof (whether written, electronic or otherwise), Optionee agrees, to the fullest extent permitted by law, that in lieu of receiving</w:t>
      </w:r>
    </w:p>
    <w:p>
      <w:pPr>
        <w:sectPr>
          <w:pgSz w:w="11900" w:h="16838" w:orient="portrait"/>
          <w:cols w:equalWidth="0" w:num="1">
            <w:col w:w="11240"/>
          </w:cols>
          <w:pgMar w:left="320" w:top="1409" w:right="339" w:bottom="1440" w:gutter="0" w:footer="0" w:header="0"/>
          <w:type w:val="continuous"/>
        </w:sectPr>
      </w:pPr>
    </w:p>
    <w:bookmarkStart w:id="322" w:name="page323"/>
    <w:bookmarkEnd w:id="322"/>
    <w:p>
      <w:pPr>
        <w:jc w:val="both"/>
        <w:spacing w:after="0" w:line="253" w:lineRule="auto"/>
        <w:rPr>
          <w:sz w:val="20"/>
          <w:szCs w:val="20"/>
          <w:color w:val="auto"/>
        </w:rPr>
      </w:pPr>
      <w:r>
        <w:rPr>
          <w:rFonts w:ascii="Times New Roman" w:cs="Times New Roman" w:eastAsia="Times New Roman" w:hAnsi="Times New Roman"/>
          <w:sz w:val="20"/>
          <w:szCs w:val="20"/>
          <w:color w:val="auto"/>
        </w:rPr>
        <w:t>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20"/>
          <w:szCs w:val="20"/>
          <w:b w:val="1"/>
          <w:bCs w:val="1"/>
          <w:i w:val="1"/>
          <w:iCs w:val="1"/>
          <w:color w:val="auto"/>
        </w:rPr>
        <w:t>701 Disclosures</w:t>
      </w:r>
      <w:r>
        <w:rPr>
          <w:rFonts w:ascii="Times New Roman" w:cs="Times New Roman" w:eastAsia="Times New Roman" w:hAnsi="Times New Roman"/>
          <w:sz w:val="20"/>
          <w:szCs w:val="20"/>
          <w:color w:val="auto"/>
        </w:rPr>
        <w:t>”), account statements, or other communications or information) whether via the Company’s intranet or the Internet site of such third party or via email or such other means of electronic delivery specified by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w:t>
      </w:r>
      <w:r>
        <w:rPr>
          <w:rFonts w:ascii="Times New Roman" w:cs="Times New Roman" w:eastAsia="Times New Roman" w:hAnsi="Times New Roman"/>
          <w:sz w:val="20"/>
          <w:szCs w:val="20"/>
          <w:color w:val="auto"/>
        </w:rPr>
        <w:t>:  Exhibit A – Stock Option Agreement</w:t>
      </w:r>
    </w:p>
    <w:p>
      <w:pPr>
        <w:sectPr>
          <w:pgSz w:w="11900" w:h="16838" w:orient="portrait"/>
          <w:cols w:equalWidth="0" w:num="1">
            <w:col w:w="11240"/>
          </w:cols>
          <w:pgMar w:left="320" w:top="1413" w:right="339" w:bottom="1440" w:gutter="0" w:footer="0" w:header="0"/>
        </w:sectPr>
      </w:pPr>
    </w:p>
    <w:bookmarkStart w:id="323" w:name="page324"/>
    <w:bookmarkEnd w:id="32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OPTION AGREEMENT</w:t>
      </w:r>
    </w:p>
    <w:p>
      <w:pPr>
        <w:sectPr>
          <w:pgSz w:w="11900" w:h="16838" w:orient="portrait"/>
          <w:cols w:equalWidth="0" w:num="1">
            <w:col w:w="9019"/>
          </w:cols>
          <w:pgMar w:left="1440" w:top="1409" w:right="1440"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STOCK OPTION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Stock Option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and entered into as of the date of grant (the “</w:t>
      </w:r>
      <w:r>
        <w:rPr>
          <w:rFonts w:ascii="Times New Roman" w:cs="Times New Roman" w:eastAsia="Times New Roman" w:hAnsi="Times New Roman"/>
          <w:sz w:val="20"/>
          <w:szCs w:val="20"/>
          <w:b w:val="1"/>
          <w:bCs w:val="1"/>
          <w:i w:val="1"/>
          <w:iCs w:val="1"/>
          <w:color w:val="auto"/>
        </w:rPr>
        <w:t>Date of Grant</w:t>
      </w:r>
      <w:r>
        <w:rPr>
          <w:rFonts w:ascii="Times New Roman" w:cs="Times New Roman" w:eastAsia="Times New Roman" w:hAnsi="Times New Roman"/>
          <w:sz w:val="20"/>
          <w:szCs w:val="20"/>
          <w:color w:val="auto"/>
        </w:rPr>
        <w:t>”) set forth on the Notice of Stock Option Grant attached as the facing page to this Agreement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by and between Navan,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optionee named on the Grant Notice (“</w:t>
      </w:r>
      <w:r>
        <w:rPr>
          <w:rFonts w:ascii="Times New Roman" w:cs="Times New Roman" w:eastAsia="Times New Roman" w:hAnsi="Times New Roman"/>
          <w:sz w:val="20"/>
          <w:szCs w:val="20"/>
          <w:b w:val="1"/>
          <w:bCs w:val="1"/>
          <w:i w:val="1"/>
          <w:iCs w:val="1"/>
          <w:color w:val="auto"/>
        </w:rPr>
        <w:t>Optionee</w:t>
      </w:r>
      <w:r>
        <w:rPr>
          <w:rFonts w:ascii="Times New Roman" w:cs="Times New Roman" w:eastAsia="Times New Roman" w:hAnsi="Times New Roman"/>
          <w:sz w:val="20"/>
          <w:szCs w:val="20"/>
          <w:color w:val="auto"/>
        </w:rPr>
        <w:t>”). Capitalized terms not defined in this Agreement shall have the meaning ascribed to them in the Company’s 2015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or in the Grant Notice, as applicable.</w:t>
      </w:r>
    </w:p>
    <w:p>
      <w:pPr>
        <w:spacing w:after="0" w:line="168" w:lineRule="exact"/>
        <w:rPr>
          <w:sz w:val="20"/>
          <w:szCs w:val="20"/>
          <w:color w:val="auto"/>
        </w:rPr>
      </w:pPr>
    </w:p>
    <w:p>
      <w:pPr>
        <w:jc w:val="both"/>
        <w:ind w:firstLine="656"/>
        <w:spacing w:after="0" w:line="254" w:lineRule="auto"/>
        <w:tabs>
          <w:tab w:leader="none" w:pos="994" w:val="left"/>
        </w:tabs>
        <w:numPr>
          <w:ilvl w:val="0"/>
          <w:numId w:val="2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GRANT OF OPTION. </w:t>
      </w:r>
      <w:r>
        <w:rPr>
          <w:rFonts w:ascii="Times New Roman" w:cs="Times New Roman" w:eastAsia="Times New Roman" w:hAnsi="Times New Roman"/>
          <w:sz w:val="20"/>
          <w:szCs w:val="20"/>
          <w:color w:val="auto"/>
        </w:rPr>
        <w:t>The Company hereby grants to Optionee an option (this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to purchase up to the total number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of the Company, $0.0001 par value per share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set forth in the Grant Notice as the Shares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at the Exercise Price Per Share set forth in the Grant Notice (the “</w:t>
      </w:r>
      <w:r>
        <w:rPr>
          <w:rFonts w:ascii="Times New Roman" w:cs="Times New Roman" w:eastAsia="Times New Roman" w:hAnsi="Times New Roman"/>
          <w:sz w:val="20"/>
          <w:szCs w:val="20"/>
          <w:b w:val="1"/>
          <w:bCs w:val="1"/>
          <w:i w:val="1"/>
          <w:iCs w:val="1"/>
          <w:color w:val="auto"/>
        </w:rPr>
        <w:t>Exercise Price</w:t>
      </w:r>
      <w:r>
        <w:rPr>
          <w:rFonts w:ascii="Times New Roman" w:cs="Times New Roman" w:eastAsia="Times New Roman" w:hAnsi="Times New Roman"/>
          <w:sz w:val="20"/>
          <w:szCs w:val="20"/>
          <w:color w:val="auto"/>
        </w:rPr>
        <w:t>”), subject to all of the terms and conditions of the Grant Notice, this Agreement and the Plan. If designated as an Incentive Stock Option in the Grant Notice, this Option is intended to qualify as an incentive stock option (the “</w:t>
      </w:r>
      <w:r>
        <w:rPr>
          <w:rFonts w:ascii="Times New Roman" w:cs="Times New Roman" w:eastAsia="Times New Roman" w:hAnsi="Times New Roman"/>
          <w:sz w:val="20"/>
          <w:szCs w:val="20"/>
          <w:b w:val="1"/>
          <w:bCs w:val="1"/>
          <w:i w:val="1"/>
          <w:iCs w:val="1"/>
          <w:color w:val="auto"/>
        </w:rPr>
        <w:t>ISO</w:t>
      </w:r>
      <w:r>
        <w:rPr>
          <w:rFonts w:ascii="Times New Roman" w:cs="Times New Roman" w:eastAsia="Times New Roman" w:hAnsi="Times New Roman"/>
          <w:sz w:val="20"/>
          <w:szCs w:val="20"/>
          <w:color w:val="auto"/>
        </w:rPr>
        <w:t>”) within the meaning of Section 422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except that if on the Date of Grant Optionee is not subject to U.S. income tax, then this Option shall be a NQSO.</w:t>
      </w:r>
    </w:p>
    <w:p>
      <w:pPr>
        <w:spacing w:after="0" w:line="186"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2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EXERCISE PERIOD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2.1 </w:t>
      </w:r>
      <w:r>
        <w:rPr>
          <w:rFonts w:ascii="Times New Roman" w:cs="Times New Roman" w:eastAsia="Times New Roman" w:hAnsi="Times New Roman"/>
          <w:sz w:val="20"/>
          <w:szCs w:val="20"/>
          <w:b w:val="1"/>
          <w:bCs w:val="1"/>
          <w:u w:val="single" w:color="auto"/>
          <w:color w:val="auto"/>
        </w:rPr>
        <w:t>Exercise Period of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Option is considered to be “vested” with respect to any particular Shares when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is exercisable with respect to such Shares.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74"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2.2 </w:t>
      </w:r>
      <w:r>
        <w:rPr>
          <w:rFonts w:ascii="Times New Roman" w:cs="Times New Roman" w:eastAsia="Times New Roman" w:hAnsi="Times New Roman"/>
          <w:sz w:val="20"/>
          <w:szCs w:val="20"/>
          <w:b w:val="1"/>
          <w:bCs w:val="1"/>
          <w:u w:val="single" w:color="auto"/>
          <w:color w:val="auto"/>
        </w:rPr>
        <w:t>Vesting of Option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with respect to which this Option is vested and exercisable at a given time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Vesting Schedule set forth in the Grant Notice are “</w:t>
      </w:r>
      <w:r>
        <w:rPr>
          <w:rFonts w:ascii="Times New Roman" w:cs="Times New Roman" w:eastAsia="Times New Roman" w:hAnsi="Times New Roman"/>
          <w:sz w:val="20"/>
          <w:szCs w:val="20"/>
          <w:b w:val="1"/>
          <w:bCs w:val="1"/>
          <w:i w:val="1"/>
          <w:iCs w:val="1"/>
          <w:color w:val="auto"/>
        </w:rPr>
        <w:t>Vested Shares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Shares with respect to which this Option is not vested and exercisable at a given time pursuant to the Vesting Schedule set forth in the Grant Notice are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Unvested Shares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p>
    <w:p>
      <w:pPr>
        <w:spacing w:after="0" w:line="155"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2.3 </w:t>
      </w:r>
      <w:r>
        <w:rPr>
          <w:rFonts w:ascii="Times New Roman" w:cs="Times New Roman" w:eastAsia="Times New Roman" w:hAnsi="Times New Roman"/>
          <w:sz w:val="20"/>
          <w:szCs w:val="20"/>
          <w:b w:val="1"/>
          <w:bCs w:val="1"/>
          <w:u w:val="single" w:color="auto"/>
          <w:color w:val="auto"/>
        </w:rPr>
        <w:t>Expiration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 shall expire on the Expiration Date set forth in the Grant Notice or earlier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3 below.</w:t>
      </w:r>
    </w:p>
    <w:p>
      <w:pPr>
        <w:spacing w:after="0" w:line="138"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TERMINATION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Termination for Any Reason Except Death, Disability or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provided in subsection 3.2 in a case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Optionee dies within 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w:t>
      </w:r>
    </w:p>
    <w:p>
      <w:pPr>
        <w:sectPr>
          <w:pgSz w:w="11900" w:h="16838" w:orient="portrait"/>
          <w:cols w:equalWidth="0" w:num="1">
            <w:col w:w="11240"/>
          </w:cols>
          <w:pgMar w:left="320" w:top="1413" w:right="339" w:bottom="1440" w:gutter="0" w:footer="0" w:header="0"/>
        </w:sectPr>
      </w:pPr>
    </w:p>
    <w:bookmarkStart w:id="325" w:name="page326"/>
    <w:bookmarkEnd w:id="325"/>
    <w:p>
      <w:pPr>
        <w:jc w:val="both"/>
        <w:spacing w:after="0" w:line="283" w:lineRule="auto"/>
        <w:rPr>
          <w:sz w:val="20"/>
          <w:szCs w:val="20"/>
          <w:color w:val="auto"/>
        </w:rPr>
      </w:pPr>
      <w:r>
        <w:rPr>
          <w:rFonts w:ascii="Times New Roman" w:cs="Times New Roman" w:eastAsia="Times New Roman" w:hAnsi="Times New Roman"/>
          <w:sz w:val="20"/>
          <w:szCs w:val="20"/>
          <w:color w:val="auto"/>
        </w:rPr>
        <w:t>(and only to the extent) that it is exercisable with respect to Vested Shares on Optionee’s Termination Date, may be exercised by Optionee no later than three (3) months after Optionee’s Termination Date (but in no event may this Option be exercised after the Expiration Date).</w:t>
      </w:r>
    </w:p>
    <w:p>
      <w:pPr>
        <w:spacing w:after="0" w:line="14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Termination Because of Death or Disability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Optionee is Terminated because of Optionee’s death or Disability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Optionee dies within three (3) 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3.3 </w:t>
      </w:r>
      <w:r>
        <w:rPr>
          <w:rFonts w:ascii="Times New Roman" w:cs="Times New Roman" w:eastAsia="Times New Roman" w:hAnsi="Times New Roman"/>
          <w:sz w:val="20"/>
          <w:szCs w:val="20"/>
          <w:b w:val="1"/>
          <w:bCs w:val="1"/>
          <w:u w:val="single" w:color="auto"/>
          <w:color w:val="auto"/>
        </w:rPr>
        <w:t>Termination for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Optionee is Terminated for Cause, then Optionee may exercise this Option, but only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any 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168"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3.4 </w:t>
      </w:r>
      <w:r>
        <w:rPr>
          <w:rFonts w:ascii="Times New Roman" w:cs="Times New Roman" w:eastAsia="Times New Roman" w:hAnsi="Times New Roman"/>
          <w:sz w:val="20"/>
          <w:szCs w:val="20"/>
          <w:b w:val="1"/>
          <w:bCs w:val="1"/>
          <w:u w:val="single" w:color="auto"/>
          <w:color w:val="auto"/>
        </w:rPr>
        <w:t>No Obligation to Employ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in the Plan or this Agreement shall confer on Optionee any right to continue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 of, or 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64"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MANNER OF EXERCISE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4.1 </w:t>
      </w:r>
      <w:r>
        <w:rPr>
          <w:rFonts w:ascii="Times New Roman" w:cs="Times New Roman" w:eastAsia="Times New Roman" w:hAnsi="Times New Roman"/>
          <w:sz w:val="19"/>
          <w:szCs w:val="19"/>
          <w:b w:val="1"/>
          <w:bCs w:val="1"/>
          <w:u w:val="single" w:color="auto"/>
          <w:color w:val="auto"/>
        </w:rPr>
        <w:t>Stock Option Exercise Notice and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exercise this Option, Optionee (or in the case of exercise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Optionee’s death or incapacity, Optionee’s executor, administrator, heir or legatee, as the case may be) must deliver to the Company an executed Stock Option Exercise Notice and Agreement in the form attached hereto as </w:t>
      </w:r>
      <w:r>
        <w:rPr>
          <w:rFonts w:ascii="Times New Roman" w:cs="Times New Roman" w:eastAsia="Times New Roman" w:hAnsi="Times New Roman"/>
          <w:sz w:val="19"/>
          <w:szCs w:val="19"/>
          <w:b w:val="1"/>
          <w:bCs w:val="1"/>
          <w:u w:val="single" w:color="auto"/>
          <w:color w:val="auto"/>
        </w:rPr>
        <w:t>Annex A</w:t>
      </w:r>
      <w:r>
        <w:rPr>
          <w:rFonts w:ascii="Times New Roman" w:cs="Times New Roman" w:eastAsia="Times New Roman" w:hAnsi="Times New Roman"/>
          <w:sz w:val="19"/>
          <w:szCs w:val="19"/>
          <w:color w:val="auto"/>
        </w:rPr>
        <w:t>, or in such other form as may be approved by the Committee from time to time (the “</w:t>
      </w:r>
      <w:r>
        <w:rPr>
          <w:rFonts w:ascii="Times New Roman" w:cs="Times New Roman" w:eastAsia="Times New Roman" w:hAnsi="Times New Roman"/>
          <w:sz w:val="19"/>
          <w:szCs w:val="19"/>
          <w:b w:val="1"/>
          <w:bCs w:val="1"/>
          <w:i w:val="1"/>
          <w:iCs w:val="1"/>
          <w:color w:val="auto"/>
        </w:rPr>
        <w:t>Exercise Agreement</w:t>
      </w:r>
      <w:r>
        <w:rPr>
          <w:rFonts w:ascii="Times New Roman" w:cs="Times New Roman" w:eastAsia="Times New Roman" w:hAnsi="Times New Roman"/>
          <w:sz w:val="19"/>
          <w:szCs w:val="19"/>
          <w:color w:val="auto"/>
        </w:rPr>
        <w:t>”) and payment for the shares being purchased in accordance with this Agreement. The Exercise Agreement shall set forth, among other things, (i) 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and</w:t>
      </w:r>
    </w:p>
    <w:p>
      <w:pPr>
        <w:spacing w:after="0" w:line="4" w:lineRule="exact"/>
        <w:rPr>
          <w:sz w:val="20"/>
          <w:szCs w:val="20"/>
          <w:color w:val="auto"/>
        </w:rPr>
      </w:pPr>
    </w:p>
    <w:p>
      <w:pPr>
        <w:jc w:val="both"/>
        <w:ind w:firstLine="8"/>
        <w:spacing w:after="0" w:line="249" w:lineRule="auto"/>
        <w:tabs>
          <w:tab w:leader="none" w:pos="35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agreements required by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ectPr>
          <w:pgSz w:w="11900" w:h="16838" w:orient="portrait"/>
          <w:cols w:equalWidth="0" w:num="1">
            <w:col w:w="11240"/>
          </w:cols>
          <w:pgMar w:left="320" w:top="1413" w:right="339" w:bottom="1440" w:gutter="0" w:footer="0" w:header="0"/>
        </w:sectPr>
      </w:pPr>
    </w:p>
    <w:bookmarkStart w:id="326" w:name="page327"/>
    <w:bookmarkEnd w:id="326"/>
    <w:p>
      <w:pPr>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Limitations on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Option may not be exercised unless such exercise is in compliance with all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federal and state securities laws, as they are in effect on the date of exercise.</w:t>
      </w:r>
    </w:p>
    <w:p>
      <w:pPr>
        <w:spacing w:after="0" w:line="138"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Exercise Agreement shall be accompanied by full payment of the Exercise Price for the shares being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purchased in cash (by check or wire transfer), or where permitted by law:</w:t>
      </w:r>
    </w:p>
    <w:p>
      <w:pPr>
        <w:spacing w:after="0" w:line="142" w:lineRule="exact"/>
        <w:rPr>
          <w:sz w:val="20"/>
          <w:szCs w:val="20"/>
          <w:color w:val="auto"/>
        </w:rPr>
      </w:pPr>
    </w:p>
    <w:p>
      <w:pPr>
        <w:ind w:left="2380" w:hanging="428"/>
        <w:spacing w:after="0"/>
        <w:tabs>
          <w:tab w:leader="none" w:pos="2380" w:val="left"/>
        </w:tabs>
        <w:numPr>
          <w:ilvl w:val="1"/>
          <w:numId w:val="2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cancellation of indebtedness of the Company owed to Optionee;</w:t>
      </w:r>
    </w:p>
    <w:p>
      <w:pPr>
        <w:spacing w:after="0" w:line="229" w:lineRule="exact"/>
        <w:rPr>
          <w:rFonts w:ascii="Times New Roman" w:cs="Times New Roman" w:eastAsia="Times New Roman" w:hAnsi="Times New Roman"/>
          <w:sz w:val="20"/>
          <w:szCs w:val="20"/>
          <w:b w:val="1"/>
          <w:bCs w:val="1"/>
          <w:color w:val="auto"/>
        </w:rPr>
      </w:pPr>
    </w:p>
    <w:p>
      <w:pPr>
        <w:jc w:val="both"/>
        <w:ind w:firstLine="1952"/>
        <w:spacing w:after="0" w:line="254" w:lineRule="auto"/>
        <w:tabs>
          <w:tab w:leader="none" w:pos="2411" w:val="left"/>
        </w:tabs>
        <w:numPr>
          <w:ilvl w:val="1"/>
          <w:numId w:val="2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w:t>
      </w:r>
    </w:p>
    <w:p>
      <w:pPr>
        <w:ind w:left="300" w:hanging="292"/>
        <w:spacing w:after="0"/>
        <w:tabs>
          <w:tab w:leader="none" w:pos="30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were obtained by Optionee in the public market;</w:t>
      </w:r>
    </w:p>
    <w:p>
      <w:pPr>
        <w:spacing w:after="0" w:line="200"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participating in a formal cashless exercise program implemented by the Committee in connection with the</w:t>
      </w:r>
    </w:p>
    <w:p>
      <w:pPr>
        <w:spacing w:after="0" w:line="28"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Plan;</w:t>
      </w:r>
    </w:p>
    <w:p>
      <w:pPr>
        <w:spacing w:after="0" w:line="213" w:lineRule="exact"/>
        <w:rPr>
          <w:rFonts w:ascii="Times New Roman" w:cs="Times New Roman" w:eastAsia="Times New Roman" w:hAnsi="Times New Roman"/>
          <w:sz w:val="20"/>
          <w:szCs w:val="20"/>
          <w:b w:val="1"/>
          <w:bCs w:val="1"/>
          <w:color w:val="auto"/>
        </w:rPr>
      </w:pPr>
    </w:p>
    <w:p>
      <w:pPr>
        <w:jc w:val="both"/>
        <w:ind w:firstLine="1952"/>
        <w:spacing w:after="0" w:line="254" w:lineRule="auto"/>
        <w:tabs>
          <w:tab w:leader="none" w:pos="2411" w:val="left"/>
        </w:tabs>
        <w:numPr>
          <w:ilvl w:val="1"/>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provided that a public market for the Common Stock exists and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187" w:lineRule="exact"/>
        <w:rPr>
          <w:rFonts w:ascii="Times New Roman" w:cs="Times New Roman" w:eastAsia="Times New Roman" w:hAnsi="Times New Roman"/>
          <w:sz w:val="20"/>
          <w:szCs w:val="20"/>
          <w:b w:val="1"/>
          <w:bCs w:val="1"/>
          <w:color w:val="auto"/>
        </w:rPr>
      </w:pPr>
    </w:p>
    <w:p>
      <w:pPr>
        <w:ind w:right="20" w:firstLine="1952"/>
        <w:spacing w:after="0" w:line="283" w:lineRule="auto"/>
        <w:tabs>
          <w:tab w:leader="none" w:pos="2510" w:val="left"/>
        </w:tabs>
        <w:numPr>
          <w:ilvl w:val="1"/>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any combination of the foregoing or any other method of payment approved by the Committee that constitutes legal consideration for the issuance of Shares.</w:t>
      </w:r>
    </w:p>
    <w:p>
      <w:pPr>
        <w:spacing w:after="0" w:line="14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4.4 </w:t>
      </w: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to the issuance of the Shares upon exercise of the Option, Optionee must pay or provide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applicable federal, state and local withholding obligations of the Company. If the Committee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w:t>
      </w:r>
    </w:p>
    <w:p>
      <w:pPr>
        <w:spacing w:after="0" w:line="173"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4.5 </w:t>
      </w:r>
      <w:r>
        <w:rPr>
          <w:rFonts w:ascii="Times New Roman" w:cs="Times New Roman" w:eastAsia="Times New Roman" w:hAnsi="Times New Roman"/>
          <w:sz w:val="20"/>
          <w:szCs w:val="20"/>
          <w:b w:val="1"/>
          <w:bCs w:val="1"/>
          <w:u w:val="single" w:color="auto"/>
          <w:color w:val="auto"/>
        </w:rPr>
        <w:t>Issuance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that the Exercise Agreement and payment are in form and substance satisfactory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counsel for the Company, 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178" w:lineRule="exact"/>
        <w:rPr>
          <w:sz w:val="20"/>
          <w:szCs w:val="20"/>
          <w:color w:val="auto"/>
        </w:rPr>
      </w:pPr>
    </w:p>
    <w:p>
      <w:pPr>
        <w:jc w:val="both"/>
        <w:ind w:firstLine="656"/>
        <w:spacing w:after="0" w:line="255" w:lineRule="auto"/>
        <w:tabs>
          <w:tab w:leader="none" w:pos="1066" w:val="left"/>
        </w:tabs>
        <w:numPr>
          <w:ilvl w:val="0"/>
          <w:numId w:val="2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COMPLIANCE WITH LAWS AND REGULATIONS. </w:t>
      </w:r>
      <w:r>
        <w:rPr>
          <w:rFonts w:ascii="Times New Roman" w:cs="Times New Roman" w:eastAsia="Times New Roman" w:hAnsi="Times New Roman"/>
          <w:sz w:val="20"/>
          <w:szCs w:val="20"/>
          <w:color w:val="auto"/>
        </w:rPr>
        <w:t>The Plan and this Agreement are intended to comply with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25102(o) and Rule 701. 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w:t>
      </w:r>
    </w:p>
    <w:p>
      <w:pPr>
        <w:sectPr>
          <w:pgSz w:w="11900" w:h="16838" w:orient="portrait"/>
          <w:cols w:equalWidth="0" w:num="1">
            <w:col w:w="11240"/>
          </w:cols>
          <w:pgMar w:left="320" w:top="1409" w:right="339" w:bottom="1440" w:gutter="0" w:footer="0" w:header="0"/>
        </w:sectPr>
      </w:pPr>
    </w:p>
    <w:bookmarkStart w:id="327" w:name="page328"/>
    <w:bookmarkEnd w:id="327"/>
    <w:p>
      <w:pPr>
        <w:jc w:val="both"/>
        <w:spacing w:after="0" w:line="258" w:lineRule="auto"/>
        <w:rPr>
          <w:sz w:val="20"/>
          <w:szCs w:val="20"/>
          <w:color w:val="auto"/>
        </w:rPr>
      </w:pPr>
      <w:r>
        <w:rPr>
          <w:rFonts w:ascii="Times New Roman" w:cs="Times New Roman" w:eastAsia="Times New Roman" w:hAnsi="Times New Roman"/>
          <w:sz w:val="20"/>
          <w:szCs w:val="20"/>
          <w:color w:val="auto"/>
        </w:rPr>
        <w:t>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68" w:lineRule="exact"/>
        <w:rPr>
          <w:sz w:val="20"/>
          <w:szCs w:val="20"/>
          <w:color w:val="auto"/>
        </w:rPr>
      </w:pPr>
    </w:p>
    <w:p>
      <w:pPr>
        <w:jc w:val="both"/>
        <w:ind w:firstLine="656"/>
        <w:spacing w:after="0" w:line="275" w:lineRule="auto"/>
        <w:tabs>
          <w:tab w:leader="none" w:pos="1002" w:val="left"/>
        </w:tabs>
        <w:numPr>
          <w:ilvl w:val="0"/>
          <w:numId w:val="2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NONTRANSFERABILITY OF OPTION. </w:t>
      </w:r>
      <w:r>
        <w:rPr>
          <w:rFonts w:ascii="Times New Roman" w:cs="Times New Roman" w:eastAsia="Times New Roman" w:hAnsi="Times New Roman"/>
          <w:sz w:val="19"/>
          <w:szCs w:val="19"/>
          <w:color w:val="auto"/>
        </w:rPr>
        <w:t>This Option may not be transferred in any manner other than by will or by the laws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descent and 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52" w:lineRule="exact"/>
        <w:rPr>
          <w:rFonts w:ascii="Times New Roman" w:cs="Times New Roman" w:eastAsia="Times New Roman" w:hAnsi="Times New Roman"/>
          <w:sz w:val="19"/>
          <w:szCs w:val="19"/>
          <w:b w:val="1"/>
          <w:bCs w:val="1"/>
          <w:color w:val="auto"/>
        </w:rPr>
      </w:pPr>
    </w:p>
    <w:p>
      <w:pPr>
        <w:ind w:left="1000" w:hanging="344"/>
        <w:spacing w:after="0"/>
        <w:tabs>
          <w:tab w:leader="none" w:pos="1000" w:val="left"/>
        </w:tabs>
        <w:numPr>
          <w:ilvl w:val="0"/>
          <w:numId w:val="2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RESTRICTIONS ON TRANSFER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7.1 </w:t>
      </w:r>
      <w:r>
        <w:rPr>
          <w:rFonts w:ascii="Times New Roman" w:cs="Times New Roman" w:eastAsia="Times New Roman" w:hAnsi="Times New Roman"/>
          <w:sz w:val="20"/>
          <w:szCs w:val="20"/>
          <w:b w:val="1"/>
          <w:bCs w:val="1"/>
          <w:u w:val="single" w:color="auto"/>
          <w:color w:val="auto"/>
        </w:rPr>
        <w:t>Disposition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hereby agrees that Optionee shall make no disposition of any of the Shares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permitted by this Agreement) unless and until:</w:t>
      </w:r>
    </w:p>
    <w:p>
      <w:pPr>
        <w:spacing w:after="0" w:line="142" w:lineRule="exact"/>
        <w:rPr>
          <w:sz w:val="20"/>
          <w:szCs w:val="20"/>
          <w:color w:val="auto"/>
        </w:rPr>
      </w:pPr>
    </w:p>
    <w:p>
      <w:pPr>
        <w:ind w:right="20" w:firstLine="1952"/>
        <w:spacing w:after="0" w:line="283" w:lineRule="auto"/>
        <w:tabs>
          <w:tab w:leader="none" w:pos="2399" w:val="left"/>
        </w:tabs>
        <w:numPr>
          <w:ilvl w:val="0"/>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shall have notified the Company of the proposed disposition and provided a written summary of the terms and conditions of the proposed disposition;</w:t>
      </w:r>
    </w:p>
    <w:p>
      <w:pPr>
        <w:spacing w:after="0" w:line="146" w:lineRule="exact"/>
        <w:rPr>
          <w:rFonts w:ascii="Times New Roman" w:cs="Times New Roman" w:eastAsia="Times New Roman" w:hAnsi="Times New Roman"/>
          <w:sz w:val="20"/>
          <w:szCs w:val="20"/>
          <w:b w:val="1"/>
          <w:bCs w:val="1"/>
          <w:color w:val="auto"/>
        </w:rPr>
      </w:pPr>
    </w:p>
    <w:p>
      <w:pPr>
        <w:ind w:left="2480" w:hanging="528"/>
        <w:spacing w:after="0"/>
        <w:tabs>
          <w:tab w:leader="none" w:pos="2480" w:val="left"/>
        </w:tabs>
        <w:numPr>
          <w:ilvl w:val="0"/>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shall have complied with all requirements of this Agreement applicable to the disposition of the</w:t>
      </w:r>
    </w:p>
    <w:p>
      <w:pPr>
        <w:spacing w:after="0" w:line="28"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Shares;</w:t>
      </w:r>
    </w:p>
    <w:p>
      <w:pPr>
        <w:spacing w:after="0" w:line="213" w:lineRule="exact"/>
        <w:rPr>
          <w:rFonts w:ascii="Times New Roman" w:cs="Times New Roman" w:eastAsia="Times New Roman" w:hAnsi="Times New Roman"/>
          <w:sz w:val="20"/>
          <w:szCs w:val="20"/>
          <w:b w:val="1"/>
          <w:bCs w:val="1"/>
          <w:color w:val="auto"/>
        </w:rPr>
      </w:pPr>
    </w:p>
    <w:p>
      <w:pPr>
        <w:jc w:val="both"/>
        <w:ind w:firstLine="1952"/>
        <w:spacing w:after="0" w:line="253" w:lineRule="auto"/>
        <w:tabs>
          <w:tab w:leader="none" w:pos="2469" w:val="left"/>
        </w:tabs>
        <w:numPr>
          <w:ilvl w:val="0"/>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178" w:lineRule="exact"/>
        <w:rPr>
          <w:rFonts w:ascii="Times New Roman" w:cs="Times New Roman" w:eastAsia="Times New Roman" w:hAnsi="Times New Roman"/>
          <w:sz w:val="20"/>
          <w:szCs w:val="20"/>
          <w:b w:val="1"/>
          <w:bCs w:val="1"/>
          <w:color w:val="auto"/>
        </w:rPr>
      </w:pPr>
    </w:p>
    <w:p>
      <w:pPr>
        <w:jc w:val="both"/>
        <w:ind w:firstLine="1952"/>
        <w:spacing w:after="0" w:line="257" w:lineRule="auto"/>
        <w:tabs>
          <w:tab w:leader="none" w:pos="2424" w:val="left"/>
        </w:tabs>
        <w:numPr>
          <w:ilvl w:val="0"/>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169"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7.2 </w:t>
      </w:r>
      <w:r>
        <w:rPr>
          <w:rFonts w:ascii="Times New Roman" w:cs="Times New Roman" w:eastAsia="Times New Roman" w:hAnsi="Times New Roman"/>
          <w:sz w:val="20"/>
          <w:szCs w:val="20"/>
          <w:b w:val="1"/>
          <w:bCs w:val="1"/>
          <w:u w:val="single" w:color="auto"/>
          <w:color w:val="auto"/>
        </w:rPr>
        <w:t>Restriction on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shall not transfer, assign, grant a lien or security interest in, pledge, hypothecate,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encumber or otherwise dispose of any of the Shares which are subject to the Company’s Right of First Refusal described below, except as permitted by this Agreement.</w:t>
      </w:r>
    </w:p>
    <w:p>
      <w:pPr>
        <w:spacing w:after="0" w:line="15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7.3 </w:t>
      </w:r>
      <w:r>
        <w:rPr>
          <w:rFonts w:ascii="Times New Roman" w:cs="Times New Roman" w:eastAsia="Times New Roman" w:hAnsi="Times New Roman"/>
          <w:sz w:val="20"/>
          <w:szCs w:val="20"/>
          <w:b w:val="1"/>
          <w:bCs w:val="1"/>
          <w:u w:val="single" w:color="auto"/>
          <w:color w:val="auto"/>
        </w:rPr>
        <w:t>Transferee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person (other than the Company) to whom the Shares are transferred by means of one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permitted transfers specified in this Agreement must, as a condition precedent to the validity of such transfer, acknowledge in writing to the Company that such person is bound by the provisions of this Agreement and that the transferred Shares are subject to (i) the Company’s Right of First Refusal granted hereunder and (ii) the market stand-off provisions of Section 8 below, to the same extent such Shares would be so subject if retained by Optionee.</w:t>
      </w:r>
    </w:p>
    <w:p>
      <w:pPr>
        <w:sectPr>
          <w:pgSz w:w="11900" w:h="16838" w:orient="portrait"/>
          <w:cols w:equalWidth="0" w:num="1">
            <w:col w:w="11240"/>
          </w:cols>
          <w:pgMar w:left="320" w:top="1413" w:right="339" w:bottom="1440" w:gutter="0" w:footer="0" w:header="0"/>
        </w:sectPr>
      </w:pPr>
    </w:p>
    <w:bookmarkStart w:id="328" w:name="page329"/>
    <w:bookmarkEnd w:id="328"/>
    <w:p>
      <w:pPr>
        <w:jc w:val="both"/>
        <w:ind w:firstLine="656"/>
        <w:spacing w:after="0" w:line="263" w:lineRule="auto"/>
        <w:tabs>
          <w:tab w:leader="none" w:pos="1064" w:val="left"/>
        </w:tabs>
        <w:numPr>
          <w:ilvl w:val="1"/>
          <w:numId w:val="2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MARKET STANDOFF AGREEMENT. </w:t>
      </w:r>
      <w:r>
        <w:rPr>
          <w:rFonts w:ascii="Times New Roman" w:cs="Times New Roman" w:eastAsia="Times New Roman" w:hAnsi="Times New Roman"/>
          <w:sz w:val="19"/>
          <w:szCs w:val="19"/>
          <w:color w:val="auto"/>
        </w:rPr>
        <w:t>Optionee agrees that, subject to any early release provisions that apply pro rata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stockholders of the 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Times New Roman" w:cs="Times New Roman" w:eastAsia="Times New Roman" w:hAnsi="Times New Roman"/>
          <w:sz w:val="19"/>
          <w:szCs w:val="19"/>
          <w:b w:val="1"/>
          <w:bCs w:val="1"/>
          <w:i w:val="1"/>
          <w:iCs w:val="1"/>
          <w:color w:val="auto"/>
        </w:rPr>
        <w:t>IPO</w:t>
      </w:r>
      <w:r>
        <w:rPr>
          <w:rFonts w:ascii="Times New Roman" w:cs="Times New Roman" w:eastAsia="Times New Roman" w:hAnsi="Times New Roman"/>
          <w:sz w:val="19"/>
          <w:szCs w:val="19"/>
          <w:color w:val="auto"/>
        </w:rPr>
        <w:t xml:space="preserve">”), directly or indirectly sell, offer to sell, grant any option for the sale of, or otherwise dispose of any Common Stock or securities convertible into Common Stock, </w:t>
      </w:r>
      <w:r>
        <w:rPr>
          <w:rFonts w:ascii="Times New Roman" w:cs="Times New Roman" w:eastAsia="Times New Roman" w:hAnsi="Times New Roman"/>
          <w:sz w:val="19"/>
          <w:szCs w:val="19"/>
          <w:u w:val="single" w:color="auto"/>
          <w:color w:val="auto"/>
        </w:rPr>
        <w:t>except for:</w:t>
      </w:r>
      <w:r>
        <w:rPr>
          <w:rFonts w:ascii="Times New Roman" w:cs="Times New Roman" w:eastAsia="Times New Roman" w:hAnsi="Times New Roman"/>
          <w:sz w:val="19"/>
          <w:szCs w:val="19"/>
          <w:color w:val="auto"/>
        </w:rPr>
        <w:t xml:space="preserve"> (i) transfers of Shares permitted under Section 9.6 hereof so long as such transferee furnishes to the Company and the managing underwriter their written consent to be bound by this Section 8 as a condition precedent to such transfer; and</w:t>
      </w:r>
    </w:p>
    <w:p>
      <w:pPr>
        <w:spacing w:after="0" w:line="4" w:lineRule="exact"/>
        <w:rPr>
          <w:rFonts w:ascii="Times New Roman" w:cs="Times New Roman" w:eastAsia="Times New Roman" w:hAnsi="Times New Roman"/>
          <w:sz w:val="19"/>
          <w:szCs w:val="19"/>
          <w:b w:val="1"/>
          <w:bCs w:val="1"/>
          <w:color w:val="auto"/>
        </w:rPr>
      </w:pPr>
    </w:p>
    <w:p>
      <w:pPr>
        <w:ind w:left="300" w:hanging="292"/>
        <w:spacing w:after="0"/>
        <w:tabs>
          <w:tab w:leader="none" w:pos="30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any securities to be included in the registration statement for the IPO. For the avoidance of doubt, the provisions of this Section</w:t>
      </w:r>
    </w:p>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90" w:lineRule="exact"/>
        <w:rPr>
          <w:sz w:val="20"/>
          <w:szCs w:val="20"/>
          <w:color w:val="auto"/>
        </w:rPr>
      </w:pPr>
    </w:p>
    <w:p>
      <w:pPr>
        <w:jc w:val="both"/>
        <w:ind w:firstLine="656"/>
        <w:spacing w:after="0" w:line="255" w:lineRule="auto"/>
        <w:tabs>
          <w:tab w:leader="none" w:pos="1048" w:val="left"/>
        </w:tabs>
        <w:numPr>
          <w:ilvl w:val="0"/>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COMPANY’S RIGHT OF FIRST REFUSAL. </w:t>
      </w:r>
      <w:r>
        <w:rPr>
          <w:rFonts w:ascii="Times New Roman" w:cs="Times New Roman" w:eastAsia="Times New Roman" w:hAnsi="Times New Roman"/>
          <w:sz w:val="20"/>
          <w:szCs w:val="20"/>
          <w:color w:val="auto"/>
        </w:rPr>
        <w:t>Before any Shares held by Optionee or any transferee of such Shares (either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sometimes referred to herein as the “</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may be sold or otherwise transferred (including, without limitation, a transfer by gift or operation of law), the Company and/or its assignee(s) will have a right of first refusal to purchase the Shares to be sold or transferred (the “</w:t>
      </w:r>
      <w:r>
        <w:rPr>
          <w:rFonts w:ascii="Times New Roman" w:cs="Times New Roman" w:eastAsia="Times New Roman" w:hAnsi="Times New Roman"/>
          <w:sz w:val="20"/>
          <w:szCs w:val="20"/>
          <w:b w:val="1"/>
          <w:bCs w:val="1"/>
          <w:i w:val="1"/>
          <w:iCs w:val="1"/>
          <w:color w:val="auto"/>
        </w:rPr>
        <w:t>Offered Shares”</w:t>
      </w:r>
      <w:r>
        <w:rPr>
          <w:rFonts w:ascii="Times New Roman" w:cs="Times New Roman" w:eastAsia="Times New Roman" w:hAnsi="Times New Roman"/>
          <w:sz w:val="20"/>
          <w:szCs w:val="20"/>
          <w:color w:val="auto"/>
        </w:rPr>
        <w:t>) on the terms and conditions set forth in this Section (the “</w:t>
      </w:r>
      <w:r>
        <w:rPr>
          <w:rFonts w:ascii="Times New Roman" w:cs="Times New Roman" w:eastAsia="Times New Roman" w:hAnsi="Times New Roman"/>
          <w:sz w:val="20"/>
          <w:szCs w:val="20"/>
          <w:b w:val="1"/>
          <w:bCs w:val="1"/>
          <w:i w:val="1"/>
          <w:iCs w:val="1"/>
          <w:color w:val="auto"/>
        </w:rPr>
        <w:t>Right of First Refusal”</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9.1 </w:t>
      </w:r>
      <w:r>
        <w:rPr>
          <w:rFonts w:ascii="Times New Roman" w:cs="Times New Roman" w:eastAsia="Times New Roman" w:hAnsi="Times New Roman"/>
          <w:sz w:val="20"/>
          <w:szCs w:val="20"/>
          <w:b w:val="1"/>
          <w:bCs w:val="1"/>
          <w:u w:val="single" w:color="auto"/>
          <w:color w:val="auto"/>
        </w:rPr>
        <w:t>Notice of Proposed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Holder of the Offered Shares will deliver to the Company a written notice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stating: (i) the Holder’s bona fide intention to sell or otherwise transfer the Offered Shares; (ii) the name and address of each proposed purchaser or other transferee (the “</w:t>
      </w:r>
      <w:r>
        <w:rPr>
          <w:rFonts w:ascii="Times New Roman" w:cs="Times New Roman" w:eastAsia="Times New Roman" w:hAnsi="Times New Roman"/>
          <w:sz w:val="20"/>
          <w:szCs w:val="20"/>
          <w:b w:val="1"/>
          <w:bCs w:val="1"/>
          <w:i w:val="1"/>
          <w:iCs w:val="1"/>
          <w:color w:val="auto"/>
        </w:rPr>
        <w:t>Proposed Transferee”</w:t>
      </w:r>
      <w:r>
        <w:rPr>
          <w:rFonts w:ascii="Times New Roman" w:cs="Times New Roman" w:eastAsia="Times New Roman" w:hAnsi="Times New Roman"/>
          <w:sz w:val="20"/>
          <w:szCs w:val="20"/>
          <w:color w:val="auto"/>
        </w:rPr>
        <w:t>); (iii) the number of Offered Shares to be transferred to each Proposed Transferee; (iv) the bona fide cash price or other consideration for which the Holder proposes to transfer the Offered Shares (the “</w:t>
      </w:r>
      <w:r>
        <w:rPr>
          <w:rFonts w:ascii="Times New Roman" w:cs="Times New Roman" w:eastAsia="Times New Roman" w:hAnsi="Times New Roman"/>
          <w:sz w:val="20"/>
          <w:szCs w:val="20"/>
          <w:b w:val="1"/>
          <w:bCs w:val="1"/>
          <w:i w:val="1"/>
          <w:iCs w:val="1"/>
          <w:color w:val="auto"/>
        </w:rPr>
        <w:t>Offered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Price”</w:t>
      </w:r>
      <w:r>
        <w:rPr>
          <w:rFonts w:ascii="Times New Roman" w:cs="Times New Roman" w:eastAsia="Times New Roman" w:hAnsi="Times New Roman"/>
          <w:sz w:val="20"/>
          <w:szCs w:val="20"/>
          <w:color w:val="auto"/>
        </w:rPr>
        <w:t>); and (v) that the Holder acknowledges this Notice is an offer to sell the Offered Shares to the Company and/or its assignee(s)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pursuant to the Company’s Right of First Refusal at the Offered Price as provided for in this Agreement.</w:t>
      </w:r>
    </w:p>
    <w:p>
      <w:pPr>
        <w:spacing w:after="0" w:line="173"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9.2 </w:t>
      </w:r>
      <w:r>
        <w:rPr>
          <w:rFonts w:ascii="Times New Roman" w:cs="Times New Roman" w:eastAsia="Times New Roman" w:hAnsi="Times New Roman"/>
          <w:sz w:val="20"/>
          <w:szCs w:val="20"/>
          <w:b w:val="1"/>
          <w:bCs w:val="1"/>
          <w:u w:val="single" w:color="auto"/>
          <w:color w:val="auto"/>
        </w:rPr>
        <w:t>Exercise of Right of First Refusal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any time within thirty (30) days after the date of the Notice,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7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9.3 </w:t>
      </w:r>
      <w:r>
        <w:rPr>
          <w:rFonts w:ascii="Times New Roman" w:cs="Times New Roman" w:eastAsia="Times New Roman" w:hAnsi="Times New Roman"/>
          <w:sz w:val="19"/>
          <w:szCs w:val="19"/>
          <w:b w:val="1"/>
          <w:bCs w:val="1"/>
          <w:u w:val="single" w:color="auto"/>
          <w:color w:val="auto"/>
        </w:rPr>
        <w:t>Purchase Price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purchase price for the Offered Shares purchased under this Section will be the Offered Price,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if the Offered Price consists of no legal consideration (as, for example, in the case of a transfer by gift) then the purchase price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be the fair market value of the Offered Shares as determined in good faith by the Committee. If the Offered Price includes consideration</w:t>
      </w:r>
    </w:p>
    <w:p>
      <w:pPr>
        <w:sectPr>
          <w:pgSz w:w="11900" w:h="16838" w:orient="portrait"/>
          <w:cols w:equalWidth="0" w:num="1">
            <w:col w:w="11240"/>
          </w:cols>
          <w:pgMar w:left="320" w:top="1409" w:right="339" w:bottom="1440" w:gutter="0" w:footer="0" w:header="0"/>
        </w:sectPr>
      </w:pPr>
    </w:p>
    <w:bookmarkStart w:id="329" w:name="page330"/>
    <w:bookmarkEnd w:id="329"/>
    <w:p>
      <w:pPr>
        <w:jc w:val="both"/>
        <w:spacing w:after="0" w:line="283" w:lineRule="auto"/>
        <w:rPr>
          <w:sz w:val="20"/>
          <w:szCs w:val="20"/>
          <w:color w:val="auto"/>
        </w:rPr>
      </w:pPr>
      <w:r>
        <w:rPr>
          <w:rFonts w:ascii="Times New Roman" w:cs="Times New Roman" w:eastAsia="Times New Roman" w:hAnsi="Times New Roman"/>
          <w:sz w:val="20"/>
          <w:szCs w:val="20"/>
          <w:color w:val="auto"/>
        </w:rPr>
        <w:t>other than cash, then the value of the non-cash consideration, as determined in good faith by the Committee, will conclusively be deemed to be the cash equivalent value of such non-cash consideration.</w:t>
      </w:r>
    </w:p>
    <w:p>
      <w:pPr>
        <w:spacing w:after="0" w:line="14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9.4 </w:t>
      </w: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of the purchase price for the Offered Shares will be payable, at the option of the Company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assignee(s) (as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16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9.5 </w:t>
      </w:r>
      <w:r>
        <w:rPr>
          <w:rFonts w:ascii="Times New Roman" w:cs="Times New Roman" w:eastAsia="Times New Roman" w:hAnsi="Times New Roman"/>
          <w:sz w:val="20"/>
          <w:szCs w:val="20"/>
          <w:b w:val="1"/>
          <w:bCs w:val="1"/>
          <w:u w:val="single" w:color="auto"/>
          <w:color w:val="auto"/>
        </w:rPr>
        <w:t>Holder’s Right to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all of the Offered Shares proposed in the Notice to be transferred to a given Proposed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Transferee are not purchased by the Company and/or its assignee(s) as provided in this Section, then the Holder may sell or otherwise transfer such Offered Shares to each Proposed Transferee at the Offered Price or at a higher price,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18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9.6 </w:t>
      </w:r>
      <w:r>
        <w:rPr>
          <w:rFonts w:ascii="Times New Roman" w:cs="Times New Roman" w:eastAsia="Times New Roman" w:hAnsi="Times New Roman"/>
          <w:sz w:val="20"/>
          <w:szCs w:val="20"/>
          <w:b w:val="1"/>
          <w:bCs w:val="1"/>
          <w:u w:val="single" w:color="auto"/>
          <w:color w:val="auto"/>
        </w:rPr>
        <w:t>Exempt Transfers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in this Section, the following transfers of Shares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exempt from the Right of First Refusal: (i) the transfer of any or all of the Shares during Optionee’s lifetime by gift or on Optionee’s death by will or intestacy to any member(s) of Optionee’s “Immediate Family” (as defined below) or to a trust for the benefit of Optionee and/or member(s) of Optionee’s Immediate Family,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each transferee or other recipient agrees in a writing satisfactory to the Company that the provisions of this Section will continue to apply to the transferred Shares in the hands of such transferee or other recipient; (ii) any transfer of Shares made pursuant to a statutory merger, statutory consolidation of the Company with or into another corporation or corporations or a conversion of the Company into another form of legal entity (except that the Right of First Refusal will continue to apply thereafter to such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Shares pursuant to the winding up and dissolution of the Company. As used herein, the term “</w:t>
      </w:r>
      <w:r>
        <w:rPr>
          <w:rFonts w:ascii="Times New Roman" w:cs="Times New Roman" w:eastAsia="Times New Roman" w:hAnsi="Times New Roman"/>
          <w:sz w:val="20"/>
          <w:szCs w:val="20"/>
          <w:b w:val="1"/>
          <w:bCs w:val="1"/>
          <w:i w:val="1"/>
          <w:iCs w:val="1"/>
          <w:color w:val="auto"/>
        </w:rPr>
        <w:t>Immediate Family”</w:t>
      </w:r>
      <w:r>
        <w:rPr>
          <w:rFonts w:ascii="Times New Roman" w:cs="Times New Roman" w:eastAsia="Times New Roman" w:hAnsi="Times New Roman"/>
          <w:sz w:val="20"/>
          <w:szCs w:val="20"/>
          <w:color w:val="auto"/>
        </w:rPr>
        <w:t xml:space="preserve">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Times New Roman" w:cs="Times New Roman" w:eastAsia="Times New Roman" w:hAnsi="Times New Roman"/>
          <w:sz w:val="20"/>
          <w:szCs w:val="20"/>
          <w:b w:val="1"/>
          <w:bCs w:val="1"/>
          <w:i w:val="1"/>
          <w:iCs w:val="1"/>
          <w:color w:val="auto"/>
        </w:rPr>
        <w:t>Spousal Equivalent”</w:t>
      </w:r>
      <w:r>
        <w:rPr>
          <w:rFonts w:ascii="Times New Roman" w:cs="Times New Roman" w:eastAsia="Times New Roman" w:hAnsi="Times New Roman"/>
          <w:sz w:val="20"/>
          <w:szCs w:val="20"/>
          <w:color w:val="auto"/>
        </w:rPr>
        <w:t xml:space="preserve"> provided the following circumstances are true: (i) 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ectPr>
          <w:pgSz w:w="11900" w:h="16838" w:orient="portrait"/>
          <w:cols w:equalWidth="0" w:num="1">
            <w:col w:w="11240"/>
          </w:cols>
          <w:pgMar w:left="320" w:top="1413" w:right="339" w:bottom="1440" w:gutter="0" w:footer="0" w:header="0"/>
        </w:sectPr>
      </w:pPr>
    </w:p>
    <w:bookmarkStart w:id="330" w:name="page331"/>
    <w:bookmarkEnd w:id="330"/>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9.7 </w:t>
      </w:r>
      <w:r>
        <w:rPr>
          <w:rFonts w:ascii="Times New Roman" w:cs="Times New Roman" w:eastAsia="Times New Roman" w:hAnsi="Times New Roman"/>
          <w:sz w:val="20"/>
          <w:szCs w:val="20"/>
          <w:b w:val="1"/>
          <w:bCs w:val="1"/>
          <w:u w:val="single" w:color="auto"/>
          <w:color w:val="auto"/>
        </w:rPr>
        <w:t>Termination of Right of First Refusal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Right of First Refusal will terminate as to all Shares: (i) on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the first 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or (iii) on any transfer or conversion of Shares made pursuant to a statutory conversion of the Company into another form of legal entity if the common equity (or comparable equity security) of entity resulting from such conversion is registered under the Exchange Act.</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9.8 </w:t>
      </w:r>
      <w:r>
        <w:rPr>
          <w:rFonts w:ascii="Times New Roman" w:cs="Times New Roman" w:eastAsia="Times New Roman" w:hAnsi="Times New Roman"/>
          <w:sz w:val="20"/>
          <w:szCs w:val="20"/>
          <w:b w:val="1"/>
          <w:bCs w:val="1"/>
          <w:u w:val="single" w:color="auto"/>
          <w:color w:val="auto"/>
        </w:rPr>
        <w:t>Encumbrances on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may grant a lien or security interest in, or pledge, hypothecate or encumber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only if each 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Shares after they are acquired by the Company and/or its assignees under this Section; and (ii) the provisions of this Agreement will continue to apply to such Shares in the hands of such party and any transferee of such party.</w:t>
      </w:r>
    </w:p>
    <w:p>
      <w:pPr>
        <w:spacing w:after="0" w:line="173" w:lineRule="exact"/>
        <w:rPr>
          <w:sz w:val="20"/>
          <w:szCs w:val="20"/>
          <w:color w:val="auto"/>
        </w:rPr>
      </w:pPr>
    </w:p>
    <w:p>
      <w:pPr>
        <w:jc w:val="both"/>
        <w:ind w:firstLine="656"/>
        <w:spacing w:after="0" w:line="252" w:lineRule="auto"/>
        <w:tabs>
          <w:tab w:leader="none" w:pos="1181"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Optionee shall not have any of the rights of a stockholder with respect to any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and until such 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Right of First Refusal. Upon an exercise of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093"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ESCROW. </w:t>
      </w:r>
      <w:r>
        <w:rPr>
          <w:rFonts w:ascii="Times New Roman" w:cs="Times New Roman" w:eastAsia="Times New Roman" w:hAnsi="Times New Roman"/>
          <w:sz w:val="20"/>
          <w:szCs w:val="20"/>
          <w:color w:val="auto"/>
        </w:rPr>
        <w:t>As security for Optionee’s faithful performance of this Agreement, Optionee agrees, immediately upon issuance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stock certificate(s) evidencing the Shares, to consent to the delivery of such certificate(s) to the Secretary of the Company or other designee of the Company (the “</w:t>
      </w:r>
      <w:r>
        <w:rPr>
          <w:rFonts w:ascii="Times New Roman" w:cs="Times New Roman" w:eastAsia="Times New Roman" w:hAnsi="Times New Roman"/>
          <w:sz w:val="20"/>
          <w:szCs w:val="20"/>
          <w:b w:val="1"/>
          <w:bCs w:val="1"/>
          <w:i w:val="1"/>
          <w:iCs w:val="1"/>
          <w:color w:val="auto"/>
        </w:rPr>
        <w:t>Escrow Holder</w:t>
      </w:r>
      <w:r>
        <w:rPr>
          <w:rFonts w:ascii="Times New Roman" w:cs="Times New Roman" w:eastAsia="Times New Roman" w:hAnsi="Times New Roman"/>
          <w:sz w:val="20"/>
          <w:szCs w:val="20"/>
          <w:color w:val="auto"/>
        </w:rPr>
        <w:t>”), who is hereby appointed to hold such certificate(s)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the Right of First Refusal.</w:t>
      </w:r>
    </w:p>
    <w:p>
      <w:pPr>
        <w:sectPr>
          <w:pgSz w:w="11900" w:h="16838" w:orient="portrait"/>
          <w:cols w:equalWidth="0" w:num="1">
            <w:col w:w="11240"/>
          </w:cols>
          <w:pgMar w:left="320" w:top="1409" w:right="339" w:bottom="1440" w:gutter="0" w:footer="0" w:header="0"/>
        </w:sectPr>
      </w:pPr>
    </w:p>
    <w:bookmarkStart w:id="331" w:name="page332"/>
    <w:bookmarkEnd w:id="331"/>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RESTRICTIVE LEGENDS AND STOP-TRANSFER ORDERS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12.1 </w:t>
      </w:r>
      <w:r>
        <w:rPr>
          <w:rFonts w:ascii="Times New Roman" w:cs="Times New Roman" w:eastAsia="Times New Roman" w:hAnsi="Times New Roman"/>
          <w:sz w:val="20"/>
          <w:szCs w:val="20"/>
          <w:b w:val="1"/>
          <w:bCs w:val="1"/>
          <w:u w:val="single" w:color="auto"/>
          <w:color w:val="auto"/>
        </w:rPr>
        <w:t>Legends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understands and agrees that the Company will place the legends set forth below or similar legends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any stock certificate(s) 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191" w:lineRule="exact"/>
        <w:rPr>
          <w:sz w:val="20"/>
          <w:szCs w:val="20"/>
          <w:color w:val="auto"/>
        </w:rPr>
      </w:pPr>
    </w:p>
    <w:p>
      <w:pPr>
        <w:jc w:val="both"/>
        <w:ind w:firstLine="1952"/>
        <w:spacing w:after="0" w:line="250" w:lineRule="auto"/>
        <w:tabs>
          <w:tab w:leader="none" w:pos="2683"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92" w:lineRule="exact"/>
        <w:rPr>
          <w:rFonts w:ascii="Times New Roman" w:cs="Times New Roman" w:eastAsia="Times New Roman" w:hAnsi="Times New Roman"/>
          <w:sz w:val="20"/>
          <w:szCs w:val="20"/>
          <w:b w:val="1"/>
          <w:bCs w:val="1"/>
          <w:color w:val="auto"/>
        </w:rPr>
      </w:pPr>
    </w:p>
    <w:p>
      <w:pPr>
        <w:jc w:val="both"/>
        <w:ind w:firstLine="1952"/>
        <w:spacing w:after="0" w:line="270" w:lineRule="auto"/>
        <w:tabs>
          <w:tab w:leader="none" w:pos="2424" w:val="left"/>
        </w:tabs>
        <w:numPr>
          <w:ilvl w:val="0"/>
          <w:numId w:val="2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SHARES REPRESENTED BY THIS CERTIFICATE ARE SUBJECT TO CERTAIN RESTRICTIONS ON RESALE AND TRANSFER, INCLUDING THE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RIGHT OF FIRST REFUSAL, ARE BINDING ON TRANSFEREES OF THESE SHARES.</w:t>
      </w:r>
    </w:p>
    <w:p>
      <w:pPr>
        <w:spacing w:after="0" w:line="175" w:lineRule="exact"/>
        <w:rPr>
          <w:rFonts w:ascii="Times New Roman" w:cs="Times New Roman" w:eastAsia="Times New Roman" w:hAnsi="Times New Roman"/>
          <w:sz w:val="19"/>
          <w:szCs w:val="19"/>
          <w:b w:val="1"/>
          <w:bCs w:val="1"/>
          <w:color w:val="auto"/>
        </w:rPr>
      </w:pPr>
    </w:p>
    <w:p>
      <w:pPr>
        <w:jc w:val="both"/>
        <w:ind w:firstLine="1952"/>
        <w:spacing w:after="0" w:line="253" w:lineRule="auto"/>
        <w:tabs>
          <w:tab w:leader="none" w:pos="2456"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175"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12.2 </w:t>
      </w:r>
      <w:r>
        <w:rPr>
          <w:rFonts w:ascii="Times New Roman" w:cs="Times New Roman" w:eastAsia="Times New Roman" w:hAnsi="Times New Roman"/>
          <w:sz w:val="20"/>
          <w:szCs w:val="20"/>
          <w:b w:val="1"/>
          <w:bCs w:val="1"/>
          <w:u w:val="single" w:color="auto"/>
          <w:color w:val="auto"/>
        </w:rPr>
        <w:t>Stop-Transfer Instructions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agrees that, to ensure compliance with the restrictions imposed by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Company may issue appropriate “stop-transfer” instructions to its transfer agent, if any, and if the Company transfers its own securities, it may make appropriate notations to the same effect in its own records.</w:t>
      </w:r>
    </w:p>
    <w:p>
      <w:pPr>
        <w:spacing w:after="0" w:line="15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12.3 </w:t>
      </w:r>
      <w:r>
        <w:rPr>
          <w:rFonts w:ascii="Times New Roman" w:cs="Times New Roman" w:eastAsia="Times New Roman" w:hAnsi="Times New Roman"/>
          <w:sz w:val="20"/>
          <w:szCs w:val="20"/>
          <w:b w:val="1"/>
          <w:bCs w:val="1"/>
          <w:u w:val="single" w:color="auto"/>
          <w:color w:val="auto"/>
        </w:rPr>
        <w:t>Refusal to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will not be required (i) to transfer on its books any Shares that have been sold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transferred in violation of any of the provisions of this Agreement or (ii) to treat as owner of such Shares, or to accord the right to vote or pay dividends to any purchaser or other transferee to whom such Shares have been so transferred.</w:t>
      </w:r>
    </w:p>
    <w:p>
      <w:pPr>
        <w:sectPr>
          <w:pgSz w:w="11900" w:h="16838" w:orient="portrait"/>
          <w:cols w:equalWidth="0" w:num="1">
            <w:col w:w="11240"/>
          </w:cols>
          <w:pgMar w:left="320" w:top="1409" w:right="339" w:bottom="1440" w:gutter="0" w:footer="0" w:header="0"/>
        </w:sectPr>
      </w:pPr>
    </w:p>
    <w:bookmarkStart w:id="332" w:name="page333"/>
    <w:bookmarkEnd w:id="332"/>
    <w:p>
      <w:pPr>
        <w:jc w:val="both"/>
        <w:ind w:firstLine="656"/>
        <w:spacing w:after="0" w:line="260" w:lineRule="auto"/>
        <w:tabs>
          <w:tab w:leader="none" w:pos="1132"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CERTAIN TAX CONSEQUENCES. </w:t>
      </w:r>
      <w:r>
        <w:rPr>
          <w:rFonts w:ascii="Times New Roman" w:cs="Times New Roman" w:eastAsia="Times New Roman" w:hAnsi="Times New Roman"/>
          <w:sz w:val="20"/>
          <w:szCs w:val="20"/>
          <w:color w:val="auto"/>
        </w:rPr>
        <w:t>Set forth below is a brief summary as of the Effective Date of the Plan of some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federal tax consequences of exercise of the Option and disposition of the Shares. THIS SUMMARY IS NECESSARILY INCOMPLETE, AND THE TAX LAWS AND REGULATIONS ARE SUBJECT TO CHANGE. OPTIONEE SHOULD CONSULT A TAX ADVISER BEFORE EXERCISING THE OPTION OR DISPOSING OF THE SHARES.</w:t>
      </w:r>
    </w:p>
    <w:p>
      <w:pPr>
        <w:spacing w:after="0" w:line="164"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13.1 </w:t>
      </w:r>
      <w:r>
        <w:rPr>
          <w:rFonts w:ascii="Times New Roman" w:cs="Times New Roman" w:eastAsia="Times New Roman" w:hAnsi="Times New Roman"/>
          <w:sz w:val="20"/>
          <w:szCs w:val="20"/>
          <w:b w:val="1"/>
          <w:bCs w:val="1"/>
          <w:u w:val="single" w:color="auto"/>
          <w:color w:val="auto"/>
        </w:rPr>
        <w:t>Exercise of ISO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Option qualifies as an ISO, there will be no regular federal income tax liability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of the Option, although the excess, if any, of the Fair Market Value of the Shares on the date of exercise over the Exercise Price will be treated as a tax preference item for federal alternative minimum tax purposes and may subject Optionee to the alternative minimum tax in the year of exercise.</w:t>
      </w:r>
    </w:p>
    <w:p>
      <w:pPr>
        <w:spacing w:after="0" w:line="17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13.2 </w:t>
      </w:r>
      <w:r>
        <w:rPr>
          <w:rFonts w:ascii="Times New Roman" w:cs="Times New Roman" w:eastAsia="Times New Roman" w:hAnsi="Times New Roman"/>
          <w:sz w:val="20"/>
          <w:szCs w:val="20"/>
          <w:b w:val="1"/>
          <w:bCs w:val="1"/>
          <w:u w:val="single" w:color="auto"/>
          <w:color w:val="auto"/>
        </w:rPr>
        <w:t>Exercise of Nonqualified Stock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Option does not qualify as an ISO, there may be a regular federal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income tax liability upon the exercise of the Option. Optionee will be treated as having received compensation income (taxable at ordinary income tax rates) equal to the excess, if any, of the Fair Market Value of the Shares on the date of exercise over the Exercise Price. If Optionee is a current or former employee of the Company, the Company may be required to withhold from Optionee’s compensation or collect from Optionee and pay to the applicable taxing authorities an amount equal to a percentage of this compensation income at the time of exercise.</w:t>
      </w:r>
    </w:p>
    <w:p>
      <w:pPr>
        <w:spacing w:after="0" w:line="17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13.3</w:t>
      </w:r>
      <w:r>
        <w:rPr>
          <w:sz w:val="20"/>
          <w:szCs w:val="20"/>
          <w:color w:val="auto"/>
        </w:rPr>
        <w:tab/>
      </w:r>
      <w:r>
        <w:rPr>
          <w:rFonts w:ascii="Times New Roman" w:cs="Times New Roman" w:eastAsia="Times New Roman" w:hAnsi="Times New Roman"/>
          <w:sz w:val="19"/>
          <w:szCs w:val="19"/>
          <w:b w:val="1"/>
          <w:bCs w:val="1"/>
          <w:u w:val="single" w:color="auto"/>
          <w:color w:val="auto"/>
        </w:rPr>
        <w:t>Disposition of Shares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The following tax consequences may apply upon disposition of the Shares.</w:t>
      </w:r>
    </w:p>
    <w:p>
      <w:pPr>
        <w:spacing w:after="0" w:line="233" w:lineRule="exact"/>
        <w:rPr>
          <w:sz w:val="20"/>
          <w:szCs w:val="20"/>
          <w:color w:val="auto"/>
        </w:rPr>
      </w:pPr>
    </w:p>
    <w:p>
      <w:pPr>
        <w:jc w:val="both"/>
        <w:ind w:firstLine="1952"/>
        <w:spacing w:after="0" w:line="253" w:lineRule="auto"/>
        <w:tabs>
          <w:tab w:leader="none" w:pos="2399"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Incentive Stock Options</w:t>
      </w:r>
      <w:r>
        <w:rPr>
          <w:rFonts w:ascii="Times New Roman" w:cs="Times New Roman" w:eastAsia="Times New Roman" w:hAnsi="Times New Roman"/>
          <w:sz w:val="20"/>
          <w:szCs w:val="20"/>
          <w:color w:val="auto"/>
        </w:rPr>
        <w:t>.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income tax purposes. If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178" w:lineRule="exact"/>
        <w:rPr>
          <w:rFonts w:ascii="Times New Roman" w:cs="Times New Roman" w:eastAsia="Times New Roman" w:hAnsi="Times New Roman"/>
          <w:sz w:val="20"/>
          <w:szCs w:val="20"/>
          <w:b w:val="1"/>
          <w:bCs w:val="1"/>
          <w:color w:val="auto"/>
        </w:rPr>
      </w:pPr>
    </w:p>
    <w:p>
      <w:pPr>
        <w:ind w:firstLine="1952"/>
        <w:spacing w:after="0" w:line="310" w:lineRule="auto"/>
        <w:tabs>
          <w:tab w:leader="none" w:pos="2397" w:val="left"/>
        </w:tabs>
        <w:numPr>
          <w:ilvl w:val="0"/>
          <w:numId w:val="2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u w:val="single" w:color="auto"/>
          <w:color w:val="auto"/>
        </w:rPr>
        <w:t>Nonqualified Stock Options</w:t>
      </w:r>
      <w:r>
        <w:rPr>
          <w:rFonts w:ascii="Times New Roman" w:cs="Times New Roman" w:eastAsia="Times New Roman" w:hAnsi="Times New Roman"/>
          <w:sz w:val="19"/>
          <w:szCs w:val="19"/>
          <w:color w:val="auto"/>
        </w:rPr>
        <w:t>. If the Shares are held for more than twelve (12) months after the date of purchase of the Shares pursuant to the exercise of an NQSO, any gain realized on disposition of the Shares will be treated as long term capital gain.</w:t>
      </w:r>
    </w:p>
    <w:p>
      <w:pPr>
        <w:spacing w:after="0" w:line="13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GENERAL PROVISIONS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14.1 </w:t>
      </w: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dispute regarding the interpretation of this Agreement shall be submitted by Optionee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to the Committee for review. The resolution of such a dispute by the Committee shall be final and binding on the Company and Optionee.</w:t>
      </w:r>
    </w:p>
    <w:p>
      <w:pPr>
        <w:spacing w:after="0" w:line="17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14.2 </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the Grant Notice and the Exercise Agreement are each incorporated herein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This Agreement, the Grant Notice, the Plan and the Exercise Agreement constitute the entire agreement of the parties with respect to the subject matter hereof and supersede all prior undertakings and agreements with respect to such subject matter.</w:t>
      </w:r>
    </w:p>
    <w:p>
      <w:pPr>
        <w:spacing w:after="0" w:line="175" w:lineRule="exact"/>
        <w:rPr>
          <w:sz w:val="20"/>
          <w:szCs w:val="20"/>
          <w:color w:val="auto"/>
        </w:rPr>
      </w:pPr>
    </w:p>
    <w:p>
      <w:pPr>
        <w:jc w:val="both"/>
        <w:ind w:firstLine="656"/>
        <w:spacing w:after="0" w:line="256" w:lineRule="auto"/>
        <w:tabs>
          <w:tab w:leader="none" w:pos="1126" w:val="left"/>
        </w:tabs>
        <w:numPr>
          <w:ilvl w:val="1"/>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Any and all notices required or permitted to be given to a party pursuant to the provisions of this Agreement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in writing and will be effective and deemed to provide such party sufficient notice under this Agreement on the earliest of the following:</w:t>
      </w:r>
    </w:p>
    <w:p>
      <w:pPr>
        <w:spacing w:after="0" w:line="1" w:lineRule="exact"/>
        <w:rPr>
          <w:rFonts w:ascii="Times New Roman" w:cs="Times New Roman" w:eastAsia="Times New Roman" w:hAnsi="Times New Roman"/>
          <w:sz w:val="20"/>
          <w:szCs w:val="20"/>
          <w:b w:val="1"/>
          <w:bCs w:val="1"/>
          <w:color w:val="auto"/>
        </w:rPr>
      </w:pPr>
    </w:p>
    <w:p>
      <w:pPr>
        <w:ind w:left="240" w:hanging="232"/>
        <w:spacing w:after="0"/>
        <w:tabs>
          <w:tab w:leader="none" w:pos="24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personal delivery,</w:t>
      </w:r>
    </w:p>
    <w:p>
      <w:pPr>
        <w:sectPr>
          <w:pgSz w:w="11900" w:h="16838" w:orient="portrait"/>
          <w:cols w:equalWidth="0" w:num="1">
            <w:col w:w="11240"/>
          </w:cols>
          <w:pgMar w:left="320" w:top="1409" w:right="339" w:bottom="1440" w:gutter="0" w:footer="0" w:header="0"/>
        </w:sectPr>
      </w:pPr>
    </w:p>
    <w:bookmarkStart w:id="333" w:name="page334"/>
    <w:bookmarkEnd w:id="333"/>
    <w:p>
      <w:pPr>
        <w:jc w:val="both"/>
        <w:spacing w:after="0" w:line="250" w:lineRule="auto"/>
        <w:rPr>
          <w:sz w:val="20"/>
          <w:szCs w:val="20"/>
          <w:color w:val="auto"/>
        </w:rPr>
      </w:pPr>
      <w:r>
        <w:rPr>
          <w:rFonts w:ascii="Times New Roman" w:cs="Times New Roman" w:eastAsia="Times New Roman" w:hAnsi="Times New Roman"/>
          <w:sz w:val="20"/>
          <w:szCs w:val="20"/>
          <w:color w:val="auto"/>
        </w:rPr>
        <w:t>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96" w:lineRule="exact"/>
        <w:rPr>
          <w:sz w:val="20"/>
          <w:szCs w:val="20"/>
          <w:color w:val="auto"/>
        </w:rPr>
      </w:pPr>
    </w:p>
    <w:p>
      <w:pPr>
        <w:jc w:val="both"/>
        <w:ind w:firstLine="656"/>
        <w:spacing w:after="0" w:line="255" w:lineRule="auto"/>
        <w:tabs>
          <w:tab w:leader="none" w:pos="1186"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AND ASSIGNS. </w:t>
      </w:r>
      <w:r>
        <w:rPr>
          <w:rFonts w:ascii="Times New Roman" w:cs="Times New Roman" w:eastAsia="Times New Roman" w:hAnsi="Times New Roman"/>
          <w:sz w:val="20"/>
          <w:szCs w:val="20"/>
          <w:color w:val="auto"/>
        </w:rPr>
        <w:t>The Company may assign any of its rights under this Agreement including its rights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Shares under the 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83"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111"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Agreement shall be governed by and construed in accordance with the internal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California as such laws are applied to agreements between California residents entered into and to be performed entirely within California. If any provision of this Agreement is determined by a court of law to be illegal or unenforceable, then such provision will be enforced to the maximum extent possible and the other provisions will remain fully effective and enforceable.</w:t>
      </w:r>
    </w:p>
    <w:p>
      <w:pPr>
        <w:spacing w:after="0" w:line="164"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156"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FURTHER ASSURANCES. </w:t>
      </w:r>
      <w:r>
        <w:rPr>
          <w:rFonts w:ascii="Times New Roman" w:cs="Times New Roman" w:eastAsia="Times New Roman" w:hAnsi="Times New Roman"/>
          <w:sz w:val="20"/>
          <w:szCs w:val="20"/>
          <w:color w:val="auto"/>
        </w:rPr>
        <w:t>The parties agree to execute such further documents and instruments and to take such further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actions as may be reasonably necessary to carry out the purposes and intent of this Agreement.</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70" w:lineRule="auto"/>
        <w:tabs>
          <w:tab w:leader="none" w:pos="1128"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TITLES AND HEADINGS. </w:t>
      </w:r>
      <w:r>
        <w:rPr>
          <w:rFonts w:ascii="Times New Roman" w:cs="Times New Roman" w:eastAsia="Times New Roman" w:hAnsi="Times New Roman"/>
          <w:sz w:val="20"/>
          <w:szCs w:val="20"/>
          <w:color w:val="auto"/>
        </w:rPr>
        <w:t>The titles, captions and headings of this Agreement are included for ease of reference only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disregarded in interpreting or construing this Agreement. Unless otherwise specifically stated, all references herein to “sections” and “exhibits” will mean “sections” and “exhibits” to this Agreement.</w:t>
      </w:r>
    </w:p>
    <w:p>
      <w:pPr>
        <w:spacing w:after="0" w:line="155"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147"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 Agreement may be executed in any number of counterparts, each of which when so executed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will be deemed an original, and all of which together shall constitute one and the same agreement.</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126"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If any provision of this Agreement is determined by any court or arbitrator of competent jurisdiction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w:t>
      </w:r>
    </w:p>
    <w:p>
      <w:pPr>
        <w:sectPr>
          <w:pgSz w:w="11900" w:h="16838" w:orient="portrait"/>
          <w:cols w:equalWidth="0" w:num="1">
            <w:col w:w="11240"/>
          </w:cols>
          <w:pgMar w:left="320" w:top="1413" w:right="339" w:bottom="1440" w:gutter="0" w:footer="0" w:header="0"/>
        </w:sectPr>
      </w:pPr>
    </w:p>
    <w:bookmarkStart w:id="334" w:name="page335"/>
    <w:bookmarkEnd w:id="334"/>
    <w:p>
      <w:pPr>
        <w:spacing w:after="0" w:line="283" w:lineRule="auto"/>
        <w:rPr>
          <w:sz w:val="20"/>
          <w:szCs w:val="20"/>
          <w:color w:val="auto"/>
        </w:rPr>
      </w:pPr>
      <w:r>
        <w:rPr>
          <w:rFonts w:ascii="Times New Roman" w:cs="Times New Roman" w:eastAsia="Times New Roman" w:hAnsi="Times New Roman"/>
          <w:sz w:val="20"/>
          <w:szCs w:val="20"/>
          <w:color w:val="auto"/>
        </w:rPr>
        <w:t>impaired, which determination as made by the presiding court or arbitrator of competent jurisdiction shall be binding, then both parties agree to substitute such provision(s) through good faith negotiations.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 *</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Attachment: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Form of Stock Option Exercise Notice and Agreement</w:t>
      </w:r>
    </w:p>
    <w:p>
      <w:pPr>
        <w:sectPr>
          <w:pgSz w:w="11900" w:h="16838" w:orient="portrait"/>
          <w:cols w:equalWidth="0" w:num="1">
            <w:col w:w="11220"/>
          </w:cols>
          <w:pgMar w:left="320" w:top="1413" w:right="359" w:bottom="1440" w:gutter="0" w:footer="0" w:header="0"/>
        </w:sectPr>
      </w:pPr>
    </w:p>
    <w:bookmarkStart w:id="335" w:name="page336"/>
    <w:bookmarkEnd w:id="335"/>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STOCK OPTION EXERCISE NOTICE AND AGREEMENT</w:t>
      </w:r>
    </w:p>
    <w:p>
      <w:pPr>
        <w:sectPr>
          <w:pgSz w:w="11900" w:h="16838" w:orient="portrait"/>
          <w:cols w:equalWidth="0" w:num="1">
            <w:col w:w="9019"/>
          </w:cols>
          <w:pgMar w:left="1440" w:top="1440" w:right="1440"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STOCK OPTION EXERCISE NOTICE AND AGREEMENT</w:t>
      </w:r>
    </w:p>
    <w:p>
      <w:pPr>
        <w:spacing w:after="0" w:line="12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10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u w:val="single" w:color="auto"/>
          <w:color w:val="auto"/>
        </w:rPr>
        <w:t>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sign this Notice on Page 3 before submitting it to Navan, Inc. (the “Company”)</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 xml:space="preserve">OPTIONEE INFORMATION: </w:t>
      </w:r>
      <w:r>
        <w:rPr>
          <w:rFonts w:ascii="Times New Roman" w:cs="Times New Roman" w:eastAsia="Times New Roman" w:hAnsi="Times New Roman"/>
          <w:sz w:val="19"/>
          <w:szCs w:val="19"/>
          <w:i w:val="1"/>
          <w:iCs w:val="1"/>
          <w:color w:val="auto"/>
        </w:rPr>
        <w:t>Please provide the following information about yourself (“</w:t>
      </w:r>
      <w:r>
        <w:rPr>
          <w:rFonts w:ascii="Times New Roman" w:cs="Times New Roman" w:eastAsia="Times New Roman" w:hAnsi="Times New Roman"/>
          <w:sz w:val="19"/>
          <w:szCs w:val="19"/>
          <w:b w:val="1"/>
          <w:bCs w:val="1"/>
          <w:i w:val="1"/>
          <w:iCs w:val="1"/>
          <w:color w:val="auto"/>
        </w:rPr>
        <w:t>Optionee</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409" w:right="339" w:bottom="1440" w:gutter="0" w:footer="0" w:header="0"/>
        </w:sect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Name:____________________________</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Social Security Number: ___________________</w:t>
      </w:r>
    </w:p>
    <w:p>
      <w:pPr>
        <w:spacing w:after="0" w:line="200" w:lineRule="exact"/>
        <w:rPr>
          <w:sz w:val="20"/>
          <w:szCs w:val="20"/>
          <w:color w:val="auto"/>
        </w:rPr>
      </w:pPr>
    </w:p>
    <w:p>
      <w:pPr>
        <w:sectPr>
          <w:pgSz w:w="11900" w:h="16838" w:orient="portrait"/>
          <w:cols w:equalWidth="0" w:num="2">
            <w:col w:w="3960" w:space="200"/>
            <w:col w:w="7080"/>
          </w:cols>
          <w:pgMar w:left="320" w:top="1409"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Address:__________________________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Employee Number: _______________________</w:t>
      </w:r>
    </w:p>
    <w:p>
      <w:pPr>
        <w:spacing w:after="0" w:line="200" w:lineRule="exact"/>
        <w:rPr>
          <w:sz w:val="20"/>
          <w:szCs w:val="20"/>
          <w:color w:val="auto"/>
        </w:rPr>
      </w:pPr>
    </w:p>
    <w:p>
      <w:pPr>
        <w:sectPr>
          <w:pgSz w:w="11900" w:h="16838" w:orient="portrait"/>
          <w:cols w:equalWidth="0" w:num="2">
            <w:col w:w="3940" w:space="180"/>
            <w:col w:w="7120"/>
          </w:cols>
          <w:pgMar w:left="320" w:top="1409" w:right="339" w:bottom="1440" w:gutter="0" w:footer="0" w:header="0"/>
          <w:type w:val="continuous"/>
        </w:sectPr>
      </w:pPr>
    </w:p>
    <w:p>
      <w:pPr>
        <w:spacing w:after="0" w:line="27" w:lineRule="exact"/>
        <w:rPr>
          <w:sz w:val="20"/>
          <w:szCs w:val="20"/>
          <w:color w:val="auto"/>
        </w:rPr>
      </w:pPr>
    </w:p>
    <w:p>
      <w:pPr>
        <w:ind w:left="860"/>
        <w:spacing w:after="0"/>
        <w:tabs>
          <w:tab w:leader="none" w:pos="3700" w:val="left"/>
        </w:tabs>
        <w:rPr>
          <w:sz w:val="20"/>
          <w:szCs w:val="20"/>
          <w:color w:val="auto"/>
        </w:rPr>
      </w:pPr>
      <w:r>
        <w:rPr>
          <w:rFonts w:ascii="Times New Roman" w:cs="Times New Roman" w:eastAsia="Times New Roman" w:hAnsi="Times New Roman"/>
          <w:sz w:val="20"/>
          <w:szCs w:val="20"/>
          <w:color w:val="auto"/>
        </w:rPr>
        <w:t>___________________________</w:t>
      </w:r>
      <w:r>
        <w:rPr>
          <w:sz w:val="20"/>
          <w:szCs w:val="20"/>
          <w:color w:val="auto"/>
        </w:rPr>
        <w:tab/>
      </w:r>
      <w:r>
        <w:rPr>
          <w:rFonts w:ascii="Times New Roman" w:cs="Times New Roman" w:eastAsia="Times New Roman" w:hAnsi="Times New Roman"/>
          <w:sz w:val="19"/>
          <w:szCs w:val="19"/>
          <w:color w:val="auto"/>
        </w:rPr>
        <w:t>Email Address: __________________________</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OPTION INFORMATION: </w:t>
      </w:r>
      <w:r>
        <w:rPr>
          <w:rFonts w:ascii="Times New Roman" w:cs="Times New Roman" w:eastAsia="Times New Roman" w:hAnsi="Times New Roman"/>
          <w:sz w:val="20"/>
          <w:szCs w:val="20"/>
          <w:i w:val="1"/>
          <w:iCs w:val="1"/>
          <w:color w:val="auto"/>
        </w:rPr>
        <w:t>Please provide this information on the option being exercised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Grant No.</w:t>
      </w:r>
    </w:p>
    <w:p>
      <w:pPr>
        <w:spacing w:after="0" w:line="121"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20"/>
          <w:szCs w:val="20"/>
          <w:color w:val="auto"/>
        </w:rPr>
        <w:t>Date of Grant:</w:t>
      </w:r>
      <w:r>
        <w:rPr>
          <w:sz w:val="20"/>
          <w:szCs w:val="20"/>
          <w:color w:val="auto"/>
        </w:rPr>
        <w:tab/>
      </w:r>
      <w:r>
        <w:rPr>
          <w:rFonts w:ascii="Times New Roman" w:cs="Times New Roman" w:eastAsia="Times New Roman" w:hAnsi="Times New Roman"/>
          <w:sz w:val="19"/>
          <w:szCs w:val="19"/>
          <w:color w:val="auto"/>
        </w:rPr>
        <w:t>Type of Stock Option: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Option Price per Share: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Total number of shares of Common Stock of the Company subject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of Common Stock of the Company for which the Option is now being exercised ________________. (These shares 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referred to below as the “</w:t>
      </w:r>
      <w:r>
        <w:rPr>
          <w:rFonts w:ascii="Times New Roman" w:cs="Times New Roman" w:eastAsia="Times New Roman" w:hAnsi="Times New Roman"/>
          <w:sz w:val="20"/>
          <w:szCs w:val="20"/>
          <w:b w:val="1"/>
          <w:bCs w:val="1"/>
          <w:i w:val="1"/>
          <w:iCs w:val="1"/>
          <w:color w:val="auto"/>
        </w:rPr>
        <w:t>Purchased Shares</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Exercise Price Being Paid for the Purchased Shares: $___________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payment [</w:t>
      </w:r>
      <w:r>
        <w:rPr>
          <w:rFonts w:ascii="Times New Roman" w:cs="Times New Roman" w:eastAsia="Times New Roman" w:hAnsi="Times New Roman"/>
          <w:sz w:val="20"/>
          <w:szCs w:val="20"/>
          <w:b w:val="1"/>
          <w:bCs w:val="1"/>
          <w:i w:val="1"/>
          <w:iCs w:val="1"/>
          <w:color w:val="auto"/>
        </w:rPr>
        <w:t>check all that apply*</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380" w:hanging="372"/>
        <w:spacing w:after="0"/>
        <w:tabs>
          <w:tab w:leader="none" w:pos="380" w:val="left"/>
        </w:tabs>
        <w:numPr>
          <w:ilvl w:val="0"/>
          <w:numId w:val="23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Check for $________________, payable to “</w:t>
      </w:r>
      <w:r>
        <w:rPr>
          <w:rFonts w:ascii="Times New Roman" w:cs="Times New Roman" w:eastAsia="Times New Roman" w:hAnsi="Times New Roman"/>
          <w:sz w:val="20"/>
          <w:szCs w:val="20"/>
          <w:b w:val="1"/>
          <w:bCs w:val="1"/>
          <w:i w:val="1"/>
          <w:iCs w:val="1"/>
          <w:color w:val="auto"/>
        </w:rPr>
        <w:t>Navan, Inc.</w:t>
      </w:r>
      <w:r>
        <w:rPr>
          <w:rFonts w:ascii="Times New Roman" w:cs="Times New Roman" w:eastAsia="Times New Roman" w:hAnsi="Times New Roman"/>
          <w:sz w:val="20"/>
          <w:szCs w:val="20"/>
          <w:color w:val="auto"/>
        </w:rPr>
        <w:t>”</w:t>
      </w:r>
    </w:p>
    <w:p>
      <w:pPr>
        <w:spacing w:after="0" w:line="125" w:lineRule="exact"/>
        <w:rPr>
          <w:rFonts w:ascii="MS PGothic" w:cs="MS PGothic" w:eastAsia="MS PGothic" w:hAnsi="MS PGothic"/>
          <w:sz w:val="20"/>
          <w:szCs w:val="20"/>
          <w:color w:val="auto"/>
        </w:rPr>
      </w:pPr>
    </w:p>
    <w:p>
      <w:pPr>
        <w:ind w:left="660" w:hanging="652"/>
        <w:spacing w:after="0" w:line="269" w:lineRule="auto"/>
        <w:tabs>
          <w:tab w:leader="none" w:pos="403" w:val="left"/>
        </w:tabs>
        <w:numPr>
          <w:ilvl w:val="0"/>
          <w:numId w:val="23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Certificate(s) for ________________ shares of Common Stock of the Company. These shares will be valued as of the date this notice is received by the Company. [</w:t>
      </w:r>
      <w:r>
        <w:rPr>
          <w:rFonts w:ascii="Times New Roman" w:cs="Times New Roman" w:eastAsia="Times New Roman" w:hAnsi="Times New Roman"/>
          <w:sz w:val="20"/>
          <w:szCs w:val="20"/>
          <w:b w:val="1"/>
          <w:bCs w:val="1"/>
          <w:i w:val="1"/>
          <w:iCs w:val="1"/>
          <w:color w:val="auto"/>
        </w:rPr>
        <w:t>Requires Company consent</w:t>
      </w:r>
      <w:r>
        <w:rPr>
          <w:rFonts w:ascii="Times New Roman" w:cs="Times New Roman" w:eastAsia="Times New Roman" w:hAnsi="Times New Roman"/>
          <w:sz w:val="20"/>
          <w:szCs w:val="20"/>
          <w:color w:val="auto"/>
        </w:rPr>
        <w:t>.]</w:t>
      </w:r>
    </w:p>
    <w:p>
      <w:pPr>
        <w:spacing w:after="0" w:line="64" w:lineRule="exact"/>
        <w:rPr>
          <w:rFonts w:ascii="MS PGothic" w:cs="MS PGothic" w:eastAsia="MS PGothic" w:hAnsi="MS PGothic"/>
          <w:sz w:val="20"/>
          <w:szCs w:val="20"/>
          <w:color w:val="auto"/>
        </w:rPr>
      </w:pPr>
    </w:p>
    <w:p>
      <w:pPr>
        <w:ind w:left="380" w:hanging="372"/>
        <w:spacing w:after="0"/>
        <w:tabs>
          <w:tab w:leader="none" w:pos="380" w:val="left"/>
        </w:tabs>
        <w:numPr>
          <w:ilvl w:val="0"/>
          <w:numId w:val="23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ACH</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you are a non-U.S. Optionee, please see the Company for permitted forms of payment.</w:t>
      </w:r>
    </w:p>
    <w:p>
      <w:pPr>
        <w:spacing w:after="0" w:line="32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AGREEMENTS, REPRESENTATIONS AND ACKNOWLEDGMENTS OF OPTIONEE: </w:t>
      </w:r>
      <w:r>
        <w:rPr>
          <w:rFonts w:ascii="Times New Roman" w:cs="Times New Roman" w:eastAsia="Times New Roman" w:hAnsi="Times New Roman"/>
          <w:sz w:val="20"/>
          <w:szCs w:val="20"/>
          <w:color w:val="auto"/>
        </w:rPr>
        <w:t>By signing this Stock Option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and Agreement, Optionee hereby agrees with, and represents to, the Company as follows:</w:t>
      </w:r>
    </w:p>
    <w:p>
      <w:pPr>
        <w:spacing w:after="0" w:line="30" w:lineRule="exact"/>
        <w:rPr>
          <w:sz w:val="20"/>
          <w:szCs w:val="20"/>
          <w:color w:val="auto"/>
        </w:rPr>
      </w:pPr>
    </w:p>
    <w:p>
      <w:pPr>
        <w:jc w:val="both"/>
        <w:ind w:left="340" w:hanging="332"/>
        <w:spacing w:after="0" w:line="270" w:lineRule="auto"/>
        <w:tabs>
          <w:tab w:leader="none" w:pos="423" w:val="left"/>
        </w:tabs>
        <w:numPr>
          <w:ilvl w:val="0"/>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Terms Governing. </w:t>
      </w:r>
      <w:r>
        <w:rPr>
          <w:rFonts w:ascii="Times New Roman" w:cs="Times New Roman" w:eastAsia="Times New Roman" w:hAnsi="Times New Roman"/>
          <w:sz w:val="20"/>
          <w:szCs w:val="20"/>
          <w:color w:val="auto"/>
        </w:rPr>
        <w:t>I acknowledge and agree with the Company that I am acquiring the Purchased Shares by exercise of this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all other terms and conditions of the Notice of Stock Option Grant and the Stock Option Agreement that govern the Option, including without limitation the terms of the Company’s 2015 Equity Incentive Plan, as it may be amended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09" w:right="339" w:bottom="1440" w:gutter="0" w:footer="0" w:header="0"/>
          <w:type w:val="continuous"/>
        </w:sectPr>
      </w:pPr>
    </w:p>
    <w:bookmarkStart w:id="337" w:name="page338"/>
    <w:bookmarkEnd w:id="337"/>
    <w:p>
      <w:pPr>
        <w:jc w:val="both"/>
        <w:ind w:left="332" w:hanging="332"/>
        <w:spacing w:after="0" w:line="254" w:lineRule="auto"/>
        <w:tabs>
          <w:tab w:leader="none" w:pos="483" w:val="left"/>
        </w:tabs>
        <w:numPr>
          <w:ilvl w:val="0"/>
          <w:numId w:val="2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Investment Intent; Securities Law Restrictions. </w:t>
      </w:r>
      <w:r>
        <w:rPr>
          <w:rFonts w:ascii="Times New Roman" w:cs="Times New Roman" w:eastAsia="Times New Roman" w:hAnsi="Times New Roman"/>
          <w:sz w:val="20"/>
          <w:szCs w:val="20"/>
          <w:color w:val="auto"/>
        </w:rPr>
        <w:t>I represent and warrant to the Company that I am acquiring and will hold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Purchased Shares for investment for my account only, and not with a view to, or for resale in connection with, any “distribution” of the Purchased Shares within the meaning of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64" w:lineRule="exact"/>
        <w:rPr>
          <w:rFonts w:ascii="Times New Roman" w:cs="Times New Roman" w:eastAsia="Times New Roman" w:hAnsi="Times New Roman"/>
          <w:sz w:val="20"/>
          <w:szCs w:val="20"/>
          <w:b w:val="1"/>
          <w:bCs w:val="1"/>
          <w:color w:val="auto"/>
        </w:rPr>
      </w:pPr>
    </w:p>
    <w:p>
      <w:pPr>
        <w:jc w:val="both"/>
        <w:ind w:left="332" w:hanging="332"/>
        <w:spacing w:after="0" w:line="266" w:lineRule="auto"/>
        <w:tabs>
          <w:tab w:leader="none" w:pos="388" w:val="left"/>
        </w:tabs>
        <w:numPr>
          <w:ilvl w:val="0"/>
          <w:numId w:val="2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Restrictions on Transfer: Rule 144. </w:t>
      </w:r>
      <w:r>
        <w:rPr>
          <w:rFonts w:ascii="Times New Roman" w:cs="Times New Roman" w:eastAsia="Times New Roman" w:hAnsi="Times New Roman"/>
          <w:sz w:val="19"/>
          <w:szCs w:val="19"/>
          <w:color w:val="auto"/>
        </w:rPr>
        <w:t>I will not sell, transfer or otherwise dispose of the Purchased Shares in violation of the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 the 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w:t>
      </w:r>
    </w:p>
    <w:p>
      <w:pPr>
        <w:spacing w:after="0" w:line="3" w:lineRule="exact"/>
        <w:rPr>
          <w:rFonts w:ascii="Times New Roman" w:cs="Times New Roman" w:eastAsia="Times New Roman" w:hAnsi="Times New Roman"/>
          <w:sz w:val="19"/>
          <w:szCs w:val="19"/>
          <w:b w:val="1"/>
          <w:bCs w:val="1"/>
          <w:color w:val="auto"/>
        </w:rPr>
      </w:pPr>
    </w:p>
    <w:p>
      <w:pPr>
        <w:ind w:left="612" w:hanging="288"/>
        <w:spacing w:after="0"/>
        <w:tabs>
          <w:tab w:leader="none" w:pos="612"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occurs through an unsolicited “broker’s transaction”; and (d) the amount of securities being sold during any three-month</w:t>
      </w:r>
    </w:p>
    <w:p>
      <w:pPr>
        <w:spacing w:after="0" w:line="6" w:lineRule="exact"/>
        <w:rPr>
          <w:sz w:val="20"/>
          <w:szCs w:val="20"/>
          <w:color w:val="auto"/>
        </w:rPr>
      </w:pPr>
    </w:p>
    <w:p>
      <w:pPr>
        <w:ind w:left="332"/>
        <w:spacing w:after="0" w:line="253" w:lineRule="auto"/>
        <w:rPr>
          <w:sz w:val="20"/>
          <w:szCs w:val="20"/>
          <w:color w:val="auto"/>
        </w:rPr>
      </w:pPr>
      <w:r>
        <w:rPr>
          <w:rFonts w:ascii="Times New Roman" w:cs="Times New Roman" w:eastAsia="Times New Roman" w:hAnsi="Times New Roman"/>
          <w:sz w:val="20"/>
          <w:szCs w:val="20"/>
          <w:color w:val="auto"/>
        </w:rPr>
        <w:t>period does not exceed specified limitations. I understand that the conditions for resale set forth in Rule 144 have not been satisfied and that the Company has no plans to satisfy these conditions in the foreseeable future.</w:t>
      </w:r>
    </w:p>
    <w:p>
      <w:pPr>
        <w:spacing w:after="0" w:line="76" w:lineRule="exact"/>
        <w:rPr>
          <w:sz w:val="20"/>
          <w:szCs w:val="20"/>
          <w:color w:val="auto"/>
        </w:rPr>
      </w:pPr>
    </w:p>
    <w:p>
      <w:pPr>
        <w:jc w:val="both"/>
        <w:ind w:left="332" w:hanging="332"/>
        <w:spacing w:after="0" w:line="254" w:lineRule="auto"/>
        <w:tabs>
          <w:tab w:leader="none" w:pos="363" w:val="left"/>
        </w:tabs>
        <w:numPr>
          <w:ilvl w:val="0"/>
          <w:numId w:val="2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Access to Information; Understanding of Risk in Investment. </w:t>
      </w:r>
      <w:r>
        <w:rPr>
          <w:rFonts w:ascii="Times New Roman" w:cs="Times New Roman" w:eastAsia="Times New Roman" w:hAnsi="Times New Roman"/>
          <w:sz w:val="20"/>
          <w:szCs w:val="20"/>
          <w:color w:val="auto"/>
        </w:rPr>
        <w:t>I acknowledge that I have received and had access to such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I 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65" w:lineRule="exact"/>
        <w:rPr>
          <w:rFonts w:ascii="Times New Roman" w:cs="Times New Roman" w:eastAsia="Times New Roman" w:hAnsi="Times New Roman"/>
          <w:sz w:val="20"/>
          <w:szCs w:val="20"/>
          <w:b w:val="1"/>
          <w:bCs w:val="1"/>
          <w:color w:val="auto"/>
        </w:rPr>
      </w:pPr>
    </w:p>
    <w:p>
      <w:pPr>
        <w:jc w:val="both"/>
        <w:ind w:left="332" w:hanging="332"/>
        <w:spacing w:after="0" w:line="270" w:lineRule="auto"/>
        <w:tabs>
          <w:tab w:leader="none" w:pos="402" w:val="left"/>
        </w:tabs>
        <w:numPr>
          <w:ilvl w:val="0"/>
          <w:numId w:val="2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of First Refusal; Market Stand-off. </w:t>
      </w:r>
      <w:r>
        <w:rPr>
          <w:rFonts w:ascii="Times New Roman" w:cs="Times New Roman" w:eastAsia="Times New Roman" w:hAnsi="Times New Roman"/>
          <w:sz w:val="20"/>
          <w:szCs w:val="20"/>
          <w:color w:val="auto"/>
        </w:rPr>
        <w:t>I acknowledge that the Purchased Shares remain subject to the Company’s Right of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Refusal and the market stand-off covenants (sometimes referred to as the “lock-up”), all in accordance with the applicable Notice of Stock Option Grant and the Stock Option Agreement that govern the Option.</w:t>
      </w:r>
    </w:p>
    <w:p>
      <w:pPr>
        <w:spacing w:after="0" w:line="47" w:lineRule="exact"/>
        <w:rPr>
          <w:rFonts w:ascii="Times New Roman" w:cs="Times New Roman" w:eastAsia="Times New Roman" w:hAnsi="Times New Roman"/>
          <w:sz w:val="20"/>
          <w:szCs w:val="20"/>
          <w:b w:val="1"/>
          <w:bCs w:val="1"/>
          <w:color w:val="auto"/>
        </w:rPr>
      </w:pPr>
    </w:p>
    <w:p>
      <w:pPr>
        <w:jc w:val="both"/>
        <w:ind w:left="332" w:hanging="332"/>
        <w:spacing w:after="0" w:line="258" w:lineRule="auto"/>
        <w:tabs>
          <w:tab w:leader="none" w:pos="489" w:val="left"/>
        </w:tabs>
        <w:numPr>
          <w:ilvl w:val="0"/>
          <w:numId w:val="2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Form of Ownership. </w:t>
      </w:r>
      <w:r>
        <w:rPr>
          <w:rFonts w:ascii="Times New Roman" w:cs="Times New Roman" w:eastAsia="Times New Roman" w:hAnsi="Times New Roman"/>
          <w:sz w:val="20"/>
          <w:szCs w:val="20"/>
          <w:color w:val="auto"/>
        </w:rPr>
        <w:t>I acknowledge that the Company has encouraged me to consult my own adviser to determine the form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ownership of the 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59" w:lineRule="exact"/>
        <w:rPr>
          <w:rFonts w:ascii="Times New Roman" w:cs="Times New Roman" w:eastAsia="Times New Roman" w:hAnsi="Times New Roman"/>
          <w:sz w:val="20"/>
          <w:szCs w:val="20"/>
          <w:b w:val="1"/>
          <w:bCs w:val="1"/>
          <w:color w:val="auto"/>
        </w:rPr>
      </w:pPr>
    </w:p>
    <w:p>
      <w:pPr>
        <w:ind w:left="332" w:hanging="332"/>
        <w:spacing w:after="0" w:line="287" w:lineRule="auto"/>
        <w:tabs>
          <w:tab w:leader="none" w:pos="393" w:val="left"/>
        </w:tabs>
        <w:numPr>
          <w:ilvl w:val="0"/>
          <w:numId w:val="2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Investigation of Tax Consequences. </w:t>
      </w:r>
      <w:r>
        <w:rPr>
          <w:rFonts w:ascii="Times New Roman" w:cs="Times New Roman" w:eastAsia="Times New Roman" w:hAnsi="Times New Roman"/>
          <w:sz w:val="20"/>
          <w:szCs w:val="20"/>
          <w:color w:val="auto"/>
        </w:rPr>
        <w:t>I acknowledge that the Company has encouraged me to consult my own adviser to determine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 consequences of acquiring the Purchased Shares at this time.</w:t>
      </w:r>
    </w:p>
    <w:p>
      <w:pPr>
        <w:spacing w:after="0" w:line="30" w:lineRule="exact"/>
        <w:rPr>
          <w:rFonts w:ascii="Times New Roman" w:cs="Times New Roman" w:eastAsia="Times New Roman" w:hAnsi="Times New Roman"/>
          <w:sz w:val="20"/>
          <w:szCs w:val="20"/>
          <w:b w:val="1"/>
          <w:bCs w:val="1"/>
          <w:color w:val="auto"/>
        </w:rPr>
      </w:pPr>
    </w:p>
    <w:p>
      <w:pPr>
        <w:jc w:val="both"/>
        <w:ind w:left="332" w:hanging="332"/>
        <w:spacing w:after="0" w:line="291" w:lineRule="auto"/>
        <w:tabs>
          <w:tab w:leader="none" w:pos="363" w:val="left"/>
        </w:tabs>
        <w:numPr>
          <w:ilvl w:val="0"/>
          <w:numId w:val="2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Other Tax Matters. </w:t>
      </w:r>
      <w:r>
        <w:rPr>
          <w:rFonts w:ascii="Times New Roman" w:cs="Times New Roman" w:eastAsia="Times New Roman" w:hAnsi="Times New Roman"/>
          <w:sz w:val="19"/>
          <w:szCs w:val="19"/>
          <w:color w:val="auto"/>
        </w:rPr>
        <w:t>I agree that the Company does not have a duty to design or administer the Plan or its other compensation programs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 manner that minimizes my tax liabilities. I will not make any claim against the Company or its Board, officers or employees related to tax liabilities arising from my options or my other compensation. In particular, I acknowledge that my options (including the</w:t>
      </w:r>
    </w:p>
    <w:p>
      <w:pPr>
        <w:sectPr>
          <w:pgSz w:w="11900" w:h="16838" w:orient="portrait"/>
          <w:cols w:equalWidth="0" w:num="1">
            <w:col w:w="11232"/>
          </w:cols>
          <w:pgMar w:left="328" w:top="1409" w:right="339" w:bottom="1440" w:gutter="0" w:footer="0" w:header="0"/>
        </w:sectPr>
      </w:pPr>
    </w:p>
    <w:bookmarkStart w:id="338" w:name="page339"/>
    <w:bookmarkEnd w:id="338"/>
    <w:p>
      <w:pPr>
        <w:jc w:val="both"/>
        <w:ind w:left="340"/>
        <w:spacing w:after="0" w:line="253" w:lineRule="auto"/>
        <w:rPr>
          <w:sz w:val="20"/>
          <w:szCs w:val="20"/>
          <w:color w:val="auto"/>
        </w:rPr>
      </w:pPr>
      <w:r>
        <w:rPr>
          <w:rFonts w:ascii="Times New Roman" w:cs="Times New Roman" w:eastAsia="Times New Roman" w:hAnsi="Times New Roman"/>
          <w:sz w:val="20"/>
          <w:szCs w:val="20"/>
          <w:color w:val="auto"/>
        </w:rPr>
        <w:t>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80" w:lineRule="exact"/>
        <w:rPr>
          <w:sz w:val="20"/>
          <w:szCs w:val="20"/>
          <w:color w:val="auto"/>
        </w:rPr>
      </w:pPr>
    </w:p>
    <w:p>
      <w:pPr>
        <w:ind w:left="360" w:hanging="352"/>
        <w:spacing w:after="0"/>
        <w:tabs>
          <w:tab w:leader="none" w:pos="360" w:val="left"/>
        </w:tabs>
        <w:numPr>
          <w:ilvl w:val="0"/>
          <w:numId w:val="2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Spouse Consent. </w:t>
      </w:r>
      <w:r>
        <w:rPr>
          <w:rFonts w:ascii="Times New Roman" w:cs="Times New Roman" w:eastAsia="Times New Roman" w:hAnsi="Times New Roman"/>
          <w:sz w:val="20"/>
          <w:szCs w:val="20"/>
          <w:color w:val="auto"/>
        </w:rPr>
        <w:t>I agree to seek the consent of my spouse to the extent required by the Company to enforce the foregoing.</w:t>
      </w:r>
    </w:p>
    <w:p>
      <w:pPr>
        <w:spacing w:after="0" w:line="107" w:lineRule="exact"/>
        <w:rPr>
          <w:rFonts w:ascii="Times New Roman" w:cs="Times New Roman" w:eastAsia="Times New Roman" w:hAnsi="Times New Roman"/>
          <w:sz w:val="20"/>
          <w:szCs w:val="20"/>
          <w:b w:val="1"/>
          <w:bCs w:val="1"/>
          <w:color w:val="auto"/>
        </w:rPr>
      </w:pPr>
    </w:p>
    <w:p>
      <w:pPr>
        <w:jc w:val="both"/>
        <w:ind w:left="340" w:hanging="332"/>
        <w:spacing w:after="0" w:line="263" w:lineRule="auto"/>
        <w:tabs>
          <w:tab w:leader="none" w:pos="490" w:val="left"/>
        </w:tabs>
        <w:numPr>
          <w:ilvl w:val="0"/>
          <w:numId w:val="2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Tax Withholding. </w:t>
      </w:r>
      <w:r>
        <w:rPr>
          <w:rFonts w:ascii="Times New Roman" w:cs="Times New Roman" w:eastAsia="Times New Roman" w:hAnsi="Times New Roman"/>
          <w:sz w:val="20"/>
          <w:szCs w:val="20"/>
          <w:color w:val="auto"/>
        </w:rPr>
        <w:t>As a condition of exercising this Option, I agree to make adequate provision for foreign, federal, state or other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 obligations, if any, which arise upon the grant, vesting or exercise of this Option, or disposition of the Purchased Shares, whether by withholding, direct payment to the Company, or otherwise.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executes and delivers this Stock Option Exercise Notice and Agreement to agrees to be bound by its terms</w:t>
      </w:r>
    </w:p>
    <w:p>
      <w:pPr>
        <w:spacing w:after="0" w:line="266" w:lineRule="exact"/>
        <w:rPr>
          <w:sz w:val="20"/>
          <w:szCs w:val="20"/>
          <w:color w:val="auto"/>
        </w:rPr>
      </w:pPr>
    </w:p>
    <w:p>
      <w:pPr>
        <w:ind w:left="820"/>
        <w:spacing w:after="0"/>
        <w:tabs>
          <w:tab w:leader="none" w:pos="6020" w:val="left"/>
        </w:tabs>
        <w:rPr>
          <w:sz w:val="20"/>
          <w:szCs w:val="20"/>
          <w:color w:val="auto"/>
        </w:rPr>
      </w:pPr>
      <w:r>
        <w:rPr>
          <w:rFonts w:ascii="Times New Roman" w:cs="Times New Roman" w:eastAsia="Times New Roman" w:hAnsi="Times New Roman"/>
          <w:sz w:val="20"/>
          <w:szCs w:val="20"/>
          <w:b w:val="1"/>
          <w:bCs w:val="1"/>
          <w:color w:val="auto"/>
        </w:rPr>
        <w:t>SIGNATURE:</w:t>
      </w:r>
      <w:r>
        <w:rPr>
          <w:sz w:val="20"/>
          <w:szCs w:val="20"/>
          <w:color w:val="auto"/>
        </w:rPr>
        <w:tab/>
      </w: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530860</wp:posOffset>
            </wp:positionV>
            <wp:extent cx="5537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Optionee’s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Signature Page to Stock Option Exercise Notice and Agreement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NOTICE OF STOCK OPTION GRANT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Optionee named below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has been granted an option (this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shares of Common Stock, $0.0001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Navan,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2015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on the terms, and subject to the conditions, described below and in the Stock Option Agreement attached hereto as </w:t>
      </w: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 including its annexes (the “</w:t>
      </w:r>
      <w:r>
        <w:rPr>
          <w:rFonts w:ascii="Times New Roman" w:cs="Times New Roman" w:eastAsia="Times New Roman" w:hAnsi="Times New Roman"/>
          <w:sz w:val="18"/>
          <w:szCs w:val="18"/>
          <w:b w:val="1"/>
          <w:bCs w:val="1"/>
          <w:i w:val="1"/>
          <w:iCs w:val="1"/>
          <w:color w:val="auto"/>
        </w:rPr>
        <w:t>Stock Option Agreement</w:t>
      </w:r>
      <w:r>
        <w:rPr>
          <w:rFonts w:ascii="Times New Roman" w:cs="Times New Roman" w:eastAsia="Times New Roman" w:hAnsi="Times New Roman"/>
          <w:sz w:val="18"/>
          <w:szCs w:val="18"/>
          <w:color w:val="auto"/>
        </w:rPr>
        <w:t>”).</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Optionee:</w:t>
            </w:r>
          </w:p>
        </w:tc>
        <w:tc>
          <w:tcPr>
            <w:tcW w:w="7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Maximum Number of Shares Subject to this</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b w:val="1"/>
                <w:bCs w:val="1"/>
                <w:color w:val="auto"/>
              </w:rPr>
              <w:t>”):</w:t>
            </w:r>
          </w:p>
        </w:tc>
        <w:tc>
          <w:tcPr>
            <w:tcW w:w="7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58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Exercise Schedule:</w:t>
            </w:r>
          </w:p>
        </w:tc>
        <w:tc>
          <w:tcPr>
            <w:tcW w:w="7480" w:type="dxa"/>
            <w:vAlign w:val="bottom"/>
          </w:tcPr>
          <w:p>
            <w:pPr>
              <w:ind w:left="200"/>
              <w:spacing w:after="0" w:line="193" w:lineRule="exact"/>
              <w:rPr>
                <w:sz w:val="20"/>
                <w:szCs w:val="20"/>
                <w:color w:val="auto"/>
              </w:rPr>
            </w:pPr>
            <w:r>
              <w:rPr>
                <w:rFonts w:ascii="Times New Roman" w:cs="Times New Roman" w:eastAsia="Times New Roman" w:hAnsi="Times New Roman"/>
                <w:sz w:val="18"/>
                <w:szCs w:val="18"/>
                <w:color w:val="auto"/>
              </w:rPr>
              <w:t>This Option is immediately exercisable for all of the Shares, subject to the terms of the Stock Option</w:t>
            </w:r>
          </w:p>
        </w:tc>
        <w:tc>
          <w:tcPr>
            <w:tcW w:w="0" w:type="dxa"/>
            <w:vAlign w:val="bottom"/>
          </w:tcPr>
          <w:p>
            <w:pPr>
              <w:spacing w:after="0"/>
              <w:rPr>
                <w:sz w:val="1"/>
                <w:szCs w:val="1"/>
                <w:color w:val="auto"/>
              </w:rPr>
            </w:pPr>
          </w:p>
        </w:tc>
      </w:tr>
      <w:tr>
        <w:trPr>
          <w:trHeight w:val="234"/>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Agreement</w:t>
            </w:r>
          </w:p>
        </w:tc>
        <w:tc>
          <w:tcPr>
            <w:tcW w:w="0" w:type="dxa"/>
            <w:vAlign w:val="bottom"/>
          </w:tcPr>
          <w:p>
            <w:pPr>
              <w:spacing w:after="0"/>
              <w:rPr>
                <w:sz w:val="1"/>
                <w:szCs w:val="1"/>
                <w:color w:val="auto"/>
              </w:rPr>
            </w:pPr>
          </w:p>
        </w:tc>
      </w:tr>
      <w:tr>
        <w:trPr>
          <w:trHeight w:val="225"/>
        </w:trPr>
        <w:tc>
          <w:tcPr>
            <w:tcW w:w="3580" w:type="dxa"/>
            <w:vAlign w:val="bottom"/>
            <w:vMerge w:val="continue"/>
          </w:tcPr>
          <w:p>
            <w:pPr>
              <w:spacing w:after="0"/>
              <w:rPr>
                <w:sz w:val="19"/>
                <w:szCs w:val="19"/>
                <w:color w:val="auto"/>
              </w:rPr>
            </w:pP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date ten (10) years after the Date of Grant set forth above, subject to earlier expiration in the</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event of Termination as provided in Section 3 of the Stock Option Agreement.</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Status of Option:</w:t>
            </w:r>
          </w:p>
        </w:tc>
        <w:tc>
          <w:tcPr>
            <w:tcW w:w="7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General; Agreement: </w:t>
      </w:r>
      <w:r>
        <w:rPr>
          <w:rFonts w:ascii="Times New Roman" w:cs="Times New Roman" w:eastAsia="Times New Roman" w:hAnsi="Times New Roman"/>
          <w:sz w:val="18"/>
          <w:szCs w:val="18"/>
          <w:color w:val="auto"/>
        </w:rPr>
        <w:t>By Optionee’s acceptance of this Option, Optionee and the Company agree that this Option is granted under and governed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Stock Option Grant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 acceptance of this Option,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Execution and Delivery: </w:t>
      </w:r>
      <w:r>
        <w:rPr>
          <w:rFonts w:ascii="Times New Roman" w:cs="Times New Roman" w:eastAsia="Times New Roman" w:hAnsi="Times New Roman"/>
          <w:sz w:val="18"/>
          <w:szCs w:val="18"/>
          <w:color w:val="auto"/>
        </w:rPr>
        <w:t>This Grant Notice may be executed and delivered electronically whether via the Company’s intranet or the Internet site of a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via email or such other means of electronic delivery specified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Exhibit A – Stock Option Agreement</w:t>
      </w:r>
    </w:p>
    <w:p>
      <w:pPr>
        <w:sectPr>
          <w:pgSz w:w="11900" w:h="16838" w:orient="portrait"/>
          <w:cols w:equalWidth="0" w:num="1">
            <w:col w:w="11240"/>
          </w:cols>
          <w:pgMar w:left="320" w:top="1413" w:right="339" w:bottom="1440" w:gutter="0" w:footer="0" w:header="0"/>
        </w:sectPr>
      </w:pPr>
    </w:p>
    <w:bookmarkStart w:id="340" w:name="page341"/>
    <w:bookmarkEnd w:id="34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Option Agreement</w:t>
      </w:r>
    </w:p>
    <w:p>
      <w:pPr>
        <w:sectPr>
          <w:pgSz w:w="11900" w:h="16838" w:orient="portrait"/>
          <w:cols w:equalWidth="0" w:num="1">
            <w:col w:w="9019"/>
          </w:cols>
          <w:pgMar w:left="1440" w:top="1440" w:right="1440"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STOCK OPTION AGREEMENT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Stock Option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and entered into as of the date of grant (the “</w:t>
      </w:r>
      <w:r>
        <w:rPr>
          <w:rFonts w:ascii="Times New Roman" w:cs="Times New Roman" w:eastAsia="Times New Roman" w:hAnsi="Times New Roman"/>
          <w:sz w:val="20"/>
          <w:szCs w:val="20"/>
          <w:b w:val="1"/>
          <w:bCs w:val="1"/>
          <w:i w:val="1"/>
          <w:iCs w:val="1"/>
          <w:color w:val="auto"/>
        </w:rPr>
        <w:t>Date of Grant</w:t>
      </w:r>
      <w:r>
        <w:rPr>
          <w:rFonts w:ascii="Times New Roman" w:cs="Times New Roman" w:eastAsia="Times New Roman" w:hAnsi="Times New Roman"/>
          <w:sz w:val="20"/>
          <w:szCs w:val="20"/>
          <w:color w:val="auto"/>
        </w:rPr>
        <w:t>”) set forth on the Notice of Stock Option Grant attached as the facing page to this Agreement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by and between Navan,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optionee named on the Grant Notice (“</w:t>
      </w:r>
      <w:r>
        <w:rPr>
          <w:rFonts w:ascii="Times New Roman" w:cs="Times New Roman" w:eastAsia="Times New Roman" w:hAnsi="Times New Roman"/>
          <w:sz w:val="20"/>
          <w:szCs w:val="20"/>
          <w:b w:val="1"/>
          <w:bCs w:val="1"/>
          <w:i w:val="1"/>
          <w:iCs w:val="1"/>
          <w:color w:val="auto"/>
        </w:rPr>
        <w:t>Optionee</w:t>
      </w:r>
      <w:r>
        <w:rPr>
          <w:rFonts w:ascii="Times New Roman" w:cs="Times New Roman" w:eastAsia="Times New Roman" w:hAnsi="Times New Roman"/>
          <w:sz w:val="20"/>
          <w:szCs w:val="20"/>
          <w:color w:val="auto"/>
        </w:rPr>
        <w:t>”). Capitalized terms not defined in this Agreement shall have the meaning ascribed to them in the Company’s 2015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or in the Grant Notice, as applicable.</w:t>
      </w:r>
    </w:p>
    <w:p>
      <w:pPr>
        <w:spacing w:after="0" w:line="187" w:lineRule="exact"/>
        <w:rPr>
          <w:sz w:val="20"/>
          <w:szCs w:val="20"/>
          <w:color w:val="auto"/>
        </w:rPr>
      </w:pPr>
    </w:p>
    <w:p>
      <w:pPr>
        <w:jc w:val="both"/>
        <w:ind w:firstLine="656"/>
        <w:spacing w:after="0" w:line="254" w:lineRule="auto"/>
        <w:tabs>
          <w:tab w:leader="none" w:pos="994"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GRANT OF OPTION. </w:t>
      </w:r>
      <w:r>
        <w:rPr>
          <w:rFonts w:ascii="Times New Roman" w:cs="Times New Roman" w:eastAsia="Times New Roman" w:hAnsi="Times New Roman"/>
          <w:sz w:val="20"/>
          <w:szCs w:val="20"/>
          <w:color w:val="auto"/>
        </w:rPr>
        <w:t>The Company hereby grants to Optionee an option (this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to purchase up to the total number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of the Company, $0.0001 par value per share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set forth in the Grant Notice as the Shares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at the Exercise Price Per Share set forth in the Grant Notice (the “</w:t>
      </w:r>
      <w:r>
        <w:rPr>
          <w:rFonts w:ascii="Times New Roman" w:cs="Times New Roman" w:eastAsia="Times New Roman" w:hAnsi="Times New Roman"/>
          <w:sz w:val="20"/>
          <w:szCs w:val="20"/>
          <w:b w:val="1"/>
          <w:bCs w:val="1"/>
          <w:i w:val="1"/>
          <w:iCs w:val="1"/>
          <w:color w:val="auto"/>
        </w:rPr>
        <w:t>Exercise Price</w:t>
      </w:r>
      <w:r>
        <w:rPr>
          <w:rFonts w:ascii="Times New Roman" w:cs="Times New Roman" w:eastAsia="Times New Roman" w:hAnsi="Times New Roman"/>
          <w:sz w:val="20"/>
          <w:szCs w:val="20"/>
          <w:color w:val="auto"/>
        </w:rPr>
        <w:t>”), subject to all of the terms and conditions of the Grant Notice, this Agreement and the Plan. If designated as an Incentive Stock Option in the Grant Notice, this Option is intended to qualify as an incentive stock option (the “</w:t>
      </w:r>
      <w:r>
        <w:rPr>
          <w:rFonts w:ascii="Times New Roman" w:cs="Times New Roman" w:eastAsia="Times New Roman" w:hAnsi="Times New Roman"/>
          <w:sz w:val="20"/>
          <w:szCs w:val="20"/>
          <w:b w:val="1"/>
          <w:bCs w:val="1"/>
          <w:i w:val="1"/>
          <w:iCs w:val="1"/>
          <w:color w:val="auto"/>
        </w:rPr>
        <w:t>ISO</w:t>
      </w:r>
      <w:r>
        <w:rPr>
          <w:rFonts w:ascii="Times New Roman" w:cs="Times New Roman" w:eastAsia="Times New Roman" w:hAnsi="Times New Roman"/>
          <w:sz w:val="20"/>
          <w:szCs w:val="20"/>
          <w:color w:val="auto"/>
        </w:rPr>
        <w:t>”) within the meaning of Section 422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except that if on the Date of Grant Optionee is not subject to U.S. income tax, then this Option shall be a NQSO.</w:t>
      </w:r>
    </w:p>
    <w:p>
      <w:pPr>
        <w:spacing w:after="0" w:line="173"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EXERCISE PERIOD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2.1 </w:t>
      </w:r>
      <w:r>
        <w:rPr>
          <w:rFonts w:ascii="Times New Roman" w:cs="Times New Roman" w:eastAsia="Times New Roman" w:hAnsi="Times New Roman"/>
          <w:sz w:val="20"/>
          <w:szCs w:val="20"/>
          <w:b w:val="1"/>
          <w:bCs w:val="1"/>
          <w:u w:val="single" w:color="auto"/>
          <w:color w:val="auto"/>
        </w:rPr>
        <w:t>Exercise Period of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conditions set forth in this Agreement, all or part of this Option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exercised at any time after the Date of Grant. Shares purchased by exercising this Option may be subject to the Repurchase Option as set forth in Section 7 below.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8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2.2 </w:t>
      </w:r>
      <w:r>
        <w:rPr>
          <w:rFonts w:ascii="Times New Roman" w:cs="Times New Roman" w:eastAsia="Times New Roman" w:hAnsi="Times New Roman"/>
          <w:sz w:val="20"/>
          <w:szCs w:val="20"/>
          <w:b w:val="1"/>
          <w:bCs w:val="1"/>
          <w:u w:val="single" w:color="auto"/>
          <w:color w:val="auto"/>
        </w:rPr>
        <w:t>Vesting of Option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with respect to which this Option is vested at a given time pursuant to the Vesting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Schedule set forth in the Grant Notice are “</w:t>
      </w:r>
      <w:r>
        <w:rPr>
          <w:rFonts w:ascii="Times New Roman" w:cs="Times New Roman" w:eastAsia="Times New Roman" w:hAnsi="Times New Roman"/>
          <w:sz w:val="20"/>
          <w:szCs w:val="20"/>
          <w:b w:val="1"/>
          <w:bCs w:val="1"/>
          <w:i w:val="1"/>
          <w:iCs w:val="1"/>
          <w:color w:val="auto"/>
        </w:rPr>
        <w:t>Vested Shares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Shares with respect to which this Option is not vested at a given time pursuant to the Vesting Schedule set forth in the Grant Notice are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Unvested Shares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p>
    <w:p>
      <w:pPr>
        <w:spacing w:after="0" w:line="175"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2.3 </w:t>
      </w:r>
      <w:r>
        <w:rPr>
          <w:rFonts w:ascii="Times New Roman" w:cs="Times New Roman" w:eastAsia="Times New Roman" w:hAnsi="Times New Roman"/>
          <w:sz w:val="20"/>
          <w:szCs w:val="20"/>
          <w:b w:val="1"/>
          <w:bCs w:val="1"/>
          <w:u w:val="single" w:color="auto"/>
          <w:color w:val="auto"/>
        </w:rPr>
        <w:t>Expiration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 shall expire on the Expiration Date set forth in the Grant Notice or earlier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3 below.</w:t>
      </w:r>
    </w:p>
    <w:p>
      <w:pPr>
        <w:spacing w:after="0" w:line="165"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TERMINATION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Termination for Any Reason Except Death, Disability or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provided in subsection 3.2 in a case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Optionee dies within 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w:t>
      </w:r>
    </w:p>
    <w:p>
      <w:pPr>
        <w:sectPr>
          <w:pgSz w:w="11900" w:h="16838" w:orient="portrait"/>
          <w:cols w:equalWidth="0" w:num="1">
            <w:col w:w="11240"/>
          </w:cols>
          <w:pgMar w:left="320" w:top="118" w:right="339"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Date, may be exercised by Optionee no later than three (3) months after Optionee’s Termination Date (but in no event may this Option be exercised after the Expiration Date).</w:t>
      </w:r>
    </w:p>
    <w:p>
      <w:pPr>
        <w:spacing w:after="0" w:line="14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Termination Because of Death or Disability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Optionee is Terminated because of Optionee’s death or Disability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Optionee dies within three (3) 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3.3 </w:t>
      </w:r>
      <w:r>
        <w:rPr>
          <w:rFonts w:ascii="Times New Roman" w:cs="Times New Roman" w:eastAsia="Times New Roman" w:hAnsi="Times New Roman"/>
          <w:sz w:val="20"/>
          <w:szCs w:val="20"/>
          <w:b w:val="1"/>
          <w:bCs w:val="1"/>
          <w:u w:val="single" w:color="auto"/>
          <w:color w:val="auto"/>
        </w:rPr>
        <w:t>Termination for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Optionee is Terminated for Cause, then Optionee may exercise this Option, but only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any 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168"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3.4 </w:t>
      </w:r>
      <w:r>
        <w:rPr>
          <w:rFonts w:ascii="Times New Roman" w:cs="Times New Roman" w:eastAsia="Times New Roman" w:hAnsi="Times New Roman"/>
          <w:sz w:val="20"/>
          <w:szCs w:val="20"/>
          <w:b w:val="1"/>
          <w:bCs w:val="1"/>
          <w:u w:val="single" w:color="auto"/>
          <w:color w:val="auto"/>
        </w:rPr>
        <w:t>No Obligation to Employ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in the Plan or this Agreement shall confer on Optionee any right to continue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 of, or 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64"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MANNER OF EXERCISE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4.1 </w:t>
      </w:r>
      <w:r>
        <w:rPr>
          <w:rFonts w:ascii="Times New Roman" w:cs="Times New Roman" w:eastAsia="Times New Roman" w:hAnsi="Times New Roman"/>
          <w:sz w:val="19"/>
          <w:szCs w:val="19"/>
          <w:b w:val="1"/>
          <w:bCs w:val="1"/>
          <w:u w:val="single" w:color="auto"/>
          <w:color w:val="auto"/>
        </w:rPr>
        <w:t>Stock Option Exercise Notice and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exercise this Option, Optionee (or in the case of exercise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Optionee’s death or incapacity, Optionee’s executor, administrator, heir or legatee, as the case may be) must deliver to the Company an executed Stock Option Exercise Notice and Agreement in the form attached hereto as </w:t>
      </w:r>
      <w:r>
        <w:rPr>
          <w:rFonts w:ascii="Times New Roman" w:cs="Times New Roman" w:eastAsia="Times New Roman" w:hAnsi="Times New Roman"/>
          <w:sz w:val="19"/>
          <w:szCs w:val="19"/>
          <w:b w:val="1"/>
          <w:bCs w:val="1"/>
          <w:u w:val="single" w:color="auto"/>
          <w:color w:val="auto"/>
        </w:rPr>
        <w:t>Annex A</w:t>
      </w:r>
      <w:r>
        <w:rPr>
          <w:rFonts w:ascii="Times New Roman" w:cs="Times New Roman" w:eastAsia="Times New Roman" w:hAnsi="Times New Roman"/>
          <w:sz w:val="19"/>
          <w:szCs w:val="19"/>
          <w:color w:val="auto"/>
        </w:rPr>
        <w:t>, or in such other form as may be approved by the Committee from time to time (the “</w:t>
      </w:r>
      <w:r>
        <w:rPr>
          <w:rFonts w:ascii="Times New Roman" w:cs="Times New Roman" w:eastAsia="Times New Roman" w:hAnsi="Times New Roman"/>
          <w:sz w:val="19"/>
          <w:szCs w:val="19"/>
          <w:b w:val="1"/>
          <w:bCs w:val="1"/>
          <w:i w:val="1"/>
          <w:iCs w:val="1"/>
          <w:color w:val="auto"/>
        </w:rPr>
        <w:t>Exercise Agreement</w:t>
      </w:r>
      <w:r>
        <w:rPr>
          <w:rFonts w:ascii="Times New Roman" w:cs="Times New Roman" w:eastAsia="Times New Roman" w:hAnsi="Times New Roman"/>
          <w:sz w:val="19"/>
          <w:szCs w:val="19"/>
          <w:color w:val="auto"/>
        </w:rPr>
        <w:t>”) and payment for the shares being purchased in accordance with this Agreement. The Exercise Agreement shall set forth, among other things, (i) 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and</w:t>
      </w:r>
    </w:p>
    <w:p>
      <w:pPr>
        <w:spacing w:after="0" w:line="4" w:lineRule="exact"/>
        <w:rPr>
          <w:sz w:val="20"/>
          <w:szCs w:val="20"/>
          <w:color w:val="auto"/>
        </w:rPr>
      </w:pPr>
    </w:p>
    <w:p>
      <w:pPr>
        <w:jc w:val="both"/>
        <w:ind w:firstLine="8"/>
        <w:spacing w:after="0" w:line="249" w:lineRule="auto"/>
        <w:tabs>
          <w:tab w:leader="none" w:pos="34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agreements required by the Company to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ectPr>
          <w:pgSz w:w="11900" w:h="16838" w:orient="portrait"/>
          <w:cols w:equalWidth="0" w:num="1">
            <w:col w:w="11240"/>
          </w:cols>
          <w:pgMar w:left="320" w:top="118" w:right="33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Limitations on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Option may not be exercised unless such exercise is in compliance with all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federal and state securities laws, as they are in effect on the date of exercise.</w:t>
      </w:r>
    </w:p>
    <w:p>
      <w:pPr>
        <w:spacing w:after="0" w:line="138"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Exercise Agreement shall be accompanied by full payment of the Exercise Price for the shares being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purchased in cash (by check or wire transfer), or where permitted by law:</w:t>
      </w:r>
    </w:p>
    <w:p>
      <w:pPr>
        <w:spacing w:after="0" w:line="142" w:lineRule="exact"/>
        <w:rPr>
          <w:sz w:val="20"/>
          <w:szCs w:val="20"/>
          <w:color w:val="auto"/>
        </w:rPr>
      </w:pPr>
    </w:p>
    <w:p>
      <w:pPr>
        <w:ind w:left="2380" w:hanging="428"/>
        <w:spacing w:after="0"/>
        <w:tabs>
          <w:tab w:leader="none" w:pos="2380" w:val="left"/>
        </w:tabs>
        <w:numPr>
          <w:ilvl w:val="1"/>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cancellation of indebtedness of the Company owed to Optionee;</w:t>
      </w:r>
    </w:p>
    <w:p>
      <w:pPr>
        <w:spacing w:after="0" w:line="229" w:lineRule="exact"/>
        <w:rPr>
          <w:rFonts w:ascii="Times New Roman" w:cs="Times New Roman" w:eastAsia="Times New Roman" w:hAnsi="Times New Roman"/>
          <w:sz w:val="20"/>
          <w:szCs w:val="20"/>
          <w:b w:val="1"/>
          <w:bCs w:val="1"/>
          <w:color w:val="auto"/>
        </w:rPr>
      </w:pPr>
    </w:p>
    <w:p>
      <w:pPr>
        <w:jc w:val="both"/>
        <w:ind w:firstLine="1952"/>
        <w:spacing w:after="0" w:line="254" w:lineRule="auto"/>
        <w:tabs>
          <w:tab w:leader="none" w:pos="2411" w:val="left"/>
        </w:tabs>
        <w:numPr>
          <w:ilvl w:val="1"/>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w:t>
      </w:r>
    </w:p>
    <w:p>
      <w:pPr>
        <w:ind w:left="300" w:hanging="292"/>
        <w:spacing w:after="0"/>
        <w:tabs>
          <w:tab w:leader="none" w:pos="30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were obtained by Optionee in the public market;</w:t>
      </w:r>
    </w:p>
    <w:p>
      <w:pPr>
        <w:spacing w:after="0" w:line="200"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2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participating in a formal cashless exercise program implemented by the Committee in connection with the</w:t>
      </w:r>
    </w:p>
    <w:p>
      <w:pPr>
        <w:spacing w:after="0" w:line="28"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Plan;</w:t>
      </w:r>
    </w:p>
    <w:p>
      <w:pPr>
        <w:spacing w:after="0" w:line="213" w:lineRule="exact"/>
        <w:rPr>
          <w:rFonts w:ascii="Times New Roman" w:cs="Times New Roman" w:eastAsia="Times New Roman" w:hAnsi="Times New Roman"/>
          <w:sz w:val="20"/>
          <w:szCs w:val="20"/>
          <w:b w:val="1"/>
          <w:bCs w:val="1"/>
          <w:color w:val="auto"/>
        </w:rPr>
      </w:pPr>
    </w:p>
    <w:p>
      <w:pPr>
        <w:jc w:val="both"/>
        <w:ind w:firstLine="1952"/>
        <w:spacing w:after="0" w:line="254" w:lineRule="auto"/>
        <w:tabs>
          <w:tab w:leader="none" w:pos="2465" w:val="left"/>
        </w:tabs>
        <w:numPr>
          <w:ilvl w:val="1"/>
          <w:numId w:val="2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provided that a public market for the Common Stock exists,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187" w:lineRule="exact"/>
        <w:rPr>
          <w:rFonts w:ascii="Times New Roman" w:cs="Times New Roman" w:eastAsia="Times New Roman" w:hAnsi="Times New Roman"/>
          <w:sz w:val="20"/>
          <w:szCs w:val="20"/>
          <w:b w:val="1"/>
          <w:bCs w:val="1"/>
          <w:color w:val="auto"/>
        </w:rPr>
      </w:pPr>
    </w:p>
    <w:p>
      <w:pPr>
        <w:ind w:right="20" w:firstLine="1952"/>
        <w:spacing w:after="0" w:line="283" w:lineRule="auto"/>
        <w:tabs>
          <w:tab w:leader="none" w:pos="2510" w:val="left"/>
        </w:tabs>
        <w:numPr>
          <w:ilvl w:val="1"/>
          <w:numId w:val="2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any combination of the foregoing or any other method of payment approved by the Committee that constitutes legal consideration for the issuance of Shares.</w:t>
      </w:r>
    </w:p>
    <w:p>
      <w:pPr>
        <w:spacing w:after="0" w:line="14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4.4 </w:t>
      </w: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to the issuance of the Shares upon exercise of the Option, Optionee must pay or provide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applicable federal, state and local withholding obligations of the Company. If the Committee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w:t>
      </w:r>
    </w:p>
    <w:p>
      <w:pPr>
        <w:spacing w:after="0" w:line="173"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4.5 </w:t>
      </w:r>
      <w:r>
        <w:rPr>
          <w:rFonts w:ascii="Times New Roman" w:cs="Times New Roman" w:eastAsia="Times New Roman" w:hAnsi="Times New Roman"/>
          <w:sz w:val="20"/>
          <w:szCs w:val="20"/>
          <w:b w:val="1"/>
          <w:bCs w:val="1"/>
          <w:u w:val="single" w:color="auto"/>
          <w:color w:val="auto"/>
        </w:rPr>
        <w:t>Issuance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that the Exercise Agreement and payment are in form and substance satisfactory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counsel for the Company, 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178" w:lineRule="exact"/>
        <w:rPr>
          <w:sz w:val="20"/>
          <w:szCs w:val="20"/>
          <w:color w:val="auto"/>
        </w:rPr>
      </w:pPr>
    </w:p>
    <w:p>
      <w:pPr>
        <w:jc w:val="both"/>
        <w:ind w:firstLine="656"/>
        <w:spacing w:after="0" w:line="255" w:lineRule="auto"/>
        <w:tabs>
          <w:tab w:leader="none" w:pos="1066" w:val="left"/>
        </w:tabs>
        <w:numPr>
          <w:ilvl w:val="0"/>
          <w:numId w:val="2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COMPLIANCE WITH LAWS AND REGULATIONS. </w:t>
      </w:r>
      <w:r>
        <w:rPr>
          <w:rFonts w:ascii="Times New Roman" w:cs="Times New Roman" w:eastAsia="Times New Roman" w:hAnsi="Times New Roman"/>
          <w:sz w:val="20"/>
          <w:szCs w:val="20"/>
          <w:color w:val="auto"/>
        </w:rPr>
        <w:t>The Plan and this Agreement are intended to comply with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25102(o) and Rule 701. 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w:t>
      </w:r>
    </w:p>
    <w:p>
      <w:pPr>
        <w:sectPr>
          <w:pgSz w:w="11900" w:h="16838" w:orient="portrait"/>
          <w:cols w:equalWidth="0" w:num="1">
            <w:col w:w="11240"/>
          </w:cols>
          <w:pgMar w:left="320" w:top="118" w:right="33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68" w:lineRule="exact"/>
        <w:rPr>
          <w:sz w:val="20"/>
          <w:szCs w:val="20"/>
          <w:color w:val="auto"/>
        </w:rPr>
      </w:pPr>
    </w:p>
    <w:p>
      <w:pPr>
        <w:jc w:val="both"/>
        <w:ind w:firstLine="656"/>
        <w:spacing w:after="0" w:line="275" w:lineRule="auto"/>
        <w:tabs>
          <w:tab w:leader="none" w:pos="1002" w:val="left"/>
        </w:tabs>
        <w:numPr>
          <w:ilvl w:val="0"/>
          <w:numId w:val="2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NONTRANSFERABILITY OF OPTION. </w:t>
      </w:r>
      <w:r>
        <w:rPr>
          <w:rFonts w:ascii="Times New Roman" w:cs="Times New Roman" w:eastAsia="Times New Roman" w:hAnsi="Times New Roman"/>
          <w:sz w:val="19"/>
          <w:szCs w:val="19"/>
          <w:color w:val="auto"/>
        </w:rPr>
        <w:t>This Option may not be transferred in any manner other than by will or by the laws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descent and 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52" w:lineRule="exact"/>
        <w:rPr>
          <w:rFonts w:ascii="Times New Roman" w:cs="Times New Roman" w:eastAsia="Times New Roman" w:hAnsi="Times New Roman"/>
          <w:sz w:val="19"/>
          <w:szCs w:val="19"/>
          <w:b w:val="1"/>
          <w:bCs w:val="1"/>
          <w:color w:val="auto"/>
        </w:rPr>
      </w:pPr>
    </w:p>
    <w:p>
      <w:pPr>
        <w:jc w:val="both"/>
        <w:ind w:firstLine="656"/>
        <w:spacing w:after="0" w:line="258" w:lineRule="auto"/>
        <w:tabs>
          <w:tab w:leader="none" w:pos="1113" w:val="left"/>
        </w:tabs>
        <w:numPr>
          <w:ilvl w:val="0"/>
          <w:numId w:val="2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COMPANY’S REPURCHASE OPTION FOR UNVESTED SHARES. </w:t>
      </w:r>
      <w:r>
        <w:rPr>
          <w:rFonts w:ascii="Times New Roman" w:cs="Times New Roman" w:eastAsia="Times New Roman" w:hAnsi="Times New Roman"/>
          <w:sz w:val="20"/>
          <w:szCs w:val="20"/>
          <w:color w:val="auto"/>
        </w:rPr>
        <w:t>If Optionee is Terminated for any reason, or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 including without limitation, Optionee’s death, Disability, voluntary resignation or termination by the Company with or without Cause and Optionee has acquired Unvested Shares by exercising this Option, then the Company and/or its assignee(s) shall have the option to repurchase all or a portion of Optionee’s Unvested Shares (as defined in Section 2.2 of this Agreement) as of the Termination Date on the terms and conditions set forth in this Section 7 (the “</w:t>
      </w:r>
      <w:r>
        <w:rPr>
          <w:rFonts w:ascii="Times New Roman" w:cs="Times New Roman" w:eastAsia="Times New Roman" w:hAnsi="Times New Roman"/>
          <w:sz w:val="20"/>
          <w:szCs w:val="20"/>
          <w:b w:val="1"/>
          <w:bCs w:val="1"/>
          <w:i w:val="1"/>
          <w:iCs w:val="1"/>
          <w:color w:val="auto"/>
        </w:rPr>
        <w:t>Repurchase Option</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7.1 </w:t>
      </w:r>
      <w:r>
        <w:rPr>
          <w:rFonts w:ascii="Times New Roman" w:cs="Times New Roman" w:eastAsia="Times New Roman" w:hAnsi="Times New Roman"/>
          <w:sz w:val="20"/>
          <w:szCs w:val="20"/>
          <w:b w:val="1"/>
          <w:bCs w:val="1"/>
          <w:u w:val="single" w:color="auto"/>
          <w:color w:val="auto"/>
        </w:rPr>
        <w:t>Termination and Termination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case of any dispute as to whether Optionee is Terminated, the Committee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discretion to determine whether Optionee has been Terminated and the effective date of such Termination (the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7.2 </w:t>
      </w:r>
      <w:r>
        <w:rPr>
          <w:rFonts w:ascii="Times New Roman" w:cs="Times New Roman" w:eastAsia="Times New Roman" w:hAnsi="Times New Roman"/>
          <w:sz w:val="20"/>
          <w:szCs w:val="20"/>
          <w:b w:val="1"/>
          <w:bCs w:val="1"/>
          <w:u w:val="single" w:color="auto"/>
          <w:color w:val="auto"/>
        </w:rPr>
        <w:t>Exercise of Repurchase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foregoing provisions of this Section, at any time within ninety (90)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days after Optionee’s Termination Date, the Company and/or its assignee(s), may elect to repurchase any or all of Optionee’s Unvested Shares by giving Optionee written notice of exercise of the Repurchase Option.</w:t>
      </w:r>
    </w:p>
    <w:p>
      <w:pPr>
        <w:spacing w:after="0" w:line="16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7.3 </w:t>
      </w:r>
      <w:r>
        <w:rPr>
          <w:rFonts w:ascii="Times New Roman" w:cs="Times New Roman" w:eastAsia="Times New Roman" w:hAnsi="Times New Roman"/>
          <w:sz w:val="20"/>
          <w:szCs w:val="20"/>
          <w:b w:val="1"/>
          <w:bCs w:val="1"/>
          <w:u w:val="single" w:color="auto"/>
          <w:color w:val="auto"/>
        </w:rPr>
        <w:t>Calculation of Repurchase Price for Unvested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or its assignee shall have the option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repurchase from Optionee (or from Optionee’s personal representative as the case may be) the Unvested Shares at Optionee’s Exercise Price, as such may be proportionately adjusted for any stock split or similar change in the capital structure of the Company as set forth in Section 2.2 of the Plan (the “</w:t>
      </w:r>
      <w:r>
        <w:rPr>
          <w:rFonts w:ascii="Times New Roman" w:cs="Times New Roman" w:eastAsia="Times New Roman" w:hAnsi="Times New Roman"/>
          <w:sz w:val="20"/>
          <w:szCs w:val="20"/>
          <w:b w:val="1"/>
          <w:bCs w:val="1"/>
          <w:i w:val="1"/>
          <w:iCs w:val="1"/>
          <w:color w:val="auto"/>
        </w:rPr>
        <w:t>Repurchase Price</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7.4 </w:t>
      </w:r>
      <w:r>
        <w:rPr>
          <w:rFonts w:ascii="Times New Roman" w:cs="Times New Roman" w:eastAsia="Times New Roman" w:hAnsi="Times New Roman"/>
          <w:sz w:val="20"/>
          <w:szCs w:val="20"/>
          <w:b w:val="1"/>
          <w:bCs w:val="1"/>
          <w:u w:val="single" w:color="auto"/>
          <w:color w:val="auto"/>
        </w:rPr>
        <w:t>Payment of Repurchase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Repurchase Price shall be payable, at the option of the Company or its assignee,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by check or by cancellation of all or a portion of any outstanding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owed by Optionee to the Company and/or such assignee, or by any combination thereof. The Repurchase Price shall be paid without interest within the term of the Repurchase Option as described in Section 7.2.</w:t>
      </w:r>
    </w:p>
    <w:p>
      <w:pPr>
        <w:spacing w:after="0" w:line="184"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7.5 </w:t>
      </w:r>
      <w:r>
        <w:rPr>
          <w:rFonts w:ascii="Times New Roman" w:cs="Times New Roman" w:eastAsia="Times New Roman" w:hAnsi="Times New Roman"/>
          <w:sz w:val="20"/>
          <w:szCs w:val="20"/>
          <w:b w:val="1"/>
          <w:bCs w:val="1"/>
          <w:u w:val="single" w:color="auto"/>
          <w:color w:val="auto"/>
        </w:rPr>
        <w:t>Right of Termination Unaffected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in this Agreement shall be construed to limit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affect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manner whatsoever the right or power of the Company (or any Parent or Subsidiary of the Company) to terminate Optionee’s employment or other relationship with Company (or any Parent or Subsidiary of the Company) at any time, for any reason or no reason, with or without Cause.</w:t>
      </w:r>
    </w:p>
    <w:p>
      <w:pPr>
        <w:sectPr>
          <w:pgSz w:w="11900" w:h="16838" w:orient="portrait"/>
          <w:cols w:equalWidth="0" w:num="1">
            <w:col w:w="11240"/>
          </w:cols>
          <w:pgMar w:left="320" w:top="118" w:right="33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RESTRICTIONS ON TRANSFER</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8.1 </w:t>
      </w:r>
      <w:r>
        <w:rPr>
          <w:rFonts w:ascii="Times New Roman" w:cs="Times New Roman" w:eastAsia="Times New Roman" w:hAnsi="Times New Roman"/>
          <w:sz w:val="20"/>
          <w:szCs w:val="20"/>
          <w:b w:val="1"/>
          <w:bCs w:val="1"/>
          <w:u w:val="single" w:color="auto"/>
          <w:color w:val="auto"/>
        </w:rPr>
        <w:t>Disposition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hereby agrees that Optionee shall make no disposition of any of the Shares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permitted by this Agreement) unless and until:</w:t>
      </w:r>
    </w:p>
    <w:p>
      <w:pPr>
        <w:spacing w:after="0" w:line="169" w:lineRule="exact"/>
        <w:rPr>
          <w:sz w:val="20"/>
          <w:szCs w:val="20"/>
          <w:color w:val="auto"/>
        </w:rPr>
      </w:pPr>
    </w:p>
    <w:p>
      <w:pPr>
        <w:ind w:right="20" w:firstLine="1952"/>
        <w:spacing w:after="0" w:line="269" w:lineRule="auto"/>
        <w:tabs>
          <w:tab w:leader="none" w:pos="2399"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shall have notified the Company of the proposed disposition and provided a written summary of the terms and conditions of the proposed disposition;</w:t>
      </w:r>
    </w:p>
    <w:p>
      <w:pPr>
        <w:spacing w:after="0" w:line="172" w:lineRule="exact"/>
        <w:rPr>
          <w:rFonts w:ascii="Times New Roman" w:cs="Times New Roman" w:eastAsia="Times New Roman" w:hAnsi="Times New Roman"/>
          <w:sz w:val="20"/>
          <w:szCs w:val="20"/>
          <w:b w:val="1"/>
          <w:bCs w:val="1"/>
          <w:color w:val="auto"/>
        </w:rPr>
      </w:pPr>
    </w:p>
    <w:p>
      <w:pPr>
        <w:ind w:left="2480" w:hanging="528"/>
        <w:spacing w:after="0"/>
        <w:tabs>
          <w:tab w:leader="none" w:pos="2480"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shall have complied with all requirements of this Agreement applicable to the disposition of the</w:t>
      </w:r>
    </w:p>
    <w:p>
      <w:pPr>
        <w:spacing w:after="0" w:line="28"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Shares;</w:t>
      </w:r>
    </w:p>
    <w:p>
      <w:pPr>
        <w:spacing w:after="0" w:line="200" w:lineRule="exact"/>
        <w:rPr>
          <w:rFonts w:ascii="Times New Roman" w:cs="Times New Roman" w:eastAsia="Times New Roman" w:hAnsi="Times New Roman"/>
          <w:sz w:val="20"/>
          <w:szCs w:val="20"/>
          <w:b w:val="1"/>
          <w:bCs w:val="1"/>
          <w:color w:val="auto"/>
        </w:rPr>
      </w:pPr>
    </w:p>
    <w:p>
      <w:pPr>
        <w:jc w:val="both"/>
        <w:ind w:firstLine="1952"/>
        <w:spacing w:after="0" w:line="257" w:lineRule="auto"/>
        <w:tabs>
          <w:tab w:leader="none" w:pos="2469"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172" w:lineRule="exact"/>
        <w:rPr>
          <w:rFonts w:ascii="Times New Roman" w:cs="Times New Roman" w:eastAsia="Times New Roman" w:hAnsi="Times New Roman"/>
          <w:sz w:val="20"/>
          <w:szCs w:val="20"/>
          <w:b w:val="1"/>
          <w:bCs w:val="1"/>
          <w:color w:val="auto"/>
        </w:rPr>
      </w:pPr>
    </w:p>
    <w:p>
      <w:pPr>
        <w:jc w:val="both"/>
        <w:ind w:firstLine="1952"/>
        <w:spacing w:after="0" w:line="257" w:lineRule="auto"/>
        <w:tabs>
          <w:tab w:leader="none" w:pos="2424"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169"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8.2 </w:t>
      </w:r>
      <w:r>
        <w:rPr>
          <w:rFonts w:ascii="Times New Roman" w:cs="Times New Roman" w:eastAsia="Times New Roman" w:hAnsi="Times New Roman"/>
          <w:sz w:val="20"/>
          <w:szCs w:val="20"/>
          <w:b w:val="1"/>
          <w:bCs w:val="1"/>
          <w:u w:val="single" w:color="auto"/>
          <w:color w:val="auto"/>
        </w:rPr>
        <w:t>Restriction on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shall not transfer, assign, grant a lien or security interest in, pledge, hypothecate,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encumber or otherwise dispose of any of the Shares which are subject to the Company’s Repurchase Option or the Right of First Refusal described below, except as permitted by this Agreement.</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8.3 </w:t>
      </w:r>
      <w:r>
        <w:rPr>
          <w:rFonts w:ascii="Times New Roman" w:cs="Times New Roman" w:eastAsia="Times New Roman" w:hAnsi="Times New Roman"/>
          <w:sz w:val="20"/>
          <w:szCs w:val="20"/>
          <w:b w:val="1"/>
          <w:bCs w:val="1"/>
          <w:u w:val="single" w:color="auto"/>
          <w:color w:val="auto"/>
        </w:rPr>
        <w:t>Transferee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person (other than the Company) to whom the Shares are transferred by means of one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permitted transfers specified in this Agreement must, as a condition precedent to the validity of such transfer, acknowledge in writing to the Company that such person is bound by the provisions of this Agreement and that the transferred Shares are subject to (i) both the Company’s Repurchase Option and the Company’s Right of First Refusal granted hereunder and (ii) the market stand-off provisions of Section 9 below, to the same extent such Shares would be so subject if retained by Optionee.</w:t>
      </w:r>
    </w:p>
    <w:p>
      <w:pPr>
        <w:spacing w:after="0" w:line="187" w:lineRule="exact"/>
        <w:rPr>
          <w:sz w:val="20"/>
          <w:szCs w:val="20"/>
          <w:color w:val="auto"/>
        </w:rPr>
      </w:pPr>
    </w:p>
    <w:p>
      <w:pPr>
        <w:jc w:val="both"/>
        <w:ind w:firstLine="656"/>
        <w:spacing w:after="0" w:line="252" w:lineRule="auto"/>
        <w:tabs>
          <w:tab w:leader="none" w:pos="1064" w:val="left"/>
        </w:tabs>
        <w:numPr>
          <w:ilvl w:val="0"/>
          <w:numId w:val="2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MARKET STANDOFF AGREEMENT. </w:t>
      </w:r>
      <w:r>
        <w:rPr>
          <w:rFonts w:ascii="Times New Roman" w:cs="Times New Roman" w:eastAsia="Times New Roman" w:hAnsi="Times New Roman"/>
          <w:sz w:val="20"/>
          <w:szCs w:val="20"/>
          <w:color w:val="auto"/>
        </w:rPr>
        <w:t>Optionee agrees that, subject to any early release provisions that apply pro rata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of the 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Times New Roman" w:cs="Times New Roman" w:eastAsia="Times New Roman" w:hAnsi="Times New Roman"/>
          <w:sz w:val="20"/>
          <w:szCs w:val="20"/>
          <w:b w:val="1"/>
          <w:bCs w:val="1"/>
          <w:i w:val="1"/>
          <w:iCs w:val="1"/>
          <w:color w:val="auto"/>
        </w:rPr>
        <w:t>IPO</w:t>
      </w:r>
      <w:r>
        <w:rPr>
          <w:rFonts w:ascii="Times New Roman" w:cs="Times New Roman" w:eastAsia="Times New Roman" w:hAnsi="Times New Roman"/>
          <w:sz w:val="20"/>
          <w:szCs w:val="20"/>
          <w:color w:val="auto"/>
        </w:rPr>
        <w:t xml:space="preserve">”), directly or indirectly sell, offer to sell, grant any option for the sale of, or otherwise dispose of any Common Stock or securities convertible into Common Stock, </w:t>
      </w:r>
      <w:r>
        <w:rPr>
          <w:rFonts w:ascii="Times New Roman" w:cs="Times New Roman" w:eastAsia="Times New Roman" w:hAnsi="Times New Roman"/>
          <w:sz w:val="20"/>
          <w:szCs w:val="20"/>
          <w:u w:val="single" w:color="auto"/>
          <w:color w:val="auto"/>
        </w:rPr>
        <w:t>except for:</w:t>
      </w:r>
      <w:r>
        <w:rPr>
          <w:rFonts w:ascii="Times New Roman" w:cs="Times New Roman" w:eastAsia="Times New Roman" w:hAnsi="Times New Roman"/>
          <w:sz w:val="20"/>
          <w:szCs w:val="20"/>
          <w:color w:val="auto"/>
        </w:rPr>
        <w:t xml:space="preserve"> (i) transfers of Shares permitted under Section 10.6 hereof so long as such transferee furnishes to the</w:t>
      </w:r>
    </w:p>
    <w:p>
      <w:pPr>
        <w:sectPr>
          <w:pgSz w:w="11900" w:h="16838" w:orient="portrait"/>
          <w:cols w:equalWidth="0" w:num="1">
            <w:col w:w="11240"/>
          </w:cols>
          <w:pgMar w:left="320" w:top="118" w:right="339" w:bottom="1440" w:gutter="0" w:footer="0" w:header="0"/>
        </w:sectPr>
      </w:pPr>
    </w:p>
    <w:bookmarkStart w:id="346" w:name="page347"/>
    <w:bookmarkEnd w:id="34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Company and the managing underwriter their written consent to be bound by this Section 9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91" w:lineRule="exact"/>
        <w:rPr>
          <w:sz w:val="20"/>
          <w:szCs w:val="20"/>
          <w:color w:val="auto"/>
        </w:rPr>
      </w:pPr>
    </w:p>
    <w:p>
      <w:pPr>
        <w:jc w:val="both"/>
        <w:ind w:firstLine="656"/>
        <w:spacing w:after="0" w:line="254" w:lineRule="auto"/>
        <w:tabs>
          <w:tab w:leader="none" w:pos="1177" w:val="left"/>
        </w:tabs>
        <w:numPr>
          <w:ilvl w:val="0"/>
          <w:numId w:val="2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COMPANY’S RIGHT OF FIRST REFUSAL. </w:t>
      </w:r>
      <w:r>
        <w:rPr>
          <w:rFonts w:ascii="Times New Roman" w:cs="Times New Roman" w:eastAsia="Times New Roman" w:hAnsi="Times New Roman"/>
          <w:sz w:val="20"/>
          <w:szCs w:val="20"/>
          <w:color w:val="auto"/>
        </w:rPr>
        <w:t>Unvested Shares may not be sold or otherwise transferred, or pledged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or made subject to a security interest, pledge or other lien without the Company’s prior written consent, which may be withheld in the Company’s sole and absolute discretion. Before any Vested Shares held by Optionee or any transferee of such Vested Shares (either sometimes referred to herein as the “</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Times New Roman" w:cs="Times New Roman" w:eastAsia="Times New Roman" w:hAnsi="Times New Roman"/>
          <w:sz w:val="20"/>
          <w:szCs w:val="20"/>
          <w:b w:val="1"/>
          <w:bCs w:val="1"/>
          <w:i w:val="1"/>
          <w:iCs w:val="1"/>
          <w:color w:val="auto"/>
        </w:rPr>
        <w:t>Offered Shares”</w:t>
      </w:r>
      <w:r>
        <w:rPr>
          <w:rFonts w:ascii="Times New Roman" w:cs="Times New Roman" w:eastAsia="Times New Roman" w:hAnsi="Times New Roman"/>
          <w:sz w:val="20"/>
          <w:szCs w:val="20"/>
          <w:color w:val="auto"/>
        </w:rPr>
        <w:t>) on the terms and conditions set forth in this Section (the “</w:t>
      </w:r>
      <w:r>
        <w:rPr>
          <w:rFonts w:ascii="Times New Roman" w:cs="Times New Roman" w:eastAsia="Times New Roman" w:hAnsi="Times New Roman"/>
          <w:sz w:val="20"/>
          <w:szCs w:val="20"/>
          <w:b w:val="1"/>
          <w:bCs w:val="1"/>
          <w:i w:val="1"/>
          <w:iCs w:val="1"/>
          <w:color w:val="auto"/>
        </w:rPr>
        <w:t>Right of First Refusal”</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10.1 </w:t>
      </w:r>
      <w:r>
        <w:rPr>
          <w:rFonts w:ascii="Times New Roman" w:cs="Times New Roman" w:eastAsia="Times New Roman" w:hAnsi="Times New Roman"/>
          <w:sz w:val="20"/>
          <w:szCs w:val="20"/>
          <w:b w:val="1"/>
          <w:bCs w:val="1"/>
          <w:u w:val="single" w:color="auto"/>
          <w:color w:val="auto"/>
        </w:rPr>
        <w:t>Notice of Proposed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Holder of the Offered Shares will deliver to the Company a written notice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stating: (i) the Holder’s bona fide intention to sell or otherwise transfer the Offered Shares; (ii) the name and address of each proposed purchaser or other transferee (the “</w:t>
      </w:r>
      <w:r>
        <w:rPr>
          <w:rFonts w:ascii="Times New Roman" w:cs="Times New Roman" w:eastAsia="Times New Roman" w:hAnsi="Times New Roman"/>
          <w:sz w:val="20"/>
          <w:szCs w:val="20"/>
          <w:b w:val="1"/>
          <w:bCs w:val="1"/>
          <w:i w:val="1"/>
          <w:iCs w:val="1"/>
          <w:color w:val="auto"/>
        </w:rPr>
        <w:t>Proposed Transferee”</w:t>
      </w:r>
      <w:r>
        <w:rPr>
          <w:rFonts w:ascii="Times New Roman" w:cs="Times New Roman" w:eastAsia="Times New Roman" w:hAnsi="Times New Roman"/>
          <w:sz w:val="20"/>
          <w:szCs w:val="20"/>
          <w:color w:val="auto"/>
        </w:rPr>
        <w:t>); (iii) the number of Offered Shares to be transferred to each Proposed Transferee; (iv) the bona fide cash price or other consideration for which the Holder proposes to transfer the Offered Shares (the “</w:t>
      </w:r>
      <w:r>
        <w:rPr>
          <w:rFonts w:ascii="Times New Roman" w:cs="Times New Roman" w:eastAsia="Times New Roman" w:hAnsi="Times New Roman"/>
          <w:sz w:val="20"/>
          <w:szCs w:val="20"/>
          <w:b w:val="1"/>
          <w:bCs w:val="1"/>
          <w:i w:val="1"/>
          <w:iCs w:val="1"/>
          <w:color w:val="auto"/>
        </w:rPr>
        <w:t>Offered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Price”</w:t>
      </w:r>
      <w:r>
        <w:rPr>
          <w:rFonts w:ascii="Times New Roman" w:cs="Times New Roman" w:eastAsia="Times New Roman" w:hAnsi="Times New Roman"/>
          <w:sz w:val="20"/>
          <w:szCs w:val="20"/>
          <w:color w:val="auto"/>
        </w:rPr>
        <w:t>); and (v) that the Holder acknowledges this Notice is an offer to sell the Offered Shares to the Company and/or its assignee(s)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pursuant to the Company’s Right of First Refusal at the Offered Price as provided for in this Agreement.</w:t>
      </w:r>
    </w:p>
    <w:p>
      <w:pPr>
        <w:spacing w:after="0" w:line="187"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10.2 </w:t>
      </w:r>
      <w:r>
        <w:rPr>
          <w:rFonts w:ascii="Times New Roman" w:cs="Times New Roman" w:eastAsia="Times New Roman" w:hAnsi="Times New Roman"/>
          <w:sz w:val="20"/>
          <w:szCs w:val="20"/>
          <w:b w:val="1"/>
          <w:bCs w:val="1"/>
          <w:u w:val="single" w:color="auto"/>
          <w:color w:val="auto"/>
        </w:rPr>
        <w:t>Exercise of Right of First Refusal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any time within thirty (30) days after the date of the Notice,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6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10.3 </w:t>
      </w:r>
      <w:r>
        <w:rPr>
          <w:rFonts w:ascii="Times New Roman" w:cs="Times New Roman" w:eastAsia="Times New Roman" w:hAnsi="Times New Roman"/>
          <w:sz w:val="20"/>
          <w:szCs w:val="20"/>
          <w:b w:val="1"/>
          <w:bCs w:val="1"/>
          <w:u w:val="single" w:color="auto"/>
          <w:color w:val="auto"/>
        </w:rPr>
        <w:t>Purchase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purchase price for the Offered Shares purchased under this Section will be the Offered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if the Offered Price consists of no legal consideration (as, for example, in the case of a transfer by gift) then the purchase price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168"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10.4 </w:t>
      </w: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of the purchase price for the Offered Shares will be payable, at the option of the Company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assignee(s) (as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w:t>
      </w:r>
    </w:p>
    <w:p>
      <w:pPr>
        <w:sectPr>
          <w:pgSz w:w="11900" w:h="16838" w:orient="portrait"/>
          <w:cols w:equalWidth="0" w:num="1">
            <w:col w:w="11240"/>
          </w:cols>
          <w:pgMar w:left="320" w:top="118" w:right="33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 or, at the option of the Company and/or its assignee(s), in the manner and at the time(s) set forth in the Notice.</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10.5 </w:t>
      </w:r>
      <w:r>
        <w:rPr>
          <w:rFonts w:ascii="Times New Roman" w:cs="Times New Roman" w:eastAsia="Times New Roman" w:hAnsi="Times New Roman"/>
          <w:sz w:val="20"/>
          <w:szCs w:val="20"/>
          <w:b w:val="1"/>
          <w:bCs w:val="1"/>
          <w:u w:val="single" w:color="auto"/>
          <w:color w:val="auto"/>
        </w:rPr>
        <w:t>Holder’s Right to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all of the Offered Shares proposed in the Notice to be transferred to a given Proposed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Transferee are not purchased by the Company and/or its assignee(s) as provided in this Section, then the Holder may sell or otherwise transfer such Offered Shares to each Proposed Transferee at the Offered Price or at a higher price,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17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10.6 </w:t>
      </w:r>
      <w:r>
        <w:rPr>
          <w:rFonts w:ascii="Times New Roman" w:cs="Times New Roman" w:eastAsia="Times New Roman" w:hAnsi="Times New Roman"/>
          <w:sz w:val="20"/>
          <w:szCs w:val="20"/>
          <w:b w:val="1"/>
          <w:bCs w:val="1"/>
          <w:u w:val="single" w:color="auto"/>
          <w:color w:val="auto"/>
        </w:rPr>
        <w:t>Exempt Transfers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in this Section, the following transfers of Vested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will be exempt from the Right of First Refusal: (i) the transfer of any or all of the Vested Shares during Optionee’s lifetime by gift or on Optionee’s death by will or intestacy to any member(s) of Optionee’s “Immediate Family” (as defined below) or to a trust for the benefit of Optionee and/or member(s) of Optionee’s Immediate Family,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each transferee or other recipient agrees in a writing satisfactory to the Company that the provisions of this Section will continue to apply to the transferred Vested Shares in the hands of such transferee or other recipient; (ii) any transfer of Vested Shares made pursuant to a statutory merger, statutory consolidation of the Company with or into another corporation or corporations or a conversion of the Company into another form of legal entity (except that the Right of First Refusal will continue to apply thereafter to such Vested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Vested Shares pursuant to the winding up and dissolution of the Company. As used herein, the term “</w:t>
      </w:r>
      <w:r>
        <w:rPr>
          <w:rFonts w:ascii="Times New Roman" w:cs="Times New Roman" w:eastAsia="Times New Roman" w:hAnsi="Times New Roman"/>
          <w:sz w:val="20"/>
          <w:szCs w:val="20"/>
          <w:b w:val="1"/>
          <w:bCs w:val="1"/>
          <w:i w:val="1"/>
          <w:iCs w:val="1"/>
          <w:color w:val="auto"/>
        </w:rPr>
        <w:t>Immediate Family”</w:t>
      </w:r>
      <w:r>
        <w:rPr>
          <w:rFonts w:ascii="Times New Roman" w:cs="Times New Roman" w:eastAsia="Times New Roman" w:hAnsi="Times New Roman"/>
          <w:sz w:val="20"/>
          <w:szCs w:val="20"/>
          <w:color w:val="auto"/>
        </w:rPr>
        <w:t xml:space="preserve">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Times New Roman" w:cs="Times New Roman" w:eastAsia="Times New Roman" w:hAnsi="Times New Roman"/>
          <w:sz w:val="20"/>
          <w:szCs w:val="20"/>
          <w:b w:val="1"/>
          <w:bCs w:val="1"/>
          <w:i w:val="1"/>
          <w:iCs w:val="1"/>
          <w:color w:val="auto"/>
        </w:rPr>
        <w:t>Spousal Equivalent”</w:t>
      </w:r>
      <w:r>
        <w:rPr>
          <w:rFonts w:ascii="Times New Roman" w:cs="Times New Roman" w:eastAsia="Times New Roman" w:hAnsi="Times New Roman"/>
          <w:sz w:val="20"/>
          <w:szCs w:val="20"/>
          <w:color w:val="auto"/>
        </w:rPr>
        <w:t xml:space="preserve"> provided the following circumstances are true: (i) 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20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10.7 </w:t>
      </w:r>
      <w:r>
        <w:rPr>
          <w:rFonts w:ascii="Times New Roman" w:cs="Times New Roman" w:eastAsia="Times New Roman" w:hAnsi="Times New Roman"/>
          <w:sz w:val="20"/>
          <w:szCs w:val="20"/>
          <w:b w:val="1"/>
          <w:bCs w:val="1"/>
          <w:u w:val="single" w:color="auto"/>
          <w:color w:val="auto"/>
        </w:rPr>
        <w:t>Termination of Right of First Refusal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Right of First Refusal will terminate as to all Shares: (i) on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the first 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or (iii) on any transfer or</w:t>
      </w:r>
    </w:p>
    <w:p>
      <w:pPr>
        <w:sectPr>
          <w:pgSz w:w="11900" w:h="16838" w:orient="portrait"/>
          <w:cols w:equalWidth="0" w:num="1">
            <w:col w:w="11240"/>
          </w:cols>
          <w:pgMar w:left="320" w:top="118" w:right="33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conversion of Shares made pursuant to a statutory conversion of the Company into another form of legal entity if the common equity (or comparable equity security) of entity resulting from such conversion is registered under the Exchange Act.</w:t>
      </w:r>
    </w:p>
    <w:p>
      <w:pPr>
        <w:spacing w:after="0" w:line="14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10.8 </w:t>
      </w:r>
      <w:r>
        <w:rPr>
          <w:rFonts w:ascii="Times New Roman" w:cs="Times New Roman" w:eastAsia="Times New Roman" w:hAnsi="Times New Roman"/>
          <w:sz w:val="20"/>
          <w:szCs w:val="20"/>
          <w:b w:val="1"/>
          <w:bCs w:val="1"/>
          <w:u w:val="single" w:color="auto"/>
          <w:color w:val="auto"/>
        </w:rPr>
        <w:t>Encumbrances on Vested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may grant a lien or security interest in, or pledge, hypothecate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encumber Vested Shares only if each 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Vested Shares after they are acquired by the Company and/or its assignees under this Section; and (ii) the provisions of this Agreement will continue to apply to such Vested Shares in the hands of such party and any transferee of such party. Optionee may not grant a lien or security interest in, or pledge, hypothecate or encumber, any Unvested Shares.</w:t>
      </w:r>
    </w:p>
    <w:p>
      <w:pPr>
        <w:spacing w:after="0" w:line="173" w:lineRule="exact"/>
        <w:rPr>
          <w:sz w:val="20"/>
          <w:szCs w:val="20"/>
          <w:color w:val="auto"/>
        </w:rPr>
      </w:pPr>
    </w:p>
    <w:p>
      <w:pPr>
        <w:jc w:val="both"/>
        <w:ind w:firstLine="656"/>
        <w:spacing w:after="0" w:line="254" w:lineRule="auto"/>
        <w:tabs>
          <w:tab w:leader="none" w:pos="1170" w:val="left"/>
        </w:tabs>
        <w:numPr>
          <w:ilvl w:val="0"/>
          <w:numId w:val="2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Optionee shall not have any of the rights of a stockholder with respect to any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and until such 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Repurchase Option or the Right of First Refusal. Upon an exercise of the Repurchase Option or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72"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126" w:val="left"/>
        </w:tabs>
        <w:numPr>
          <w:ilvl w:val="0"/>
          <w:numId w:val="2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ESCROW. </w:t>
      </w:r>
      <w:r>
        <w:rPr>
          <w:rFonts w:ascii="Times New Roman" w:cs="Times New Roman" w:eastAsia="Times New Roman" w:hAnsi="Times New Roman"/>
          <w:sz w:val="20"/>
          <w:szCs w:val="20"/>
          <w:color w:val="auto"/>
        </w:rPr>
        <w:t>As security for Optionee’s faithful performance of this Agreement, Optionee agrees, immediately upon - issuance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stock certificate(s) evidencing the Shares, to consent to the delivery of such certificate(s) to the Secretary of the Company or other designee of the Company (the “</w:t>
      </w:r>
      <w:r>
        <w:rPr>
          <w:rFonts w:ascii="Times New Roman" w:cs="Times New Roman" w:eastAsia="Times New Roman" w:hAnsi="Times New Roman"/>
          <w:sz w:val="20"/>
          <w:szCs w:val="20"/>
          <w:b w:val="1"/>
          <w:bCs w:val="1"/>
          <w:i w:val="1"/>
          <w:iCs w:val="1"/>
          <w:color w:val="auto"/>
        </w:rPr>
        <w:t>Escrow Holder</w:t>
      </w:r>
      <w:r>
        <w:rPr>
          <w:rFonts w:ascii="Times New Roman" w:cs="Times New Roman" w:eastAsia="Times New Roman" w:hAnsi="Times New Roman"/>
          <w:sz w:val="20"/>
          <w:szCs w:val="20"/>
          <w:color w:val="auto"/>
        </w:rPr>
        <w:t>”), who is hereby appointed to hold such certificate(s)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both the Repurchase Option and the Right of First Refusal.</w:t>
      </w:r>
    </w:p>
    <w:p>
      <w:pPr>
        <w:spacing w:after="0" w:line="186" w:lineRule="exact"/>
        <w:rPr>
          <w:rFonts w:ascii="Times New Roman" w:cs="Times New Roman" w:eastAsia="Times New Roman" w:hAnsi="Times New Roman"/>
          <w:sz w:val="20"/>
          <w:szCs w:val="20"/>
          <w:b w:val="1"/>
          <w:bCs w:val="1"/>
          <w:color w:val="auto"/>
        </w:rPr>
      </w:pPr>
    </w:p>
    <w:p>
      <w:pPr>
        <w:ind w:left="1100" w:hanging="444"/>
        <w:spacing w:after="0"/>
        <w:tabs>
          <w:tab w:leader="none" w:pos="1100" w:val="left"/>
        </w:tabs>
        <w:numPr>
          <w:ilvl w:val="0"/>
          <w:numId w:val="2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LEGENDS AND STOP-TRANSFER ORDERS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13.1 </w:t>
      </w:r>
      <w:r>
        <w:rPr>
          <w:rFonts w:ascii="Times New Roman" w:cs="Times New Roman" w:eastAsia="Times New Roman" w:hAnsi="Times New Roman"/>
          <w:sz w:val="20"/>
          <w:szCs w:val="20"/>
          <w:b w:val="1"/>
          <w:bCs w:val="1"/>
          <w:u w:val="single" w:color="auto"/>
          <w:color w:val="auto"/>
        </w:rPr>
        <w:t>Legends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understands and agrees that the Company will place the legends set forth below or similar legends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any stock certificate(s) 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w:t>
      </w:r>
    </w:p>
    <w:p>
      <w:pPr>
        <w:sectPr>
          <w:pgSz w:w="11900" w:h="16838" w:orient="portrait"/>
          <w:cols w:equalWidth="0" w:num="1">
            <w:col w:w="11240"/>
          </w:cols>
          <w:pgMar w:left="320" w:top="118" w:right="33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to place on the stock certificate(s) evidencing the Shares under the terms of any agreement to which the Company is or may become bound or obligated):</w:t>
      </w:r>
    </w:p>
    <w:p>
      <w:pPr>
        <w:spacing w:after="0" w:line="146" w:lineRule="exact"/>
        <w:rPr>
          <w:sz w:val="20"/>
          <w:szCs w:val="20"/>
          <w:color w:val="auto"/>
        </w:rPr>
      </w:pPr>
    </w:p>
    <w:p>
      <w:pPr>
        <w:jc w:val="both"/>
        <w:ind w:firstLine="1952"/>
        <w:spacing w:after="0" w:line="252" w:lineRule="auto"/>
        <w:tabs>
          <w:tab w:leader="none" w:pos="2683" w:val="left"/>
        </w:tabs>
        <w:numPr>
          <w:ilvl w:val="0"/>
          <w:numId w:val="2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89" w:lineRule="exact"/>
        <w:rPr>
          <w:rFonts w:ascii="Times New Roman" w:cs="Times New Roman" w:eastAsia="Times New Roman" w:hAnsi="Times New Roman"/>
          <w:sz w:val="20"/>
          <w:szCs w:val="20"/>
          <w:b w:val="1"/>
          <w:bCs w:val="1"/>
          <w:color w:val="auto"/>
        </w:rPr>
      </w:pPr>
    </w:p>
    <w:p>
      <w:pPr>
        <w:jc w:val="both"/>
        <w:ind w:firstLine="1952"/>
        <w:spacing w:after="0" w:line="253" w:lineRule="auto"/>
        <w:tabs>
          <w:tab w:leader="none" w:pos="2424" w:val="left"/>
        </w:tabs>
        <w:numPr>
          <w:ilvl w:val="0"/>
          <w:numId w:val="2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SHARES REPRESENTED BY THIS CERTIFICATE ARE SUBJECT TO CERTAIN RESTRICTIONS ON RESALE AND TRANSFER, INCLUDING THE REPURCHASE OPTION AND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REPURCHASE OPTION AND RIGHT OF FIRST REFUSAL, ARE BINDING ON TRANSFEREES OF THESE SHARES.</w:t>
      </w:r>
    </w:p>
    <w:p>
      <w:pPr>
        <w:spacing w:after="0" w:line="178" w:lineRule="exact"/>
        <w:rPr>
          <w:rFonts w:ascii="Times New Roman" w:cs="Times New Roman" w:eastAsia="Times New Roman" w:hAnsi="Times New Roman"/>
          <w:sz w:val="20"/>
          <w:szCs w:val="20"/>
          <w:b w:val="1"/>
          <w:bCs w:val="1"/>
          <w:color w:val="auto"/>
        </w:rPr>
      </w:pPr>
    </w:p>
    <w:p>
      <w:pPr>
        <w:jc w:val="both"/>
        <w:ind w:firstLine="1952"/>
        <w:spacing w:after="0" w:line="253" w:lineRule="auto"/>
        <w:tabs>
          <w:tab w:leader="none" w:pos="2456" w:val="left"/>
        </w:tabs>
        <w:numPr>
          <w:ilvl w:val="0"/>
          <w:numId w:val="2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18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13.2 </w:t>
      </w:r>
      <w:r>
        <w:rPr>
          <w:rFonts w:ascii="Times New Roman" w:cs="Times New Roman" w:eastAsia="Times New Roman" w:hAnsi="Times New Roman"/>
          <w:sz w:val="20"/>
          <w:szCs w:val="20"/>
          <w:b w:val="1"/>
          <w:bCs w:val="1"/>
          <w:u w:val="single" w:color="auto"/>
          <w:color w:val="auto"/>
        </w:rPr>
        <w:t>Stop-Transfer Instructions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agrees that, to ensure compliance with the restrictions imposed by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Company may issue appropriate “stop-transfer” instructions to its transfer agent, if any, and if the Company transfers its own securities, it may make appropriate notations to the same effect in its own records.</w:t>
      </w:r>
    </w:p>
    <w:p>
      <w:pPr>
        <w:spacing w:after="0" w:line="162"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13.3 </w:t>
      </w:r>
      <w:r>
        <w:rPr>
          <w:rFonts w:ascii="Times New Roman" w:cs="Times New Roman" w:eastAsia="Times New Roman" w:hAnsi="Times New Roman"/>
          <w:sz w:val="20"/>
          <w:szCs w:val="20"/>
          <w:b w:val="1"/>
          <w:bCs w:val="1"/>
          <w:u w:val="single" w:color="auto"/>
          <w:color w:val="auto"/>
        </w:rPr>
        <w:t>Refusal to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will not be required (i) to transfer on its books any Shares that have been sold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transferred in violation of any of the provisions of this Agreement or (ii) to treat as owner of such Shares, or to accord the right to vote or pay dividends to any purchaser or other transferee to whom such Shares have been so transferred.</w:t>
      </w:r>
    </w:p>
    <w:p>
      <w:pPr>
        <w:spacing w:after="0" w:line="155" w:lineRule="exact"/>
        <w:rPr>
          <w:sz w:val="20"/>
          <w:szCs w:val="20"/>
          <w:color w:val="auto"/>
        </w:rPr>
      </w:pPr>
    </w:p>
    <w:p>
      <w:pPr>
        <w:jc w:val="both"/>
        <w:ind w:firstLine="656"/>
        <w:spacing w:after="0" w:line="263" w:lineRule="auto"/>
        <w:tabs>
          <w:tab w:leader="none" w:pos="1132" w:val="left"/>
        </w:tabs>
        <w:numPr>
          <w:ilvl w:val="0"/>
          <w:numId w:val="2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CERTAIN TAX CONSEQUENCES. </w:t>
      </w:r>
      <w:r>
        <w:rPr>
          <w:rFonts w:ascii="Times New Roman" w:cs="Times New Roman" w:eastAsia="Times New Roman" w:hAnsi="Times New Roman"/>
          <w:sz w:val="20"/>
          <w:szCs w:val="20"/>
          <w:color w:val="auto"/>
        </w:rPr>
        <w:t>Set forth below is a brief summary as of the Effective Date of the Plan of some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federal tax consequences of exercise of the Option and disposition of the Shares. THIS SUMMARY IS NECESSARILY INCOMPLETE, AND THE TAX</w:t>
      </w:r>
    </w:p>
    <w:p>
      <w:pPr>
        <w:sectPr>
          <w:pgSz w:w="11900" w:h="16838" w:orient="portrait"/>
          <w:cols w:equalWidth="0" w:num="1">
            <w:col w:w="11240"/>
          </w:cols>
          <w:pgMar w:left="320" w:top="118" w:right="339"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LAWS AND REGULATIONS ARE SUBJECT TO CHANGE. OPTIONEE SHOULD CONSULT A TAX ADVISER BEFORE EXERCISING THE OPTION OR DISPOSING OF THE SHARES.</w:t>
      </w:r>
    </w:p>
    <w:p>
      <w:pPr>
        <w:spacing w:after="0" w:line="14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14.1 </w:t>
      </w:r>
      <w:r>
        <w:rPr>
          <w:rFonts w:ascii="Times New Roman" w:cs="Times New Roman" w:eastAsia="Times New Roman" w:hAnsi="Times New Roman"/>
          <w:sz w:val="20"/>
          <w:szCs w:val="20"/>
          <w:b w:val="1"/>
          <w:bCs w:val="1"/>
          <w:u w:val="single" w:color="auto"/>
          <w:color w:val="auto"/>
        </w:rPr>
        <w:t>Exercise of ISO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Option qualifies as an ISO, there will be no regular federal income tax liability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of the Option, although the excess, if any, of the Fair Market Value of the Shares on the date of exercise over the Exercise Price will be treated as a tax preference item for federal alternative minimum tax purposes and may subject Optionee to the alternative minimum tax in the year of exercise.</w:t>
      </w:r>
    </w:p>
    <w:p>
      <w:pPr>
        <w:spacing w:after="0" w:line="17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14.2 </w:t>
      </w:r>
      <w:r>
        <w:rPr>
          <w:rFonts w:ascii="Times New Roman" w:cs="Times New Roman" w:eastAsia="Times New Roman" w:hAnsi="Times New Roman"/>
          <w:sz w:val="20"/>
          <w:szCs w:val="20"/>
          <w:b w:val="1"/>
          <w:bCs w:val="1"/>
          <w:u w:val="single" w:color="auto"/>
          <w:color w:val="auto"/>
        </w:rPr>
        <w:t>Exercise of Nonqualified Stock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Option does not qualify as an ISO, there may be a regular federal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income tax liability upon the exercise of the Option. Optionee will be treated as having received compensation income (taxable at ordinary income tax rates) equal to the excess, if any, of the Fair Market Value of the Shares on the date of exercise over the Exercise Price. If Optionee is a current or former employee of the Company, the Company may be required to withhold from Optionee’s compensation or collect from Optionee and pay to the applicable taxing authorities an amount equal to a percentage of this compensation income at the time of exercise.</w:t>
      </w:r>
    </w:p>
    <w:p>
      <w:pPr>
        <w:spacing w:after="0" w:line="17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14.3</w:t>
      </w:r>
      <w:r>
        <w:rPr>
          <w:sz w:val="20"/>
          <w:szCs w:val="20"/>
          <w:color w:val="auto"/>
        </w:rPr>
        <w:tab/>
      </w:r>
      <w:r>
        <w:rPr>
          <w:rFonts w:ascii="Times New Roman" w:cs="Times New Roman" w:eastAsia="Times New Roman" w:hAnsi="Times New Roman"/>
          <w:sz w:val="19"/>
          <w:szCs w:val="19"/>
          <w:b w:val="1"/>
          <w:bCs w:val="1"/>
          <w:u w:val="single" w:color="auto"/>
          <w:color w:val="auto"/>
        </w:rPr>
        <w:t>Disposition of Shares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The following tax consequences may apply upon disposition of the Shares.</w:t>
      </w:r>
    </w:p>
    <w:p>
      <w:pPr>
        <w:spacing w:after="0" w:line="229" w:lineRule="exact"/>
        <w:rPr>
          <w:sz w:val="20"/>
          <w:szCs w:val="20"/>
          <w:color w:val="auto"/>
        </w:rPr>
      </w:pPr>
    </w:p>
    <w:p>
      <w:pPr>
        <w:jc w:val="both"/>
        <w:ind w:firstLine="1952"/>
        <w:spacing w:after="0" w:line="252" w:lineRule="auto"/>
        <w:tabs>
          <w:tab w:leader="none" w:pos="2386" w:val="left"/>
        </w:tabs>
        <w:numPr>
          <w:ilvl w:val="0"/>
          <w:numId w:val="2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Incentive Stock Options</w:t>
      </w:r>
      <w:r>
        <w:rPr>
          <w:rFonts w:ascii="Times New Roman" w:cs="Times New Roman" w:eastAsia="Times New Roman" w:hAnsi="Times New Roman"/>
          <w:sz w:val="20"/>
          <w:szCs w:val="20"/>
          <w:color w:val="auto"/>
        </w:rPr>
        <w:t>. If the Shares are held for more than twelve (12) months after the date of purchase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Shares pursuant to the exercise of an ISO and are disposed of more than two (2) years after the Date of Grant, any gain realized on disposition of the Shares will be treated as long term capital gain for federal income tax purposes. If Vested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 To the extent the Shares were exercised prior to vesting coincident with the filing of an 83(b) Election, the amount taxed because of a disqualifying disposition will be based upon the excess, if any, of the fair market value on the date of </w:t>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xml:space="preserve"> over the exercise price.</w:t>
      </w:r>
    </w:p>
    <w:p>
      <w:pPr>
        <w:spacing w:after="0" w:line="174" w:lineRule="exact"/>
        <w:rPr>
          <w:rFonts w:ascii="Times New Roman" w:cs="Times New Roman" w:eastAsia="Times New Roman" w:hAnsi="Times New Roman"/>
          <w:sz w:val="20"/>
          <w:szCs w:val="20"/>
          <w:b w:val="1"/>
          <w:bCs w:val="1"/>
          <w:color w:val="auto"/>
        </w:rPr>
      </w:pPr>
    </w:p>
    <w:p>
      <w:pPr>
        <w:jc w:val="both"/>
        <w:ind w:firstLine="1952"/>
        <w:spacing w:after="0" w:line="270" w:lineRule="auto"/>
        <w:tabs>
          <w:tab w:leader="none" w:pos="2519" w:val="left"/>
        </w:tabs>
        <w:numPr>
          <w:ilvl w:val="0"/>
          <w:numId w:val="2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Nonqualified Stock Options</w:t>
      </w:r>
      <w:r>
        <w:rPr>
          <w:rFonts w:ascii="Times New Roman" w:cs="Times New Roman" w:eastAsia="Times New Roman" w:hAnsi="Times New Roman"/>
          <w:sz w:val="20"/>
          <w:szCs w:val="20"/>
          <w:color w:val="auto"/>
        </w:rPr>
        <w:t>. If the Shares are held for more than twelve (12) months after the date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of the Shares pursuant to the exercise of an NQSO, any gain realized on disposition of the Shares will be treated as long term capital gain.</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14.4 </w:t>
      </w:r>
      <w:r>
        <w:rPr>
          <w:rFonts w:ascii="Times New Roman" w:cs="Times New Roman" w:eastAsia="Times New Roman" w:hAnsi="Times New Roman"/>
          <w:sz w:val="20"/>
          <w:szCs w:val="20"/>
          <w:b w:val="1"/>
          <w:bCs w:val="1"/>
          <w:u w:val="single" w:color="auto"/>
          <w:color w:val="auto"/>
        </w:rPr>
        <w:t>Section 83(b) Election for Unvested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Unvested Shares, which are subject to the Repurchase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Option, unless an election is filed by Optionee with the Internal Revenue Service (and, if necessary, the proper state taxing authorities), </w:t>
      </w:r>
      <w:r>
        <w:rPr>
          <w:rFonts w:ascii="Times New Roman" w:cs="Times New Roman" w:eastAsia="Times New Roman" w:hAnsi="Times New Roman"/>
          <w:sz w:val="20"/>
          <w:szCs w:val="20"/>
          <w:u w:val="single" w:color="auto"/>
          <w:color w:val="auto"/>
        </w:rPr>
        <w:t>within thirty (30) days</w:t>
      </w:r>
      <w:r>
        <w:rPr>
          <w:rFonts w:ascii="Times New Roman" w:cs="Times New Roman" w:eastAsia="Times New Roman" w:hAnsi="Times New Roman"/>
          <w:sz w:val="20"/>
          <w:szCs w:val="20"/>
          <w:color w:val="auto"/>
        </w:rPr>
        <w:t xml:space="preserve"> of the purchase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Optionee, measured by the excess, if any, of the Fair Market Value of the Unvested Shares at the time they cease to be Unvested Shares, over the Exercise Price of the Unvested Shares.</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GENERAL PROVISIONS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15.1 </w:t>
      </w: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dispute regarding the interpretation of this Agreement shall be submitted by Optionee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to the Committee for review. The resolution of such a dispute by the Committee shall be final and binding on the Company and Optionee.</w:t>
      </w:r>
    </w:p>
    <w:p>
      <w:pPr>
        <w:sectPr>
          <w:pgSz w:w="11900" w:h="16838" w:orient="portrait"/>
          <w:cols w:equalWidth="0" w:num="1">
            <w:col w:w="11240"/>
          </w:cols>
          <w:pgMar w:left="320" w:top="118" w:right="339" w:bottom="1440" w:gutter="0" w:footer="0" w:header="0"/>
        </w:sectPr>
      </w:pPr>
    </w:p>
    <w:bookmarkStart w:id="351" w:name="page352"/>
    <w:bookmarkEnd w:id="351"/>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15.2 </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the Grant Notice and the Exercise Agreement are each incorporated herein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This Agreement, the Grant Notice, the Plan and the Exercise Agreement constitute the entire agreement of the parties with respect to the subject matter hereof and supersede all prior undertakings and agreements with respect to such subject matter.</w:t>
      </w:r>
    </w:p>
    <w:p>
      <w:pPr>
        <w:spacing w:after="0" w:line="175" w:lineRule="exact"/>
        <w:rPr>
          <w:sz w:val="20"/>
          <w:szCs w:val="20"/>
          <w:color w:val="auto"/>
        </w:rPr>
      </w:pPr>
    </w:p>
    <w:p>
      <w:pPr>
        <w:jc w:val="both"/>
        <w:ind w:firstLine="656"/>
        <w:spacing w:after="0" w:line="256" w:lineRule="auto"/>
        <w:tabs>
          <w:tab w:leader="none" w:pos="1126" w:val="left"/>
        </w:tabs>
        <w:numPr>
          <w:ilvl w:val="1"/>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Any and all notices required or permitted to be given to a party pursuant to the provisions of this Agreement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in writing and will be effective and deemed to provide such party sufficient notice under this Agreement on the earliest of the following:</w:t>
      </w:r>
    </w:p>
    <w:p>
      <w:pPr>
        <w:spacing w:after="0" w:line="1" w:lineRule="exact"/>
        <w:rPr>
          <w:rFonts w:ascii="Times New Roman" w:cs="Times New Roman" w:eastAsia="Times New Roman" w:hAnsi="Times New Roman"/>
          <w:sz w:val="20"/>
          <w:szCs w:val="20"/>
          <w:b w:val="1"/>
          <w:bCs w:val="1"/>
          <w:color w:val="auto"/>
        </w:rPr>
      </w:pPr>
    </w:p>
    <w:p>
      <w:pPr>
        <w:jc w:val="both"/>
        <w:ind w:firstLine="8"/>
        <w:spacing w:after="0" w:line="249" w:lineRule="auto"/>
        <w:tabs>
          <w:tab w:leader="none" w:pos="246"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91" w:lineRule="exact"/>
        <w:rPr>
          <w:rFonts w:ascii="Times New Roman" w:cs="Times New Roman" w:eastAsia="Times New Roman" w:hAnsi="Times New Roman"/>
          <w:sz w:val="20"/>
          <w:szCs w:val="20"/>
          <w:color w:val="auto"/>
        </w:rPr>
      </w:pPr>
    </w:p>
    <w:p>
      <w:pPr>
        <w:jc w:val="both"/>
        <w:ind w:firstLine="656"/>
        <w:spacing w:after="0" w:line="255" w:lineRule="auto"/>
        <w:tabs>
          <w:tab w:leader="none" w:pos="1186" w:val="left"/>
        </w:tabs>
        <w:numPr>
          <w:ilvl w:val="1"/>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AND ASSIGNS. </w:t>
      </w:r>
      <w:r>
        <w:rPr>
          <w:rFonts w:ascii="Times New Roman" w:cs="Times New Roman" w:eastAsia="Times New Roman" w:hAnsi="Times New Roman"/>
          <w:sz w:val="20"/>
          <w:szCs w:val="20"/>
          <w:color w:val="auto"/>
        </w:rPr>
        <w:t>The Company may assign any of its rights under this Agreement including its rights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Shares under both the Right of First Refusal and Repurchase Option.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83"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111" w:val="left"/>
        </w:tabs>
        <w:numPr>
          <w:ilvl w:val="1"/>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Agreement shall be governed by and construed in accordance with the internal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California as such laws are applied to agreements between California residents entered into and to be performed entirely within California. If any provision of this Agreement is determined by a court of law to be illegal or unenforceable, then such provision will be enforced to the maximum extent possible and the other provisions will remain fully effective and enforceable.</w:t>
      </w:r>
    </w:p>
    <w:p>
      <w:pPr>
        <w:spacing w:after="0" w:line="164"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156" w:val="left"/>
        </w:tabs>
        <w:numPr>
          <w:ilvl w:val="1"/>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FURTHER ASSURANCES. </w:t>
      </w:r>
      <w:r>
        <w:rPr>
          <w:rFonts w:ascii="Times New Roman" w:cs="Times New Roman" w:eastAsia="Times New Roman" w:hAnsi="Times New Roman"/>
          <w:sz w:val="20"/>
          <w:szCs w:val="20"/>
          <w:color w:val="auto"/>
        </w:rPr>
        <w:t>The parties agree to execute such further documents and instruments and to take such further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actions as may be reasonably necessary to carry out the purposes and intent of this Agreement.</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70" w:lineRule="auto"/>
        <w:tabs>
          <w:tab w:leader="none" w:pos="1128" w:val="left"/>
        </w:tabs>
        <w:numPr>
          <w:ilvl w:val="1"/>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TITLES AND HEADINGS. </w:t>
      </w:r>
      <w:r>
        <w:rPr>
          <w:rFonts w:ascii="Times New Roman" w:cs="Times New Roman" w:eastAsia="Times New Roman" w:hAnsi="Times New Roman"/>
          <w:sz w:val="20"/>
          <w:szCs w:val="20"/>
          <w:color w:val="auto"/>
        </w:rPr>
        <w:t>The titles, captions and headings of this Agreement are included for ease of reference only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disregarded in interpreting or construing this Agreement. Unless otherwise specifically stated, all references herein to “sections” and “exhibits” will mean “sections” and “exhibits” to this Agreement.</w:t>
      </w:r>
    </w:p>
    <w:p>
      <w:pPr>
        <w:spacing w:after="0" w:line="155"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147" w:val="left"/>
        </w:tabs>
        <w:numPr>
          <w:ilvl w:val="1"/>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 Agreement may be executed in any number of counterparts, each of which when so executed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will be deemed an original, and all of which together shall constitute one and the same agreement.</w:t>
      </w:r>
    </w:p>
    <w:p>
      <w:pPr>
        <w:sectPr>
          <w:pgSz w:w="11900" w:h="16838" w:orient="portrait"/>
          <w:cols w:equalWidth="0" w:num="1">
            <w:col w:w="11240"/>
          </w:cols>
          <w:pgMar w:left="320" w:top="118" w:right="33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656"/>
        <w:spacing w:after="0" w:line="254" w:lineRule="auto"/>
        <w:tabs>
          <w:tab w:leader="none" w:pos="1126" w:val="left"/>
        </w:tabs>
        <w:numPr>
          <w:ilvl w:val="0"/>
          <w:numId w:val="2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If any provision of this Agreement is determined by any court or arbitrator of competent jurisdiction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76" w:lineRule="exact"/>
        <w:rPr>
          <w:rFonts w:ascii="Times New Roman" w:cs="Times New Roman" w:eastAsia="Times New Roman" w:hAnsi="Times New Roman"/>
          <w:sz w:val="20"/>
          <w:szCs w:val="20"/>
          <w:b w:val="1"/>
          <w:bCs w:val="1"/>
          <w:color w:val="auto"/>
        </w:rPr>
      </w:pPr>
    </w:p>
    <w:p>
      <w:pPr>
        <w:ind w:left="52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 * * *</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Attachments: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Form of Stock Option Exercise Notice and Agreement</w:t>
      </w:r>
    </w:p>
    <w:p>
      <w:pPr>
        <w:sectPr>
          <w:pgSz w:w="11900" w:h="16838" w:orient="portrait"/>
          <w:cols w:equalWidth="0" w:num="1">
            <w:col w:w="11240"/>
          </w:cols>
          <w:pgMar w:left="320" w:top="118" w:right="33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20"/>
          <w:szCs w:val="20"/>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auto"/>
        </w:rPr>
        <w:t>FORM OF STOCK OPTION EXERCISE NOTICE AND AGREEMENT</w:t>
      </w:r>
    </w:p>
    <w:p>
      <w:pPr>
        <w:sectPr>
          <w:pgSz w:w="11900" w:h="16838" w:orient="portrait"/>
          <w:cols w:equalWidth="0" w:num="1">
            <w:col w:w="10120"/>
          </w:cols>
          <w:pgMar w:left="1440" w:top="118" w:right="339" w:bottom="1440" w:gutter="0" w:footer="0" w:header="0"/>
        </w:sectPr>
      </w:pPr>
    </w:p>
    <w:bookmarkStart w:id="354" w:name="page355"/>
    <w:bookmarkEnd w:id="35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STOCK OPTION EXERCISE NOTICE AND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u w:val="single" w:color="auto"/>
          <w:color w:val="auto"/>
        </w:rPr>
        <w:t>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sign this Notice on Page 3 before submitting it to Navan, Inc. (the “Company”)</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OPTIONEE INFORMATION: </w:t>
      </w:r>
      <w:r>
        <w:rPr>
          <w:rFonts w:ascii="Times New Roman" w:cs="Times New Roman" w:eastAsia="Times New Roman" w:hAnsi="Times New Roman"/>
          <w:sz w:val="20"/>
          <w:szCs w:val="20"/>
          <w:i w:val="1"/>
          <w:iCs w:val="1"/>
          <w:color w:val="auto"/>
        </w:rPr>
        <w:t>Please provide the following information about yourself (“</w:t>
      </w:r>
      <w:r>
        <w:rPr>
          <w:rFonts w:ascii="Times New Roman" w:cs="Times New Roman" w:eastAsia="Times New Roman" w:hAnsi="Times New Roman"/>
          <w:sz w:val="20"/>
          <w:szCs w:val="20"/>
          <w:b w:val="1"/>
          <w:bCs w:val="1"/>
          <w:i w:val="1"/>
          <w:iCs w:val="1"/>
          <w:color w:val="auto"/>
        </w:rPr>
        <w:t>Optionee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274" w:lineRule="exact"/>
        <w:rPr>
          <w:sz w:val="20"/>
          <w:szCs w:val="20"/>
          <w:color w:val="auto"/>
        </w:rPr>
      </w:pPr>
    </w:p>
    <w:tbl>
      <w:tblPr>
        <w:tblLayout w:type="fixed"/>
        <w:tblInd w:w="820" w:type="dxa"/>
        <w:tblCellMar>
          <w:top w:w="0" w:type="dxa"/>
          <w:left w:w="0" w:type="dxa"/>
          <w:bottom w:w="0" w:type="dxa"/>
          <w:right w:w="0" w:type="dxa"/>
        </w:tblCellMar>
      </w:tblPr>
      <w:tr>
        <w:trPr>
          <w:trHeight w:val="262"/>
        </w:trPr>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3460" w:type="dxa"/>
            <w:vAlign w:val="bottom"/>
            <w:tcBorders>
              <w:bottom w:val="single" w:sz="8" w:color="auto"/>
            </w:tcBorders>
            <w:gridSpan w:val="2"/>
          </w:tcPr>
          <w:p>
            <w:pPr>
              <w:spacing w:after="0"/>
              <w:rPr>
                <w:sz w:val="22"/>
                <w:szCs w:val="22"/>
                <w:color w:val="auto"/>
              </w:rPr>
            </w:pPr>
          </w:p>
        </w:tc>
        <w:tc>
          <w:tcPr>
            <w:tcW w:w="368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Social Security Number:</w:t>
            </w:r>
          </w:p>
        </w:tc>
        <w:tc>
          <w:tcPr>
            <w:tcW w:w="2440" w:type="dxa"/>
            <w:vAlign w:val="bottom"/>
            <w:tcBorders>
              <w:bottom w:val="single" w:sz="8" w:color="auto"/>
            </w:tcBorders>
          </w:tcPr>
          <w:p>
            <w:pPr>
              <w:spacing w:after="0"/>
              <w:rPr>
                <w:sz w:val="22"/>
                <w:szCs w:val="22"/>
                <w:color w:val="auto"/>
              </w:rPr>
            </w:pPr>
          </w:p>
        </w:tc>
      </w:tr>
      <w:tr>
        <w:trPr>
          <w:trHeight w:val="507"/>
        </w:trPr>
        <w:tc>
          <w:tcPr>
            <w:tcW w:w="1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Address:</w:t>
            </w:r>
          </w:p>
        </w:tc>
        <w:tc>
          <w:tcPr>
            <w:tcW w:w="3200" w:type="dxa"/>
            <w:vAlign w:val="bottom"/>
            <w:tcBorders>
              <w:bottom w:val="single" w:sz="8" w:color="auto"/>
            </w:tcBorders>
          </w:tcPr>
          <w:p>
            <w:pPr>
              <w:spacing w:after="0"/>
              <w:rPr>
                <w:sz w:val="24"/>
                <w:szCs w:val="24"/>
                <w:color w:val="auto"/>
              </w:rPr>
            </w:pPr>
          </w:p>
        </w:tc>
        <w:tc>
          <w:tcPr>
            <w:tcW w:w="316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auto"/>
              </w:rPr>
              <w:t>Employee Number:</w:t>
            </w:r>
          </w:p>
        </w:tc>
        <w:tc>
          <w:tcPr>
            <w:tcW w:w="2960" w:type="dxa"/>
            <w:vAlign w:val="bottom"/>
            <w:tcBorders>
              <w:bottom w:val="single" w:sz="8" w:color="auto"/>
            </w:tcBorders>
            <w:gridSpan w:val="2"/>
          </w:tcPr>
          <w:p>
            <w:pPr>
              <w:spacing w:after="0"/>
              <w:rPr>
                <w:sz w:val="24"/>
                <w:szCs w:val="24"/>
                <w:color w:val="auto"/>
              </w:rPr>
            </w:pPr>
          </w:p>
        </w:tc>
      </w:tr>
      <w:tr>
        <w:trPr>
          <w:trHeight w:val="507"/>
        </w:trPr>
        <w:tc>
          <w:tcPr>
            <w:tcW w:w="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7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Email Address:</w:t>
            </w:r>
          </w:p>
        </w:tc>
        <w:tc>
          <w:tcPr>
            <w:tcW w:w="3380" w:type="dxa"/>
            <w:vAlign w:val="bottom"/>
            <w:tcBorders>
              <w:bottom w:val="single" w:sz="8" w:color="auto"/>
            </w:tcBorders>
            <w:gridSpan w:val="3"/>
          </w:tcPr>
          <w:p>
            <w:pPr>
              <w:spacing w:after="0"/>
              <w:rPr>
                <w:sz w:val="24"/>
                <w:szCs w:val="24"/>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OPTION INFORMATION: </w:t>
      </w:r>
      <w:r>
        <w:rPr>
          <w:rFonts w:ascii="Times New Roman" w:cs="Times New Roman" w:eastAsia="Times New Roman" w:hAnsi="Times New Roman"/>
          <w:sz w:val="20"/>
          <w:szCs w:val="20"/>
          <w:i w:val="1"/>
          <w:iCs w:val="1"/>
          <w:color w:val="auto"/>
        </w:rPr>
        <w:t>Please provide this information on the option being exercised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Grant No.</w:t>
      </w:r>
    </w:p>
    <w:p>
      <w:pPr>
        <w:spacing w:after="0" w:line="121" w:lineRule="exact"/>
        <w:rPr>
          <w:sz w:val="20"/>
          <w:szCs w:val="20"/>
          <w:color w:val="auto"/>
        </w:rPr>
      </w:pPr>
    </w:p>
    <w:p>
      <w:pPr>
        <w:ind w:left="660"/>
        <w:spacing w:after="0"/>
        <w:tabs>
          <w:tab w:leader="none" w:pos="4540" w:val="left"/>
        </w:tabs>
        <w:rPr>
          <w:sz w:val="20"/>
          <w:szCs w:val="20"/>
          <w:color w:val="auto"/>
        </w:rPr>
      </w:pPr>
      <w:r>
        <w:rPr>
          <w:rFonts w:ascii="Times New Roman" w:cs="Times New Roman" w:eastAsia="Times New Roman" w:hAnsi="Times New Roman"/>
          <w:sz w:val="20"/>
          <w:szCs w:val="20"/>
          <w:color w:val="auto"/>
        </w:rPr>
        <w:t>Date of Grant:</w:t>
      </w:r>
      <w:r>
        <w:rPr>
          <w:sz w:val="20"/>
          <w:szCs w:val="20"/>
          <w:color w:val="auto"/>
        </w:rPr>
        <w:tab/>
      </w:r>
      <w:r>
        <w:rPr>
          <w:rFonts w:ascii="Times New Roman" w:cs="Times New Roman" w:eastAsia="Times New Roman" w:hAnsi="Times New Roman"/>
          <w:sz w:val="19"/>
          <w:szCs w:val="19"/>
          <w:color w:val="auto"/>
        </w:rPr>
        <w:t>Type of Stock Option: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Option Price per Share: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Total number of shares of Common Stock of the Company subject to the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Option: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INFORMATION:</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Number of shares of Common Stock of the Company for which the Option is now being exercised «Shares». (These shares are referred to below as the “</w:t>
      </w:r>
      <w:r>
        <w:rPr>
          <w:rFonts w:ascii="Times New Roman" w:cs="Times New Roman" w:eastAsia="Times New Roman" w:hAnsi="Times New Roman"/>
          <w:sz w:val="20"/>
          <w:szCs w:val="20"/>
          <w:b w:val="1"/>
          <w:bCs w:val="1"/>
          <w:i w:val="1"/>
          <w:iCs w:val="1"/>
          <w:color w:val="auto"/>
        </w:rPr>
        <w:t>Purchased Shares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Exercise Price Being Paid for the Purchased Shares: $___________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payment [</w:t>
      </w:r>
      <w:r>
        <w:rPr>
          <w:rFonts w:ascii="Times New Roman" w:cs="Times New Roman" w:eastAsia="Times New Roman" w:hAnsi="Times New Roman"/>
          <w:sz w:val="20"/>
          <w:szCs w:val="20"/>
          <w:b w:val="1"/>
          <w:bCs w:val="1"/>
          <w:i w:val="1"/>
          <w:iCs w:val="1"/>
          <w:color w:val="auto"/>
        </w:rPr>
        <w:t>check all that apply*</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380" w:hanging="372"/>
        <w:spacing w:after="0"/>
        <w:tabs>
          <w:tab w:leader="none" w:pos="380" w:val="left"/>
        </w:tabs>
        <w:numPr>
          <w:ilvl w:val="0"/>
          <w:numId w:val="25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Check for $________________, payable to “</w:t>
      </w:r>
      <w:r>
        <w:rPr>
          <w:rFonts w:ascii="Times New Roman" w:cs="Times New Roman" w:eastAsia="Times New Roman" w:hAnsi="Times New Roman"/>
          <w:sz w:val="20"/>
          <w:szCs w:val="20"/>
          <w:b w:val="1"/>
          <w:bCs w:val="1"/>
          <w:i w:val="1"/>
          <w:iCs w:val="1"/>
          <w:color w:val="auto"/>
        </w:rPr>
        <w:t>Navan, Inc.</w:t>
      </w:r>
      <w:r>
        <w:rPr>
          <w:rFonts w:ascii="Times New Roman" w:cs="Times New Roman" w:eastAsia="Times New Roman" w:hAnsi="Times New Roman"/>
          <w:sz w:val="20"/>
          <w:szCs w:val="20"/>
          <w:color w:val="auto"/>
        </w:rPr>
        <w:t>”</w:t>
      </w:r>
    </w:p>
    <w:p>
      <w:pPr>
        <w:spacing w:after="0" w:line="125" w:lineRule="exact"/>
        <w:rPr>
          <w:rFonts w:ascii="MS PGothic" w:cs="MS PGothic" w:eastAsia="MS PGothic" w:hAnsi="MS PGothic"/>
          <w:sz w:val="20"/>
          <w:szCs w:val="20"/>
          <w:color w:val="auto"/>
        </w:rPr>
      </w:pPr>
    </w:p>
    <w:p>
      <w:pPr>
        <w:ind w:left="660" w:hanging="652"/>
        <w:spacing w:after="0" w:line="269" w:lineRule="auto"/>
        <w:tabs>
          <w:tab w:leader="none" w:pos="403" w:val="left"/>
        </w:tabs>
        <w:numPr>
          <w:ilvl w:val="0"/>
          <w:numId w:val="25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Certificate(s) for ________________ shares of Common Stock of the Company. These shares will be valued as of the date this notice is received by the Company. [</w:t>
      </w:r>
      <w:r>
        <w:rPr>
          <w:rFonts w:ascii="Times New Roman" w:cs="Times New Roman" w:eastAsia="Times New Roman" w:hAnsi="Times New Roman"/>
          <w:sz w:val="20"/>
          <w:szCs w:val="20"/>
          <w:b w:val="1"/>
          <w:bCs w:val="1"/>
          <w:i w:val="1"/>
          <w:iCs w:val="1"/>
          <w:color w:val="auto"/>
        </w:rPr>
        <w:t>Requires Company consent</w:t>
      </w:r>
      <w:r>
        <w:rPr>
          <w:rFonts w:ascii="Times New Roman" w:cs="Times New Roman" w:eastAsia="Times New Roman" w:hAnsi="Times New Roman"/>
          <w:sz w:val="20"/>
          <w:szCs w:val="20"/>
          <w:color w:val="auto"/>
        </w:rPr>
        <w:t>.]</w:t>
      </w:r>
    </w:p>
    <w:p>
      <w:pPr>
        <w:spacing w:after="0" w:line="64" w:lineRule="exact"/>
        <w:rPr>
          <w:rFonts w:ascii="MS PGothic" w:cs="MS PGothic" w:eastAsia="MS PGothic" w:hAnsi="MS PGothic"/>
          <w:sz w:val="20"/>
          <w:szCs w:val="20"/>
          <w:color w:val="auto"/>
        </w:rPr>
      </w:pPr>
    </w:p>
    <w:p>
      <w:pPr>
        <w:ind w:left="380" w:hanging="372"/>
        <w:spacing w:after="0"/>
        <w:tabs>
          <w:tab w:leader="none" w:pos="380" w:val="left"/>
        </w:tabs>
        <w:numPr>
          <w:ilvl w:val="0"/>
          <w:numId w:val="25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ACH</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you are a non-U.S. Optionee, please see the Company for permitted forms of payment.</w:t>
      </w:r>
    </w:p>
    <w:p>
      <w:pPr>
        <w:spacing w:after="0" w:line="32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AGREEMENTS, REPRESENTATIONS AND ACKNOWLEDGMENTS OF OPTIONEE: </w:t>
      </w:r>
      <w:r>
        <w:rPr>
          <w:rFonts w:ascii="Times New Roman" w:cs="Times New Roman" w:eastAsia="Times New Roman" w:hAnsi="Times New Roman"/>
          <w:sz w:val="20"/>
          <w:szCs w:val="20"/>
          <w:color w:val="auto"/>
        </w:rPr>
        <w:t>By signing this Stock Option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and Agreement, Optionee hereby agrees with, and represents to, the Company as follows:</w:t>
      </w:r>
    </w:p>
    <w:p>
      <w:pPr>
        <w:spacing w:after="0" w:line="30" w:lineRule="exact"/>
        <w:rPr>
          <w:sz w:val="20"/>
          <w:szCs w:val="20"/>
          <w:color w:val="auto"/>
        </w:rPr>
      </w:pPr>
    </w:p>
    <w:p>
      <w:pPr>
        <w:ind w:left="340" w:hanging="332"/>
        <w:spacing w:after="0" w:line="287" w:lineRule="auto"/>
        <w:tabs>
          <w:tab w:leader="none" w:pos="423" w:val="left"/>
        </w:tabs>
        <w:numPr>
          <w:ilvl w:val="0"/>
          <w:numId w:val="2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Terms Governing. </w:t>
      </w:r>
      <w:r>
        <w:rPr>
          <w:rFonts w:ascii="Times New Roman" w:cs="Times New Roman" w:eastAsia="Times New Roman" w:hAnsi="Times New Roman"/>
          <w:sz w:val="20"/>
          <w:szCs w:val="20"/>
          <w:color w:val="auto"/>
        </w:rPr>
        <w:t>I acknowledge and agree with the Company that I am acquiring the Purchased Shares by exercise of this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all other terms and conditions of the Notice of Stock</w:t>
      </w:r>
    </w:p>
    <w:p>
      <w:pPr>
        <w:sectPr>
          <w:pgSz w:w="11900" w:h="16838" w:orient="portrait"/>
          <w:cols w:equalWidth="0" w:num="1">
            <w:col w:w="11240"/>
          </w:cols>
          <w:pgMar w:left="320" w:top="1409" w:right="339" w:bottom="1440" w:gutter="0" w:footer="0" w:header="0"/>
        </w:sectPr>
      </w:pPr>
    </w:p>
    <w:bookmarkStart w:id="355" w:name="page356"/>
    <w:bookmarkEnd w:id="355"/>
    <w:p>
      <w:pPr>
        <w:ind w:left="332"/>
        <w:spacing w:after="0" w:line="283" w:lineRule="auto"/>
        <w:rPr>
          <w:sz w:val="20"/>
          <w:szCs w:val="20"/>
          <w:color w:val="auto"/>
        </w:rPr>
      </w:pPr>
      <w:r>
        <w:rPr>
          <w:rFonts w:ascii="Times New Roman" w:cs="Times New Roman" w:eastAsia="Times New Roman" w:hAnsi="Times New Roman"/>
          <w:sz w:val="20"/>
          <w:szCs w:val="20"/>
          <w:color w:val="auto"/>
        </w:rPr>
        <w:t>Option Grant and the Stock Option Agreement that govern the Option, including without limitation the terms of the Company’s 2015 Equity Incentive Plan, as it may be amended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pacing w:after="0" w:line="34" w:lineRule="exact"/>
        <w:rPr>
          <w:sz w:val="20"/>
          <w:szCs w:val="20"/>
          <w:color w:val="auto"/>
        </w:rPr>
      </w:pPr>
    </w:p>
    <w:p>
      <w:pPr>
        <w:jc w:val="both"/>
        <w:ind w:left="332" w:hanging="332"/>
        <w:spacing w:after="0" w:line="254" w:lineRule="auto"/>
        <w:tabs>
          <w:tab w:leader="none" w:pos="483" w:val="left"/>
        </w:tabs>
        <w:numPr>
          <w:ilvl w:val="0"/>
          <w:numId w:val="2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Investment Intent; Securities Law Restrictions. </w:t>
      </w:r>
      <w:r>
        <w:rPr>
          <w:rFonts w:ascii="Times New Roman" w:cs="Times New Roman" w:eastAsia="Times New Roman" w:hAnsi="Times New Roman"/>
          <w:sz w:val="20"/>
          <w:szCs w:val="20"/>
          <w:color w:val="auto"/>
        </w:rPr>
        <w:t>I represent and warrant to the Company that I am acquiring and will hold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Purchased Shares for investment for my account only, and not with a view to, or for resale in connection with, any “distribution” of the Purchased Shares within the meaning of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64" w:lineRule="exact"/>
        <w:rPr>
          <w:rFonts w:ascii="Times New Roman" w:cs="Times New Roman" w:eastAsia="Times New Roman" w:hAnsi="Times New Roman"/>
          <w:sz w:val="20"/>
          <w:szCs w:val="20"/>
          <w:b w:val="1"/>
          <w:bCs w:val="1"/>
          <w:color w:val="auto"/>
        </w:rPr>
      </w:pPr>
    </w:p>
    <w:p>
      <w:pPr>
        <w:jc w:val="both"/>
        <w:ind w:left="332" w:hanging="332"/>
        <w:spacing w:after="0" w:line="268" w:lineRule="auto"/>
        <w:tabs>
          <w:tab w:leader="none" w:pos="388" w:val="left"/>
        </w:tabs>
        <w:numPr>
          <w:ilvl w:val="0"/>
          <w:numId w:val="2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Restrictions on Transfer: Rule 144. </w:t>
      </w:r>
      <w:r>
        <w:rPr>
          <w:rFonts w:ascii="Times New Roman" w:cs="Times New Roman" w:eastAsia="Times New Roman" w:hAnsi="Times New Roman"/>
          <w:sz w:val="19"/>
          <w:szCs w:val="19"/>
          <w:color w:val="auto"/>
        </w:rPr>
        <w:t>I will not sell, transfer or otherwise dispose of the Purchased Shares in violation of the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 the 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w:t>
      </w:r>
    </w:p>
    <w:p>
      <w:pPr>
        <w:spacing w:after="0" w:line="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9"/>
          <w:szCs w:val="19"/>
          <w:color w:val="auto"/>
        </w:rPr>
        <w:t>public information about the Company is available; (b) the resale occurs only after the holding period required by Rule 144 has been met;</w:t>
      </w:r>
    </w:p>
    <w:p>
      <w:pPr>
        <w:spacing w:after="0" w:line="18" w:lineRule="exact"/>
        <w:rPr>
          <w:sz w:val="20"/>
          <w:szCs w:val="20"/>
          <w:color w:val="auto"/>
        </w:rPr>
      </w:pPr>
    </w:p>
    <w:p>
      <w:pPr>
        <w:jc w:val="both"/>
        <w:ind w:left="332" w:hanging="8"/>
        <w:spacing w:after="0" w:line="256" w:lineRule="auto"/>
        <w:tabs>
          <w:tab w:leader="none" w:pos="625"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61" w:lineRule="exact"/>
        <w:rPr>
          <w:rFonts w:ascii="Times New Roman" w:cs="Times New Roman" w:eastAsia="Times New Roman" w:hAnsi="Times New Roman"/>
          <w:sz w:val="20"/>
          <w:szCs w:val="20"/>
          <w:color w:val="auto"/>
        </w:rPr>
      </w:pPr>
    </w:p>
    <w:p>
      <w:pPr>
        <w:jc w:val="both"/>
        <w:ind w:left="332" w:hanging="332"/>
        <w:spacing w:after="0" w:line="254" w:lineRule="auto"/>
        <w:tabs>
          <w:tab w:leader="none" w:pos="363"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Access to Information; Understanding of Risk in Investment. </w:t>
      </w:r>
      <w:r>
        <w:rPr>
          <w:rFonts w:ascii="Times New Roman" w:cs="Times New Roman" w:eastAsia="Times New Roman" w:hAnsi="Times New Roman"/>
          <w:sz w:val="20"/>
          <w:szCs w:val="20"/>
          <w:color w:val="auto"/>
        </w:rPr>
        <w:t>I acknowledge that I have received and had access to such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I 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78" w:lineRule="exact"/>
        <w:rPr>
          <w:rFonts w:ascii="Times New Roman" w:cs="Times New Roman" w:eastAsia="Times New Roman" w:hAnsi="Times New Roman"/>
          <w:sz w:val="20"/>
          <w:szCs w:val="20"/>
          <w:b w:val="1"/>
          <w:bCs w:val="1"/>
          <w:color w:val="auto"/>
        </w:rPr>
      </w:pPr>
    </w:p>
    <w:p>
      <w:pPr>
        <w:jc w:val="both"/>
        <w:ind w:left="332" w:hanging="332"/>
        <w:spacing w:after="0" w:line="255" w:lineRule="auto"/>
        <w:tabs>
          <w:tab w:leader="none" w:pos="448"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of First Refusal; Repurchase Options; Market Stand-off. </w:t>
      </w:r>
      <w:r>
        <w:rPr>
          <w:rFonts w:ascii="Times New Roman" w:cs="Times New Roman" w:eastAsia="Times New Roman" w:hAnsi="Times New Roman"/>
          <w:sz w:val="20"/>
          <w:szCs w:val="20"/>
          <w:color w:val="auto"/>
        </w:rPr>
        <w:t>I acknowledge that the Purchased Shares remain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Right of First Refusal, the Company’s Repurchase Option (with respect to unvested Purchased Shares) and the market stand-off covenants (sometimes referred to as the “lock-up”), all in accordance with the applicable Notice of Stock Option Grant and the Stock Option Agreement that govern the Option.</w:t>
      </w:r>
    </w:p>
    <w:p>
      <w:pPr>
        <w:spacing w:after="0" w:line="75" w:lineRule="exact"/>
        <w:rPr>
          <w:rFonts w:ascii="Times New Roman" w:cs="Times New Roman" w:eastAsia="Times New Roman" w:hAnsi="Times New Roman"/>
          <w:sz w:val="20"/>
          <w:szCs w:val="20"/>
          <w:b w:val="1"/>
          <w:bCs w:val="1"/>
          <w:color w:val="auto"/>
        </w:rPr>
      </w:pPr>
    </w:p>
    <w:p>
      <w:pPr>
        <w:jc w:val="both"/>
        <w:ind w:left="332" w:hanging="332"/>
        <w:spacing w:after="0" w:line="254" w:lineRule="auto"/>
        <w:tabs>
          <w:tab w:leader="none" w:pos="489"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Form of Ownership. </w:t>
      </w:r>
      <w:r>
        <w:rPr>
          <w:rFonts w:ascii="Times New Roman" w:cs="Times New Roman" w:eastAsia="Times New Roman" w:hAnsi="Times New Roman"/>
          <w:sz w:val="20"/>
          <w:szCs w:val="20"/>
          <w:color w:val="auto"/>
        </w:rPr>
        <w:t>I acknowledge that the Company has encouraged me to consult my own adviser to determine the form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ownership of the 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79" w:lineRule="exact"/>
        <w:rPr>
          <w:rFonts w:ascii="Times New Roman" w:cs="Times New Roman" w:eastAsia="Times New Roman" w:hAnsi="Times New Roman"/>
          <w:sz w:val="20"/>
          <w:szCs w:val="20"/>
          <w:b w:val="1"/>
          <w:bCs w:val="1"/>
          <w:color w:val="auto"/>
        </w:rPr>
      </w:pPr>
    </w:p>
    <w:p>
      <w:pPr>
        <w:ind w:left="332" w:hanging="332"/>
        <w:spacing w:after="0" w:line="287" w:lineRule="auto"/>
        <w:tabs>
          <w:tab w:leader="none" w:pos="393"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Investigation of Tax Consequences. </w:t>
      </w:r>
      <w:r>
        <w:rPr>
          <w:rFonts w:ascii="Times New Roman" w:cs="Times New Roman" w:eastAsia="Times New Roman" w:hAnsi="Times New Roman"/>
          <w:sz w:val="20"/>
          <w:szCs w:val="20"/>
          <w:color w:val="auto"/>
        </w:rPr>
        <w:t>I acknowledge that the Company has encouraged me to consult my own adviser to determine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 consequences of acquiring the Purchased Shares at this time.</w:t>
      </w:r>
    </w:p>
    <w:p>
      <w:pPr>
        <w:sectPr>
          <w:pgSz w:w="11900" w:h="16838" w:orient="portrait"/>
          <w:cols w:equalWidth="0" w:num="1">
            <w:col w:w="11232"/>
          </w:cols>
          <w:pgMar w:left="328" w:top="1413" w:right="339" w:bottom="1440" w:gutter="0" w:footer="0" w:header="0"/>
        </w:sectPr>
      </w:pPr>
    </w:p>
    <w:bookmarkStart w:id="356" w:name="page357"/>
    <w:bookmarkEnd w:id="356"/>
    <w:p>
      <w:pPr>
        <w:jc w:val="both"/>
        <w:ind w:left="340" w:hanging="332"/>
        <w:spacing w:after="0" w:line="252" w:lineRule="auto"/>
        <w:tabs>
          <w:tab w:leader="none" w:pos="371" w:val="left"/>
        </w:tabs>
        <w:numPr>
          <w:ilvl w:val="0"/>
          <w:numId w:val="2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Other Tax Matters. </w:t>
      </w:r>
      <w:r>
        <w:rPr>
          <w:rFonts w:ascii="Times New Roman" w:cs="Times New Roman" w:eastAsia="Times New Roman" w:hAnsi="Times New Roman"/>
          <w:sz w:val="20"/>
          <w:szCs w:val="20"/>
          <w:color w:val="auto"/>
        </w:rPr>
        <w:t>I agree that the Company does not have a duty to design or administer the Plan or its other compensation programs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 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67"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2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Spouse Consent. </w:t>
      </w:r>
      <w:r>
        <w:rPr>
          <w:rFonts w:ascii="Times New Roman" w:cs="Times New Roman" w:eastAsia="Times New Roman" w:hAnsi="Times New Roman"/>
          <w:sz w:val="20"/>
          <w:szCs w:val="20"/>
          <w:color w:val="auto"/>
        </w:rPr>
        <w:t>I agree to seek the consent of my spouse to the extent required by the Company to enforce the foregoing.</w:t>
      </w:r>
    </w:p>
    <w:p>
      <w:pPr>
        <w:spacing w:after="0" w:line="121" w:lineRule="exact"/>
        <w:rPr>
          <w:rFonts w:ascii="Times New Roman" w:cs="Times New Roman" w:eastAsia="Times New Roman" w:hAnsi="Times New Roman"/>
          <w:sz w:val="20"/>
          <w:szCs w:val="20"/>
          <w:b w:val="1"/>
          <w:bCs w:val="1"/>
          <w:color w:val="auto"/>
        </w:rPr>
      </w:pPr>
    </w:p>
    <w:p>
      <w:pPr>
        <w:jc w:val="both"/>
        <w:ind w:left="340" w:hanging="332"/>
        <w:spacing w:after="0" w:line="263" w:lineRule="auto"/>
        <w:tabs>
          <w:tab w:leader="none" w:pos="490" w:val="left"/>
        </w:tabs>
        <w:numPr>
          <w:ilvl w:val="0"/>
          <w:numId w:val="2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Tax Withholding. </w:t>
      </w:r>
      <w:r>
        <w:rPr>
          <w:rFonts w:ascii="Times New Roman" w:cs="Times New Roman" w:eastAsia="Times New Roman" w:hAnsi="Times New Roman"/>
          <w:sz w:val="20"/>
          <w:szCs w:val="20"/>
          <w:color w:val="auto"/>
        </w:rPr>
        <w:t>As a condition of exercising this Option, I agree to make adequate provision for foreign, federal, state or other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 obligations, if any, which arise upon the grant, vesting or exercise of this Option, or disposition of the Purchased Shares, whether by withholding, direct payment to the Company, or otherwise.</w:t>
      </w:r>
    </w:p>
    <w:p>
      <w:pPr>
        <w:spacing w:after="0" w:line="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IMPORTANT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UNVESTED PURCHASED SHARES ARE SUBJECT TO REPURCHASE BY THE COMPANY. PLEASE CONSULT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YOUR TAX ADVISER CONCERNING THE ADVISABILITY OF FILING AN 83(b) ELECTION WITH THE INTERNAL REVENUE SERVICE WHICH MUST BE FILED WITHIN THIRTY (30) DAYS AFTER THE PURCHASE OF SHARES TO BE EFFECTIVE.</w:t>
      </w:r>
    </w:p>
    <w:p>
      <w:pPr>
        <w:spacing w:after="0" w:line="6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form of Election under Section 83(b) is attached hereto as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b w:val="1"/>
          <w:bCs w:val="1"/>
          <w:color w:val="auto"/>
        </w:rPr>
        <w:t xml:space="preserve"> for reference. Unless an 83(b) election is timely filed with the Internal Revenue Service (and, if necessary, the proper state taxing authorities), electing pursuant to Section 83(b) of the Internal Revenue Code (and similar state tax provisions, if applicable) to be taxed currently on any difference between the purchase price of the Unvested Purchased Shares and their fair market value on the date of purchase, there may be a recognition of taxable income (including, where applicable, alternative minimum taxable income) to you, measured by the excess, if any, of the Fair Market Value of the Unvested Purchased Shares at the time they cease to be Unvested Purchased Shares, over the purchase price of the Unvested Purchased Shares.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undersigned hereby executes and delivers this Stock Option Exercise Notice and Agreement and agrees to be bound by its terms</w:t>
      </w:r>
    </w:p>
    <w:p>
      <w:pPr>
        <w:spacing w:after="0" w:line="264" w:lineRule="exact"/>
        <w:rPr>
          <w:sz w:val="20"/>
          <w:szCs w:val="20"/>
          <w:color w:val="auto"/>
        </w:rPr>
      </w:pPr>
    </w:p>
    <w:p>
      <w:pPr>
        <w:ind w:left="820"/>
        <w:spacing w:after="0"/>
        <w:tabs>
          <w:tab w:leader="none" w:pos="6020" w:val="left"/>
        </w:tabs>
        <w:rPr>
          <w:sz w:val="20"/>
          <w:szCs w:val="20"/>
          <w:color w:val="auto"/>
        </w:rPr>
      </w:pPr>
      <w:r>
        <w:rPr>
          <w:rFonts w:ascii="Times New Roman" w:cs="Times New Roman" w:eastAsia="Times New Roman" w:hAnsi="Times New Roman"/>
          <w:sz w:val="20"/>
          <w:szCs w:val="20"/>
          <w:b w:val="1"/>
          <w:bCs w:val="1"/>
          <w:color w:val="auto"/>
        </w:rPr>
        <w:t>SIGNATURE:</w:t>
      </w:r>
      <w:r>
        <w:rPr>
          <w:sz w:val="20"/>
          <w:szCs w:val="20"/>
          <w:color w:val="auto"/>
        </w:rPr>
        <w:tab/>
      </w: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711200</wp:posOffset>
            </wp:positionV>
            <wp:extent cx="5572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72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Optionee’s Name:</w:t>
      </w: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Attachments: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Exhibit 1 </w:t>
      </w:r>
      <w:r>
        <w:rPr>
          <w:rFonts w:ascii="Times New Roman" w:cs="Times New Roman" w:eastAsia="Times New Roman" w:hAnsi="Times New Roman"/>
          <w:sz w:val="20"/>
          <w:szCs w:val="20"/>
          <w:color w:val="auto"/>
        </w:rPr>
        <w:t>– Section 83(b) Election Form</w:t>
      </w:r>
    </w:p>
    <w:p>
      <w:pPr>
        <w:spacing w:after="0" w:line="21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Signature Page to Stock Option Exercise Notice and Agreement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09" w:right="339" w:bottom="1440" w:gutter="0" w:footer="0" w:header="0"/>
        </w:sectPr>
      </w:pPr>
    </w:p>
    <w:bookmarkStart w:id="357" w:name="page358"/>
    <w:bookmarkEnd w:id="357"/>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2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b w:val="1"/>
          <w:bCs w:val="1"/>
          <w:u w:val="single" w:color="auto"/>
          <w:color w:val="auto"/>
        </w:rPr>
        <w:t>SECTION 83(b) ELECTION</w:t>
      </w:r>
    </w:p>
    <w:p>
      <w:pPr>
        <w:sectPr>
          <w:pgSz w:w="11900" w:h="16838" w:orient="portrait"/>
          <w:cols w:equalWidth="0" w:num="1">
            <w:col w:w="9019"/>
          </w:cols>
          <w:pgMar w:left="1440" w:top="1409" w:right="1440" w:bottom="1440" w:gutter="0" w:footer="0" w:header="0"/>
        </w:sectPr>
      </w:pPr>
    </w:p>
    <w:bookmarkStart w:id="358" w:name="page359"/>
    <w:bookmarkEnd w:id="358"/>
    <w:p>
      <w:pPr>
        <w:spacing w:after="0" w:line="19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ELECTION UNDER SECTION 83(b) OF THE</w:t>
      </w:r>
    </w:p>
    <w:p>
      <w:pPr>
        <w:spacing w:after="0" w:line="11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INTERNAL REVENUE CODE</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 (1) regular gross income; (2) alternative minimum taxable income; or (3) disqualifying disposition gross income, as the case may be.</w:t>
      </w:r>
    </w:p>
    <w:p>
      <w:pPr>
        <w:spacing w:after="0" w:line="2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TAXPAYER’S NAME:</w:t>
      </w:r>
    </w:p>
    <w:p>
      <w:pPr>
        <w:ind w:left="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4445</wp:posOffset>
            </wp:positionV>
            <wp:extent cx="38830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0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TAXPAYER’S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8830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4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27940</wp:posOffset>
            </wp:positionV>
            <wp:extent cx="3480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335" w:lineRule="exact"/>
        <w:rPr>
          <w:sz w:val="20"/>
          <w:szCs w:val="20"/>
          <w:color w:val="auto"/>
        </w:rPr>
      </w:pPr>
    </w:p>
    <w:p>
      <w:pPr>
        <w:ind w:left="660" w:hanging="652"/>
        <w:spacing w:after="0" w:line="252" w:lineRule="auto"/>
        <w:tabs>
          <w:tab w:leader="none" w:pos="42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property with respect to which the election is made is described as follows: ______________shares of Common Stock, par value $0.0001 per share, of Navan, Inc., a Delaware corporation (the “Company”), which were transferred upon exercise of an option by the Company, which is Taxpayer’s employer or the corporation for whom the Taxpayer performs services.</w:t>
      </w:r>
    </w:p>
    <w:p>
      <w:pPr>
        <w:spacing w:after="0" w:line="152"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shares were transferred was pursuant to the exercise of the option was ____________________,</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 and this election is made for calendar year ____.</w:t>
      </w:r>
    </w:p>
    <w:p>
      <w:pPr>
        <w:spacing w:after="0" w:line="168" w:lineRule="exact"/>
        <w:rPr>
          <w:rFonts w:ascii="Times New Roman" w:cs="Times New Roman" w:eastAsia="Times New Roman" w:hAnsi="Times New Roman"/>
          <w:sz w:val="22"/>
          <w:szCs w:val="22"/>
          <w:color w:val="auto"/>
        </w:rPr>
      </w:pPr>
    </w:p>
    <w:p>
      <w:pPr>
        <w:ind w:left="660" w:hanging="652"/>
        <w:spacing w:after="0" w:line="257" w:lineRule="auto"/>
        <w:tabs>
          <w:tab w:leader="none" w:pos="508"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are subject to the following restrictions: The Company may repurchase all or a portion of the shares at the Taxpayer’s original purchase price under certain conditions at the time of Taxpayer’s termination of employment or services.</w:t>
      </w:r>
    </w:p>
    <w:p>
      <w:pPr>
        <w:spacing w:after="0" w:line="132" w:lineRule="exact"/>
        <w:rPr>
          <w:rFonts w:ascii="Times New Roman" w:cs="Times New Roman" w:eastAsia="Times New Roman" w:hAnsi="Times New Roman"/>
          <w:sz w:val="22"/>
          <w:szCs w:val="22"/>
          <w:color w:val="auto"/>
        </w:rPr>
      </w:pPr>
    </w:p>
    <w:p>
      <w:pPr>
        <w:ind w:left="660" w:right="20" w:hanging="652"/>
        <w:spacing w:after="0" w:line="284" w:lineRule="auto"/>
        <w:tabs>
          <w:tab w:leader="none" w:pos="475"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shares (without regard to restrictions other than restrictions which by their terms will never lapse) was _______ per share x «Shares» shares = $_____________ at the time of exercise of the option.</w:t>
      </w:r>
    </w:p>
    <w:p>
      <w:pPr>
        <w:spacing w:after="0" w:line="103"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paid for such shares upon exercise of the option was $0.16 per share x _______________ shares =</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w:t>
      </w:r>
    </w:p>
    <w:p>
      <w:pPr>
        <w:spacing w:after="0" w:line="16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Taxpayer has submitted a copy of this statement to the Company.</w:t>
      </w:r>
    </w:p>
    <w:p>
      <w:pPr>
        <w:spacing w:after="0" w:line="179" w:lineRule="exact"/>
        <w:rPr>
          <w:rFonts w:ascii="Times New Roman" w:cs="Times New Roman" w:eastAsia="Times New Roman" w:hAnsi="Times New Roman"/>
          <w:sz w:val="22"/>
          <w:szCs w:val="22"/>
          <w:color w:val="auto"/>
        </w:rPr>
      </w:pPr>
    </w:p>
    <w:p>
      <w:pPr>
        <w:ind w:left="660" w:right="20" w:hanging="652"/>
        <w:spacing w:after="0" w:line="284" w:lineRule="auto"/>
        <w:tabs>
          <w:tab w:leader="none" w:pos="42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to include in gross income is $0.00. [The result of the amount reported in Item 5 minus the amount reported in Item 6.]</w:t>
      </w:r>
    </w:p>
    <w:p>
      <w:pPr>
        <w:spacing w:after="0" w:line="9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i w:val="1"/>
          <w:iCs w:val="1"/>
          <w:color w:val="auto"/>
        </w:rPr>
        <w:t>THIS ELECTION MUST BE FILED WITH THE INTERNAL REVENUE SERVICE (“</w:t>
      </w:r>
      <w:r>
        <w:rPr>
          <w:rFonts w:ascii="Times New Roman" w:cs="Times New Roman" w:eastAsia="Times New Roman" w:hAnsi="Times New Roman"/>
          <w:sz w:val="22"/>
          <w:szCs w:val="22"/>
          <w:b w:val="1"/>
          <w:bCs w:val="1"/>
          <w:i w:val="1"/>
          <w:iCs w:val="1"/>
          <w:color w:val="auto"/>
        </w:rPr>
        <w:t>IRS</w:t>
      </w:r>
      <w:r>
        <w:rPr>
          <w:rFonts w:ascii="Times New Roman" w:cs="Times New Roman" w:eastAsia="Times New Roman" w:hAnsi="Times New Roman"/>
          <w:sz w:val="22"/>
          <w:szCs w:val="22"/>
          <w:i w:val="1"/>
          <w:iCs w:val="1"/>
          <w:color w:val="auto"/>
        </w:rPr>
        <w:t xml:space="preserve">”), AT THE OFFICE WHERE THE TAXPAYER FILES ANNUAL INCOME TAX RETURNS, </w:t>
      </w:r>
      <w:r>
        <w:rPr>
          <w:rFonts w:ascii="Times New Roman" w:cs="Times New Roman" w:eastAsia="Times New Roman" w:hAnsi="Times New Roman"/>
          <w:sz w:val="22"/>
          <w:szCs w:val="22"/>
          <w:i w:val="1"/>
          <w:iCs w:val="1"/>
          <w:u w:val="single" w:color="auto"/>
          <w:color w:val="auto"/>
        </w:rPr>
        <w:t>WITHIN 30 DAYS</w:t>
      </w:r>
      <w:r>
        <w:rPr>
          <w:rFonts w:ascii="Times New Roman" w:cs="Times New Roman" w:eastAsia="Times New Roman" w:hAnsi="Times New Roman"/>
          <w:sz w:val="22"/>
          <w:szCs w:val="22"/>
          <w:i w:val="1"/>
          <w:iCs w:val="1"/>
          <w:color w:val="auto"/>
        </w:rPr>
        <w:t xml:space="preserve"> AFTER THE DATE OF TRANSFER OF THE SHARES, AND MUST ALSO BE FILED WITH THE TAXPAYER’S INCOME TAX RETURNS FOR THE</w:t>
      </w:r>
    </w:p>
    <w:p>
      <w:pPr>
        <w:sectPr>
          <w:pgSz w:w="11900" w:h="16838" w:orient="portrait"/>
          <w:cols w:equalWidth="0" w:num="1">
            <w:col w:w="11240"/>
          </w:cols>
          <w:pgMar w:left="320" w:top="1440" w:right="33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21"/>
          <w:szCs w:val="21"/>
          <w:i w:val="1"/>
          <w:iCs w:val="1"/>
          <w:color w:val="auto"/>
        </w:rPr>
        <w:t>CALENDAR YEAR. THE ELECTION CANNOT BE REVOKED WITHOUT THE CONSENT OF THE IRS.</w:t>
      </w:r>
    </w:p>
    <w:p>
      <w:pPr>
        <w:spacing w:after="0" w:line="3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27940</wp:posOffset>
            </wp:positionV>
            <wp:extent cx="57861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spacing w:after="0" w:line="5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Taxpayer’s Signature</w:t>
      </w:r>
    </w:p>
    <w:p>
      <w:pPr>
        <w:sectPr>
          <w:pgSz w:w="11900" w:h="16838" w:orient="portrait"/>
          <w:cols w:equalWidth="0" w:num="1">
            <w:col w:w="10139"/>
          </w:cols>
          <w:pgMar w:left="320" w:top="1418" w:right="1440" w:bottom="1440" w:gutter="0" w:footer="0" w:header="0"/>
        </w:sectPr>
      </w:pPr>
    </w:p>
    <w:bookmarkStart w:id="360" w:name="page361"/>
    <w:bookmarkEnd w:id="360"/>
    <w:p>
      <w:pPr>
        <w:jc w:val="center"/>
        <w:spacing w:after="0"/>
        <w:rPr>
          <w:sz w:val="20"/>
          <w:szCs w:val="20"/>
          <w:color w:val="auto"/>
        </w:rPr>
      </w:pPr>
      <w:r>
        <w:rPr>
          <w:rFonts w:ascii="Times New Roman" w:cs="Times New Roman" w:eastAsia="Times New Roman" w:hAnsi="Times New Roman"/>
          <w:sz w:val="20"/>
          <w:szCs w:val="20"/>
          <w:b w:val="1"/>
          <w:bCs w:val="1"/>
          <w:color w:val="auto"/>
        </w:rPr>
        <w:t>NOTICE OF STOCK OPTION GRANT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INTERNATIONAL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Optionee named below (“</w:t>
      </w:r>
      <w:r>
        <w:rPr>
          <w:rFonts w:ascii="Times New Roman" w:cs="Times New Roman" w:eastAsia="Times New Roman" w:hAnsi="Times New Roman"/>
          <w:sz w:val="20"/>
          <w:szCs w:val="20"/>
          <w:b w:val="1"/>
          <w:bCs w:val="1"/>
          <w:i w:val="1"/>
          <w:iCs w:val="1"/>
          <w:color w:val="auto"/>
        </w:rPr>
        <w:t>Optionee</w:t>
      </w:r>
      <w:r>
        <w:rPr>
          <w:rFonts w:ascii="Times New Roman" w:cs="Times New Roman" w:eastAsia="Times New Roman" w:hAnsi="Times New Roman"/>
          <w:sz w:val="20"/>
          <w:szCs w:val="20"/>
          <w:color w:val="auto"/>
        </w:rPr>
        <w:t>”) has been granted an option (this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to purchase shares of Common Stock, US$0.0001 par value per share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of Navan,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the Company’s 2015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on the terms, and subject to the conditions, described below and in the Stock Option Agreement attached hereto as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including its annexes (the “</w:t>
      </w:r>
      <w:r>
        <w:rPr>
          <w:rFonts w:ascii="Times New Roman" w:cs="Times New Roman" w:eastAsia="Times New Roman" w:hAnsi="Times New Roman"/>
          <w:sz w:val="20"/>
          <w:szCs w:val="20"/>
          <w:b w:val="1"/>
          <w:bCs w:val="1"/>
          <w:i w:val="1"/>
          <w:iCs w:val="1"/>
          <w:color w:val="auto"/>
        </w:rPr>
        <w:t>Stock Option Agreement</w:t>
      </w:r>
      <w:r>
        <w:rPr>
          <w:rFonts w:ascii="Times New Roman" w:cs="Times New Roman" w:eastAsia="Times New Roman" w:hAnsi="Times New Roman"/>
          <w:sz w:val="20"/>
          <w:szCs w:val="20"/>
          <w:color w:val="auto"/>
        </w:rPr>
        <w:t xml:space="preserve">”), and for any non-U.S. Optionees, the additional or replacement terms set forth in the </w:t>
      </w:r>
      <w:r>
        <w:rPr>
          <w:rFonts w:ascii="Times New Roman" w:cs="Times New Roman" w:eastAsia="Times New Roman" w:hAnsi="Times New Roman"/>
          <w:sz w:val="20"/>
          <w:szCs w:val="20"/>
          <w:b w:val="1"/>
          <w:bCs w:val="1"/>
          <w:u w:val="single" w:color="auto"/>
          <w:color w:val="auto"/>
        </w:rPr>
        <w:t>Addendum</w:t>
      </w:r>
      <w:r>
        <w:rPr>
          <w:rFonts w:ascii="Times New Roman" w:cs="Times New Roman" w:eastAsia="Times New Roman" w:hAnsi="Times New Roman"/>
          <w:sz w:val="20"/>
          <w:szCs w:val="20"/>
          <w:color w:val="auto"/>
        </w:rPr>
        <w:t xml:space="preserve"> to the Stock Option Agreement.</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Optionee:</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Maximum Number of Shares Subject</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to this Option (the “</w:t>
      </w:r>
      <w:r>
        <w:rPr>
          <w:rFonts w:ascii="Arial" w:cs="Arial" w:eastAsia="Arial" w:hAnsi="Arial"/>
          <w:sz w:val="20"/>
          <w:szCs w:val="20"/>
          <w:b w:val="1"/>
          <w:bCs w:val="1"/>
          <w:i w:val="1"/>
          <w:iCs w:val="1"/>
          <w:color w:val="auto"/>
        </w:rPr>
        <w:t>Shares</w:t>
      </w:r>
      <w:r>
        <w:rPr>
          <w:rFonts w:ascii="Arial" w:cs="Arial" w:eastAsia="Arial" w:hAnsi="Arial"/>
          <w:sz w:val="20"/>
          <w:szCs w:val="20"/>
          <w:b w:val="1"/>
          <w:bCs w:val="1"/>
          <w:color w:val="auto"/>
        </w:rPr>
        <w:t>”):</w:t>
      </w:r>
    </w:p>
    <w:p>
      <w:pPr>
        <w:spacing w:after="0" w:line="236"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040" w:type="dxa"/>
            <w:vAlign w:val="bottom"/>
          </w:tcPr>
          <w:p>
            <w:pPr>
              <w:spacing w:after="0"/>
              <w:rPr>
                <w:sz w:val="20"/>
                <w:szCs w:val="20"/>
                <w:color w:val="auto"/>
              </w:rPr>
            </w:pPr>
            <w:r>
              <w:rPr>
                <w:rFonts w:ascii="Arial" w:cs="Arial" w:eastAsia="Arial" w:hAnsi="Arial"/>
                <w:sz w:val="20"/>
                <w:szCs w:val="20"/>
                <w:b w:val="1"/>
                <w:bCs w:val="1"/>
                <w:color w:val="auto"/>
              </w:rPr>
              <w:t>Exercise Price Per Share:</w:t>
            </w:r>
          </w:p>
        </w:tc>
        <w:tc>
          <w:tcPr>
            <w:tcW w:w="7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20"/>
                <w:szCs w:val="20"/>
                <w:b w:val="1"/>
                <w:bCs w:val="1"/>
                <w:color w:val="auto"/>
              </w:rPr>
              <w:t>Date of Grant:</w:t>
            </w:r>
          </w:p>
        </w:tc>
        <w:tc>
          <w:tcPr>
            <w:tcW w:w="7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20"/>
                <w:szCs w:val="20"/>
                <w:b w:val="1"/>
                <w:bCs w:val="1"/>
                <w:color w:val="auto"/>
              </w:rPr>
              <w:t>Vesting Start Date:</w:t>
            </w:r>
          </w:p>
        </w:tc>
        <w:tc>
          <w:tcPr>
            <w:tcW w:w="7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040" w:type="dxa"/>
            <w:vAlign w:val="bottom"/>
          </w:tcPr>
          <w:p>
            <w:pPr>
              <w:spacing w:after="0" w:line="205" w:lineRule="exact"/>
              <w:rPr>
                <w:sz w:val="20"/>
                <w:szCs w:val="20"/>
                <w:color w:val="auto"/>
              </w:rPr>
            </w:pPr>
            <w:r>
              <w:rPr>
                <w:rFonts w:ascii="Arial" w:cs="Arial" w:eastAsia="Arial" w:hAnsi="Arial"/>
                <w:sz w:val="20"/>
                <w:szCs w:val="20"/>
                <w:b w:val="1"/>
                <w:bCs w:val="1"/>
                <w:color w:val="auto"/>
              </w:rPr>
              <w:t>Exercise Schedule:</w:t>
            </w:r>
          </w:p>
        </w:tc>
        <w:tc>
          <w:tcPr>
            <w:tcW w:w="7980" w:type="dxa"/>
            <w:vAlign w:val="bottom"/>
          </w:tcPr>
          <w:p>
            <w:pPr>
              <w:ind w:left="620"/>
              <w:spacing w:after="0" w:line="205" w:lineRule="exact"/>
              <w:rPr>
                <w:sz w:val="20"/>
                <w:szCs w:val="20"/>
                <w:color w:val="auto"/>
              </w:rPr>
            </w:pPr>
            <w:r>
              <w:rPr>
                <w:rFonts w:ascii="Arial" w:cs="Arial" w:eastAsia="Arial" w:hAnsi="Arial"/>
                <w:sz w:val="20"/>
                <w:szCs w:val="20"/>
                <w:color w:val="auto"/>
              </w:rPr>
              <w:t>This Option will become exercisable during its term with respect to portions of the</w:t>
            </w:r>
          </w:p>
        </w:tc>
        <w:tc>
          <w:tcPr>
            <w:tcW w:w="0" w:type="dxa"/>
            <w:vAlign w:val="bottom"/>
          </w:tcPr>
          <w:p>
            <w:pPr>
              <w:spacing w:after="0"/>
              <w:rPr>
                <w:sz w:val="1"/>
                <w:szCs w:val="1"/>
                <w:color w:val="auto"/>
              </w:rPr>
            </w:pPr>
          </w:p>
        </w:tc>
      </w:tr>
      <w:tr>
        <w:trPr>
          <w:trHeight w:val="243"/>
        </w:trPr>
        <w:tc>
          <w:tcPr>
            <w:tcW w:w="3040" w:type="dxa"/>
            <w:vAlign w:val="bottom"/>
            <w:vMerge w:val="restart"/>
          </w:tcPr>
          <w:p>
            <w:pPr>
              <w:spacing w:after="0"/>
              <w:rPr>
                <w:sz w:val="20"/>
                <w:szCs w:val="20"/>
                <w:color w:val="auto"/>
              </w:rPr>
            </w:pPr>
            <w:r>
              <w:rPr>
                <w:rFonts w:ascii="Arial" w:cs="Arial" w:eastAsia="Arial" w:hAnsi="Arial"/>
                <w:sz w:val="20"/>
                <w:szCs w:val="20"/>
                <w:b w:val="1"/>
                <w:bCs w:val="1"/>
                <w:color w:val="auto"/>
              </w:rPr>
              <w:t>Expiration Date:</w:t>
            </w:r>
          </w:p>
        </w:tc>
        <w:tc>
          <w:tcPr>
            <w:tcW w:w="7980" w:type="dxa"/>
            <w:vAlign w:val="bottom"/>
          </w:tcPr>
          <w:p>
            <w:pPr>
              <w:ind w:left="620"/>
              <w:spacing w:after="0"/>
              <w:rPr>
                <w:sz w:val="20"/>
                <w:szCs w:val="20"/>
                <w:color w:val="auto"/>
              </w:rPr>
            </w:pPr>
            <w:r>
              <w:rPr>
                <w:rFonts w:ascii="Arial" w:cs="Arial" w:eastAsia="Arial" w:hAnsi="Arial"/>
                <w:sz w:val="20"/>
                <w:szCs w:val="20"/>
                <w:color w:val="auto"/>
              </w:rPr>
              <w:t>Shares in accordance with the Vesting Schedule set forth below.</w:t>
            </w:r>
          </w:p>
        </w:tc>
        <w:tc>
          <w:tcPr>
            <w:tcW w:w="0" w:type="dxa"/>
            <w:vAlign w:val="bottom"/>
          </w:tcPr>
          <w:p>
            <w:pPr>
              <w:spacing w:after="0"/>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7980" w:type="dxa"/>
            <w:vAlign w:val="bottom"/>
          </w:tcPr>
          <w:p>
            <w:pPr>
              <w:ind w:left="620"/>
              <w:spacing w:after="0" w:line="203" w:lineRule="exact"/>
              <w:rPr>
                <w:sz w:val="20"/>
                <w:szCs w:val="20"/>
                <w:color w:val="auto"/>
              </w:rPr>
            </w:pPr>
            <w:r>
              <w:rPr>
                <w:rFonts w:ascii="Arial" w:cs="Arial" w:eastAsia="Arial" w:hAnsi="Arial"/>
                <w:sz w:val="20"/>
                <w:szCs w:val="20"/>
                <w:color w:val="auto"/>
              </w:rPr>
              <w:t>The date ten (10) years after the Date of Grant set forth above, subject to earlier</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7980" w:type="dxa"/>
            <w:vAlign w:val="bottom"/>
          </w:tcPr>
          <w:p>
            <w:pPr>
              <w:ind w:left="620"/>
              <w:spacing w:after="0" w:line="203" w:lineRule="exact"/>
              <w:rPr>
                <w:sz w:val="20"/>
                <w:szCs w:val="20"/>
                <w:color w:val="auto"/>
              </w:rPr>
            </w:pPr>
            <w:r>
              <w:rPr>
                <w:rFonts w:ascii="Arial" w:cs="Arial" w:eastAsia="Arial" w:hAnsi="Arial"/>
                <w:sz w:val="20"/>
                <w:szCs w:val="20"/>
                <w:color w:val="auto"/>
              </w:rPr>
              <w:t>expiration in the event of Termination as provided in Section 3 of the Stock Option</w:t>
            </w:r>
          </w:p>
        </w:tc>
        <w:tc>
          <w:tcPr>
            <w:tcW w:w="0" w:type="dxa"/>
            <w:vAlign w:val="bottom"/>
          </w:tcPr>
          <w:p>
            <w:pPr>
              <w:spacing w:after="0"/>
              <w:rPr>
                <w:sz w:val="1"/>
                <w:szCs w:val="1"/>
                <w:color w:val="auto"/>
              </w:rPr>
            </w:pPr>
          </w:p>
        </w:tc>
      </w:tr>
      <w:tr>
        <w:trPr>
          <w:trHeight w:val="261"/>
        </w:trPr>
        <w:tc>
          <w:tcPr>
            <w:tcW w:w="3040" w:type="dxa"/>
            <w:vAlign w:val="bottom"/>
            <w:vMerge w:val="restart"/>
          </w:tcPr>
          <w:p>
            <w:pPr>
              <w:spacing w:after="0"/>
              <w:rPr>
                <w:sz w:val="20"/>
                <w:szCs w:val="20"/>
                <w:color w:val="auto"/>
              </w:rPr>
            </w:pPr>
            <w:r>
              <w:rPr>
                <w:rFonts w:ascii="Arial" w:cs="Arial" w:eastAsia="Arial" w:hAnsi="Arial"/>
                <w:sz w:val="20"/>
                <w:szCs w:val="20"/>
                <w:b w:val="1"/>
                <w:bCs w:val="1"/>
                <w:color w:val="auto"/>
              </w:rPr>
              <w:t>Tax Status of Option:</w:t>
            </w:r>
          </w:p>
        </w:tc>
        <w:tc>
          <w:tcPr>
            <w:tcW w:w="7980" w:type="dxa"/>
            <w:vAlign w:val="bottom"/>
          </w:tcPr>
          <w:p>
            <w:pPr>
              <w:ind w:left="620"/>
              <w:spacing w:after="0"/>
              <w:rPr>
                <w:sz w:val="20"/>
                <w:szCs w:val="20"/>
                <w:color w:val="auto"/>
              </w:rPr>
            </w:pPr>
            <w:r>
              <w:rPr>
                <w:rFonts w:ascii="Arial" w:cs="Arial" w:eastAsia="Arial" w:hAnsi="Arial"/>
                <w:sz w:val="20"/>
                <w:szCs w:val="20"/>
                <w:color w:val="auto"/>
              </w:rPr>
              <w:t>Agreement.</w:t>
            </w:r>
          </w:p>
        </w:tc>
        <w:tc>
          <w:tcPr>
            <w:tcW w:w="0" w:type="dxa"/>
            <w:vAlign w:val="bottom"/>
          </w:tcPr>
          <w:p>
            <w:pPr>
              <w:spacing w:after="0"/>
              <w:rPr>
                <w:sz w:val="1"/>
                <w:szCs w:val="1"/>
                <w:color w:val="auto"/>
              </w:rPr>
            </w:pPr>
          </w:p>
        </w:tc>
      </w:tr>
      <w:tr>
        <w:trPr>
          <w:trHeight w:val="236"/>
        </w:trPr>
        <w:tc>
          <w:tcPr>
            <w:tcW w:w="3040" w:type="dxa"/>
            <w:vAlign w:val="bottom"/>
            <w:vMerge w:val="continue"/>
          </w:tcPr>
          <w:p>
            <w:pPr>
              <w:spacing w:after="0"/>
              <w:rPr>
                <w:sz w:val="20"/>
                <w:szCs w:val="20"/>
                <w:color w:val="auto"/>
              </w:rPr>
            </w:pPr>
          </w:p>
        </w:tc>
        <w:tc>
          <w:tcPr>
            <w:tcW w:w="7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304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7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General; Agreement: </w:t>
      </w:r>
      <w:r>
        <w:rPr>
          <w:rFonts w:ascii="Times New Roman" w:cs="Times New Roman" w:eastAsia="Times New Roman" w:hAnsi="Times New Roman"/>
          <w:sz w:val="20"/>
          <w:szCs w:val="20"/>
          <w:color w:val="auto"/>
        </w:rPr>
        <w:t>By Optionee’s acceptance of this Option, Optionee and the Company agree that this Option is granted under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governed by this Notice of Stock Option Grant (this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acceptance of this Option,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w:t>
      </w:r>
    </w:p>
    <w:p>
      <w:pPr>
        <w:sectPr>
          <w:pgSz w:w="11900" w:h="16838" w:orient="portrait"/>
          <w:cols w:equalWidth="0" w:num="1">
            <w:col w:w="11240"/>
          </w:cols>
          <w:pgMar w:left="320" w:top="1409" w:right="339" w:bottom="1440" w:gutter="0" w:footer="0" w:header="0"/>
        </w:sectPr>
      </w:pPr>
    </w:p>
    <w:bookmarkStart w:id="361" w:name="page362"/>
    <w:bookmarkEnd w:id="361"/>
    <w:p>
      <w:pPr>
        <w:jc w:val="both"/>
        <w:spacing w:after="0" w:line="283" w:lineRule="auto"/>
        <w:rPr>
          <w:sz w:val="20"/>
          <w:szCs w:val="20"/>
          <w:color w:val="auto"/>
        </w:rPr>
      </w:pPr>
      <w:r>
        <w:rPr>
          <w:rFonts w:ascii="Times New Roman" w:cs="Times New Roman" w:eastAsia="Times New Roman" w:hAnsi="Times New Roman"/>
          <w:sz w:val="20"/>
          <w:szCs w:val="20"/>
          <w:color w:val="auto"/>
        </w:rPr>
        <w:t>there may be adverse tax consequences upon exercise of the Option or disposition of the Shares and that Optionee should consult a tax adviser prior to such exercise or disposition.</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Execution and Delivery: </w:t>
      </w:r>
      <w:r>
        <w:rPr>
          <w:rFonts w:ascii="Times New Roman" w:cs="Times New Roman" w:eastAsia="Times New Roman" w:hAnsi="Times New Roman"/>
          <w:sz w:val="20"/>
          <w:szCs w:val="20"/>
          <w:color w:val="auto"/>
        </w:rPr>
        <w:t>This Grant Notice may be executed and delivered electronically whether via the Company’s intranet or the Internet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site of a 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20"/>
          <w:szCs w:val="20"/>
          <w:b w:val="1"/>
          <w:bCs w:val="1"/>
          <w:i w:val="1"/>
          <w:iCs w:val="1"/>
          <w:color w:val="auto"/>
        </w:rPr>
        <w:t>701 Disclosures</w:t>
      </w:r>
      <w:r>
        <w:rPr>
          <w:rFonts w:ascii="Times New Roman" w:cs="Times New Roman" w:eastAsia="Times New Roman" w:hAnsi="Times New Roman"/>
          <w:sz w:val="20"/>
          <w:szCs w:val="20"/>
          <w:color w:val="auto"/>
        </w:rPr>
        <w:t>”), account statements, or other communications or information) whether via the Company’s intranet or the Internet site of such third party or via email or such other means of electronic delivery specified by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w:t>
      </w:r>
      <w:r>
        <w:rPr>
          <w:rFonts w:ascii="Times New Roman" w:cs="Times New Roman" w:eastAsia="Times New Roman" w:hAnsi="Times New Roman"/>
          <w:sz w:val="20"/>
          <w:szCs w:val="20"/>
          <w:color w:val="auto"/>
        </w:rPr>
        <w:t>: Exhibit A – Stock Option Agreement</w:t>
      </w:r>
    </w:p>
    <w:p>
      <w:pPr>
        <w:sectPr>
          <w:pgSz w:w="11900" w:h="16838" w:orient="portrait"/>
          <w:cols w:equalWidth="0" w:num="1">
            <w:col w:w="11240"/>
          </w:cols>
          <w:pgMar w:left="320" w:top="1413" w:right="339" w:bottom="1440" w:gutter="0" w:footer="0" w:header="0"/>
        </w:sectPr>
      </w:pPr>
    </w:p>
    <w:bookmarkStart w:id="362" w:name="page363"/>
    <w:bookmarkEnd w:id="362"/>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Option Agreement</w:t>
      </w:r>
    </w:p>
    <w:p>
      <w:pPr>
        <w:sectPr>
          <w:pgSz w:w="11900" w:h="16838" w:orient="portrait"/>
          <w:cols w:equalWidth="0" w:num="1">
            <w:col w:w="9019"/>
          </w:cols>
          <w:pgMar w:left="1440" w:top="1440" w:right="1440" w:bottom="1440" w:gutter="0" w:footer="0" w:header="0"/>
        </w:sectPr>
      </w:pPr>
    </w:p>
    <w:bookmarkStart w:id="363" w:name="page364"/>
    <w:bookmarkEnd w:id="363"/>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INTERNATIONAL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Stock Option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and entered into as of the date of grant (the “</w:t>
      </w:r>
      <w:r>
        <w:rPr>
          <w:rFonts w:ascii="Times New Roman" w:cs="Times New Roman" w:eastAsia="Times New Roman" w:hAnsi="Times New Roman"/>
          <w:sz w:val="20"/>
          <w:szCs w:val="20"/>
          <w:b w:val="1"/>
          <w:bCs w:val="1"/>
          <w:i w:val="1"/>
          <w:iCs w:val="1"/>
          <w:color w:val="auto"/>
        </w:rPr>
        <w:t>Date of Grant</w:t>
      </w:r>
      <w:r>
        <w:rPr>
          <w:rFonts w:ascii="Times New Roman" w:cs="Times New Roman" w:eastAsia="Times New Roman" w:hAnsi="Times New Roman"/>
          <w:sz w:val="20"/>
          <w:szCs w:val="20"/>
          <w:color w:val="auto"/>
        </w:rPr>
        <w:t>”) set forth on the Notice of Stock Option Grant attached as the facing page to this Agreement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by and between Navan,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optionee named on the Grant Notice (“</w:t>
      </w:r>
      <w:r>
        <w:rPr>
          <w:rFonts w:ascii="Times New Roman" w:cs="Times New Roman" w:eastAsia="Times New Roman" w:hAnsi="Times New Roman"/>
          <w:sz w:val="20"/>
          <w:szCs w:val="20"/>
          <w:b w:val="1"/>
          <w:bCs w:val="1"/>
          <w:i w:val="1"/>
          <w:iCs w:val="1"/>
          <w:color w:val="auto"/>
        </w:rPr>
        <w:t>Optionee</w:t>
      </w:r>
      <w:r>
        <w:rPr>
          <w:rFonts w:ascii="Times New Roman" w:cs="Times New Roman" w:eastAsia="Times New Roman" w:hAnsi="Times New Roman"/>
          <w:sz w:val="20"/>
          <w:szCs w:val="20"/>
          <w:color w:val="auto"/>
        </w:rPr>
        <w:t>”). Capitalized terms not defined in this Agreement shall have the meaning ascribed to them in the Company’s 2015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or in the Grant Notice, as applicable. This Agreement shall be subject to any additional or replacement terms and conditions set forth in the </w:t>
      </w:r>
      <w:r>
        <w:rPr>
          <w:rFonts w:ascii="Times New Roman" w:cs="Times New Roman" w:eastAsia="Times New Roman" w:hAnsi="Times New Roman"/>
          <w:sz w:val="20"/>
          <w:szCs w:val="20"/>
          <w:b w:val="1"/>
          <w:bCs w:val="1"/>
          <w:u w:val="single" w:color="auto"/>
          <w:color w:val="auto"/>
        </w:rPr>
        <w:t>Addendum</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656"/>
        <w:spacing w:after="0" w:line="254" w:lineRule="auto"/>
        <w:tabs>
          <w:tab w:leader="none" w:pos="994" w:val="left"/>
        </w:tabs>
        <w:numPr>
          <w:ilvl w:val="0"/>
          <w:numId w:val="2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GRANT OF OPTION. </w:t>
      </w:r>
      <w:r>
        <w:rPr>
          <w:rFonts w:ascii="Times New Roman" w:cs="Times New Roman" w:eastAsia="Times New Roman" w:hAnsi="Times New Roman"/>
          <w:sz w:val="20"/>
          <w:szCs w:val="20"/>
          <w:color w:val="auto"/>
        </w:rPr>
        <w:t>The Company hereby grants to Optionee an option (this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to purchase up to the total number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of the Company, US$0.0001 par value per share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set forth in the Grant Notice as the Shares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at the Exercise Price Per Share set forth in the Grant Notice (the “</w:t>
      </w:r>
      <w:r>
        <w:rPr>
          <w:rFonts w:ascii="Times New Roman" w:cs="Times New Roman" w:eastAsia="Times New Roman" w:hAnsi="Times New Roman"/>
          <w:sz w:val="20"/>
          <w:szCs w:val="20"/>
          <w:b w:val="1"/>
          <w:bCs w:val="1"/>
          <w:i w:val="1"/>
          <w:iCs w:val="1"/>
          <w:color w:val="auto"/>
        </w:rPr>
        <w:t>Exercise Price</w:t>
      </w:r>
      <w:r>
        <w:rPr>
          <w:rFonts w:ascii="Times New Roman" w:cs="Times New Roman" w:eastAsia="Times New Roman" w:hAnsi="Times New Roman"/>
          <w:sz w:val="20"/>
          <w:szCs w:val="20"/>
          <w:color w:val="auto"/>
        </w:rPr>
        <w:t>”), subject to all of the terms and conditions of the Grant Notice, this Agreement and the Plan. If designated as an Incentive Stock Option in the Grant Notice, this Option is intended to qualify as an incentive stock option (the “</w:t>
      </w:r>
      <w:r>
        <w:rPr>
          <w:rFonts w:ascii="Times New Roman" w:cs="Times New Roman" w:eastAsia="Times New Roman" w:hAnsi="Times New Roman"/>
          <w:sz w:val="20"/>
          <w:szCs w:val="20"/>
          <w:b w:val="1"/>
          <w:bCs w:val="1"/>
          <w:i w:val="1"/>
          <w:iCs w:val="1"/>
          <w:color w:val="auto"/>
        </w:rPr>
        <w:t>ISO</w:t>
      </w:r>
      <w:r>
        <w:rPr>
          <w:rFonts w:ascii="Times New Roman" w:cs="Times New Roman" w:eastAsia="Times New Roman" w:hAnsi="Times New Roman"/>
          <w:sz w:val="20"/>
          <w:szCs w:val="20"/>
          <w:color w:val="auto"/>
        </w:rPr>
        <w:t>”) within the meaning of Section 422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except that if on the Date of Grant Optionee is not subject to U.S. income tax, then this Option shall be a NQSO.</w:t>
      </w:r>
    </w:p>
    <w:p>
      <w:pPr>
        <w:spacing w:after="0" w:line="173"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2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EXERCISE PERIOD.</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2.1 </w:t>
      </w:r>
      <w:r>
        <w:rPr>
          <w:rFonts w:ascii="Times New Roman" w:cs="Times New Roman" w:eastAsia="Times New Roman" w:hAnsi="Times New Roman"/>
          <w:sz w:val="20"/>
          <w:szCs w:val="20"/>
          <w:b w:val="1"/>
          <w:bCs w:val="1"/>
          <w:u w:val="single" w:color="auto"/>
          <w:color w:val="auto"/>
        </w:rPr>
        <w:t>Exercise Period of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Option is considered to be “vested” with respect to any particular Shares when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is exercisable with respect to such Shares.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8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2.2 </w:t>
      </w:r>
      <w:r>
        <w:rPr>
          <w:rFonts w:ascii="Times New Roman" w:cs="Times New Roman" w:eastAsia="Times New Roman" w:hAnsi="Times New Roman"/>
          <w:sz w:val="20"/>
          <w:szCs w:val="20"/>
          <w:b w:val="1"/>
          <w:bCs w:val="1"/>
          <w:u w:val="single" w:color="auto"/>
          <w:color w:val="auto"/>
        </w:rPr>
        <w:t>Vesting of Option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with respect to which this Option is vested and exercisable at a given time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Vesting Schedule set forth in the Grant Notice are “</w:t>
      </w:r>
      <w:r>
        <w:rPr>
          <w:rFonts w:ascii="Times New Roman" w:cs="Times New Roman" w:eastAsia="Times New Roman" w:hAnsi="Times New Roman"/>
          <w:sz w:val="20"/>
          <w:szCs w:val="20"/>
          <w:b w:val="1"/>
          <w:bCs w:val="1"/>
          <w:i w:val="1"/>
          <w:iCs w:val="1"/>
          <w:color w:val="auto"/>
        </w:rPr>
        <w:t>Vested Shares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Shares with respect to which this Option is not vested and exercisable at a given time pursuant to the Vesting Schedule set forth in the Grant Notice are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Unvested Shares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p>
    <w:p>
      <w:pPr>
        <w:spacing w:after="0" w:line="162"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2.3 </w:t>
      </w:r>
      <w:r>
        <w:rPr>
          <w:rFonts w:ascii="Times New Roman" w:cs="Times New Roman" w:eastAsia="Times New Roman" w:hAnsi="Times New Roman"/>
          <w:sz w:val="20"/>
          <w:szCs w:val="20"/>
          <w:b w:val="1"/>
          <w:bCs w:val="1"/>
          <w:u w:val="single" w:color="auto"/>
          <w:color w:val="auto"/>
        </w:rPr>
        <w:t>Expiration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 shall expire on the Expiration Date set forth in the Grant Notice or earlier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3 below.</w:t>
      </w:r>
    </w:p>
    <w:p>
      <w:pPr>
        <w:spacing w:after="0" w:line="152"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TERMINATION.</w:t>
      </w:r>
    </w:p>
    <w:p>
      <w:pPr>
        <w:spacing w:after="0" w:line="21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Termination for Any Reason Except Death, Disability or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provided in subsection 3.2 in a case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Optionee dies within three (3) months after Optionee is Terminated other than for Cause, if Optionee is Terminated for any reason (other than Optionee’s death or</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258" w:lineRule="auto"/>
        <w:rPr>
          <w:sz w:val="20"/>
          <w:szCs w:val="20"/>
          <w:color w:val="auto"/>
        </w:rPr>
      </w:pPr>
      <w:r>
        <w:rPr>
          <w:rFonts w:ascii="Times New Roman" w:cs="Times New Roman" w:eastAsia="Times New Roman" w:hAnsi="Times New Roman"/>
          <w:sz w:val="20"/>
          <w:szCs w:val="20"/>
          <w:color w:val="auto"/>
        </w:rPr>
        <w:t>Disability or for Cause), then (a) on and after Optionee’s Termination Date, this Option shall expire immediately with respect to any Shares that are Unvested Shares and may not be exercised with respect to any Shares that are Unvested Shares on Optionee’s Termination Date and</w:t>
      </w:r>
    </w:p>
    <w:p>
      <w:pPr>
        <w:jc w:val="both"/>
        <w:ind w:right="20" w:firstLine="8"/>
        <w:spacing w:after="0" w:line="249" w:lineRule="auto"/>
        <w:tabs>
          <w:tab w:leader="none" w:pos="285"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Option to the extent (and only to the extent) that it is exercisable with respect to Vested Shares on Optionee’s Termination Date, may be exercised by Optionee no later than three (3) months after Optionee’s Termination Date (but in no event may this Option be exercised after the Expiration Date).</w:t>
      </w:r>
    </w:p>
    <w:p>
      <w:pPr>
        <w:spacing w:after="0" w:line="19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Termination Because of Death or Disability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Optionee is Terminated because of Optionee’s death or Disability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Optionee dies within three (3) 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3.3 </w:t>
      </w:r>
      <w:r>
        <w:rPr>
          <w:rFonts w:ascii="Times New Roman" w:cs="Times New Roman" w:eastAsia="Times New Roman" w:hAnsi="Times New Roman"/>
          <w:sz w:val="20"/>
          <w:szCs w:val="20"/>
          <w:b w:val="1"/>
          <w:bCs w:val="1"/>
          <w:u w:val="single" w:color="auto"/>
          <w:color w:val="auto"/>
        </w:rPr>
        <w:t>Termination for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Optionee is Terminated for Cause, then Optionee may exercise this Option, but only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any 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187"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3.4 </w:t>
      </w:r>
      <w:r>
        <w:rPr>
          <w:rFonts w:ascii="Times New Roman" w:cs="Times New Roman" w:eastAsia="Times New Roman" w:hAnsi="Times New Roman"/>
          <w:sz w:val="20"/>
          <w:szCs w:val="20"/>
          <w:b w:val="1"/>
          <w:bCs w:val="1"/>
          <w:u w:val="single" w:color="auto"/>
          <w:color w:val="auto"/>
        </w:rPr>
        <w:t>No Obligation to Employ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in the Plan or this Agreement shall confer on Optionee any right to continue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 of, or 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64"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MANNER OF EXERCISE.</w:t>
      </w:r>
    </w:p>
    <w:p>
      <w:pPr>
        <w:spacing w:after="0" w:line="22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4.1 </w:t>
      </w:r>
      <w:r>
        <w:rPr>
          <w:rFonts w:ascii="Times New Roman" w:cs="Times New Roman" w:eastAsia="Times New Roman" w:hAnsi="Times New Roman"/>
          <w:sz w:val="19"/>
          <w:szCs w:val="19"/>
          <w:b w:val="1"/>
          <w:bCs w:val="1"/>
          <w:u w:val="single" w:color="auto"/>
          <w:color w:val="auto"/>
        </w:rPr>
        <w:t>Stock Option Exercise Notice and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exercise this Option, Optionee (or in the case of exercise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Optionee’s death or incapacity, Optionee’s executor, administrator, heir or legatee, as the case may be) must deliver to the Company an executed Stock Option Exercise Notice and Agreement in the form attached hereto as </w:t>
      </w:r>
      <w:r>
        <w:rPr>
          <w:rFonts w:ascii="Times New Roman" w:cs="Times New Roman" w:eastAsia="Times New Roman" w:hAnsi="Times New Roman"/>
          <w:sz w:val="19"/>
          <w:szCs w:val="19"/>
          <w:b w:val="1"/>
          <w:bCs w:val="1"/>
          <w:u w:val="single" w:color="auto"/>
          <w:color w:val="auto"/>
        </w:rPr>
        <w:t>Annex A</w:t>
      </w:r>
      <w:r>
        <w:rPr>
          <w:rFonts w:ascii="Times New Roman" w:cs="Times New Roman" w:eastAsia="Times New Roman" w:hAnsi="Times New Roman"/>
          <w:sz w:val="19"/>
          <w:szCs w:val="19"/>
          <w:color w:val="auto"/>
        </w:rPr>
        <w:t>, or in such other form as may be approved by the Committee from time to time (the “</w:t>
      </w:r>
      <w:r>
        <w:rPr>
          <w:rFonts w:ascii="Times New Roman" w:cs="Times New Roman" w:eastAsia="Times New Roman" w:hAnsi="Times New Roman"/>
          <w:sz w:val="19"/>
          <w:szCs w:val="19"/>
          <w:b w:val="1"/>
          <w:bCs w:val="1"/>
          <w:i w:val="1"/>
          <w:iCs w:val="1"/>
          <w:color w:val="auto"/>
        </w:rPr>
        <w:t>Exercise Agreement</w:t>
      </w:r>
      <w:r>
        <w:rPr>
          <w:rFonts w:ascii="Times New Roman" w:cs="Times New Roman" w:eastAsia="Times New Roman" w:hAnsi="Times New Roman"/>
          <w:sz w:val="19"/>
          <w:szCs w:val="19"/>
          <w:color w:val="auto"/>
        </w:rPr>
        <w:t>”) and payment for the shares being purchased in accordance with this Agreement. The Exercise Agreement shall set forth, among other things, (i) 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and</w:t>
      </w:r>
    </w:p>
    <w:p>
      <w:pPr>
        <w:spacing w:after="0" w:line="4" w:lineRule="exact"/>
        <w:rPr>
          <w:sz w:val="20"/>
          <w:szCs w:val="20"/>
          <w:color w:val="auto"/>
        </w:rPr>
      </w:pPr>
    </w:p>
    <w:p>
      <w:pPr>
        <w:ind w:firstLine="8"/>
        <w:spacing w:after="0" w:line="267" w:lineRule="auto"/>
        <w:tabs>
          <w:tab w:leader="none" w:pos="354"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agreements required by the Company. If someone other than Optionee exercises this Option, then such person must submit documentation reasonably</w:t>
      </w:r>
    </w:p>
    <w:p>
      <w:pPr>
        <w:sectPr>
          <w:pgSz w:w="11900" w:h="16838" w:orient="portrait"/>
          <w:cols w:equalWidth="0" w:num="1">
            <w:col w:w="11240"/>
          </w:cols>
          <w:pgMar w:left="320" w:top="1413" w:right="339" w:bottom="1440" w:gutter="0" w:footer="0" w:header="0"/>
        </w:sectPr>
      </w:pPr>
    </w:p>
    <w:bookmarkStart w:id="365" w:name="page366"/>
    <w:bookmarkEnd w:id="365"/>
    <w:p>
      <w:pPr>
        <w:spacing w:after="0" w:line="283" w:lineRule="auto"/>
        <w:rPr>
          <w:sz w:val="20"/>
          <w:szCs w:val="20"/>
          <w:color w:val="auto"/>
        </w:rPr>
      </w:pPr>
      <w:r>
        <w:rPr>
          <w:rFonts w:ascii="Times New Roman" w:cs="Times New Roman" w:eastAsia="Times New Roman" w:hAnsi="Times New Roman"/>
          <w:sz w:val="20"/>
          <w:szCs w:val="20"/>
          <w:color w:val="auto"/>
        </w:rPr>
        <w:t>acceptable to the Company verifying that such person has the legal right to exercise this Option and such person shall be subject to all of the restrictions contained herein as if such person were Optionee.</w:t>
      </w:r>
    </w:p>
    <w:p>
      <w:pPr>
        <w:spacing w:after="0" w:line="142"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Limitations on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Option may not be exercised unless such exercise is in compliance with all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federal and state securities laws, as they are in effect on the date of exercise.</w:t>
      </w:r>
    </w:p>
    <w:p>
      <w:pPr>
        <w:spacing w:after="0" w:line="138"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Exercise Agreement shall be accompanied by full payment of the Exercise Price for the shares being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purchased in cash (by check, Automated Clearing House (“</w:t>
      </w:r>
      <w:r>
        <w:rPr>
          <w:rFonts w:ascii="Times New Roman" w:cs="Times New Roman" w:eastAsia="Times New Roman" w:hAnsi="Times New Roman"/>
          <w:sz w:val="20"/>
          <w:szCs w:val="20"/>
          <w:b w:val="1"/>
          <w:bCs w:val="1"/>
          <w:i w:val="1"/>
          <w:iCs w:val="1"/>
          <w:color w:val="auto"/>
        </w:rPr>
        <w:t>ACH</w:t>
      </w:r>
      <w:r>
        <w:rPr>
          <w:rFonts w:ascii="Times New Roman" w:cs="Times New Roman" w:eastAsia="Times New Roman" w:hAnsi="Times New Roman"/>
          <w:sz w:val="20"/>
          <w:szCs w:val="20"/>
          <w:color w:val="auto"/>
        </w:rPr>
        <w:t>”) transfer, or wire transfer), or where permitted by law:</w:t>
      </w:r>
    </w:p>
    <w:p>
      <w:pPr>
        <w:spacing w:after="0" w:line="156" w:lineRule="exact"/>
        <w:rPr>
          <w:sz w:val="20"/>
          <w:szCs w:val="20"/>
          <w:color w:val="auto"/>
        </w:rPr>
      </w:pPr>
    </w:p>
    <w:p>
      <w:pPr>
        <w:ind w:left="2380" w:hanging="428"/>
        <w:spacing w:after="0"/>
        <w:tabs>
          <w:tab w:leader="none" w:pos="2380" w:val="left"/>
        </w:tabs>
        <w:numPr>
          <w:ilvl w:val="1"/>
          <w:numId w:val="2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cancellation of indebtedness of the Company owed to Optionee;</w:t>
      </w:r>
    </w:p>
    <w:p>
      <w:pPr>
        <w:spacing w:after="0" w:line="215" w:lineRule="exact"/>
        <w:rPr>
          <w:rFonts w:ascii="Times New Roman" w:cs="Times New Roman" w:eastAsia="Times New Roman" w:hAnsi="Times New Roman"/>
          <w:sz w:val="20"/>
          <w:szCs w:val="20"/>
          <w:b w:val="1"/>
          <w:bCs w:val="1"/>
          <w:color w:val="auto"/>
        </w:rPr>
      </w:pPr>
    </w:p>
    <w:p>
      <w:pPr>
        <w:jc w:val="both"/>
        <w:ind w:firstLine="1952"/>
        <w:spacing w:after="0" w:line="254" w:lineRule="auto"/>
        <w:tabs>
          <w:tab w:leader="none" w:pos="2411" w:val="left"/>
        </w:tabs>
        <w:numPr>
          <w:ilvl w:val="1"/>
          <w:numId w:val="2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w:t>
      </w:r>
    </w:p>
    <w:p>
      <w:pPr>
        <w:ind w:left="300" w:hanging="292"/>
        <w:spacing w:after="0"/>
        <w:tabs>
          <w:tab w:leader="none" w:pos="30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were obtained by Optionee in the public market;</w:t>
      </w:r>
    </w:p>
    <w:p>
      <w:pPr>
        <w:spacing w:after="0" w:line="213"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participating in a formal cashless exercise program implemented by the Committee in connection with the</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Plan;</w:t>
      </w:r>
    </w:p>
    <w:p>
      <w:pPr>
        <w:spacing w:after="0" w:line="207" w:lineRule="exact"/>
        <w:rPr>
          <w:rFonts w:ascii="Times New Roman" w:cs="Times New Roman" w:eastAsia="Times New Roman" w:hAnsi="Times New Roman"/>
          <w:sz w:val="20"/>
          <w:szCs w:val="20"/>
          <w:b w:val="1"/>
          <w:bCs w:val="1"/>
          <w:color w:val="auto"/>
        </w:rPr>
      </w:pPr>
    </w:p>
    <w:p>
      <w:pPr>
        <w:jc w:val="both"/>
        <w:ind w:firstLine="1952"/>
        <w:spacing w:after="0" w:line="258" w:lineRule="auto"/>
        <w:tabs>
          <w:tab w:leader="none" w:pos="2411" w:val="left"/>
        </w:tabs>
        <w:numPr>
          <w:ilvl w:val="1"/>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provided that a public market for the Common Stock exists and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172" w:lineRule="exact"/>
        <w:rPr>
          <w:rFonts w:ascii="Times New Roman" w:cs="Times New Roman" w:eastAsia="Times New Roman" w:hAnsi="Times New Roman"/>
          <w:sz w:val="20"/>
          <w:szCs w:val="20"/>
          <w:b w:val="1"/>
          <w:bCs w:val="1"/>
          <w:color w:val="auto"/>
        </w:rPr>
      </w:pPr>
    </w:p>
    <w:p>
      <w:pPr>
        <w:ind w:right="20" w:firstLine="1952"/>
        <w:spacing w:after="0" w:line="283" w:lineRule="auto"/>
        <w:tabs>
          <w:tab w:leader="none" w:pos="2510" w:val="left"/>
        </w:tabs>
        <w:numPr>
          <w:ilvl w:val="1"/>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any combination of the foregoing or any other method of payment approved by the Committee that constitutes legal consideration for the issuance of Shares.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avoidance of uncertainty: ACH transfers that have been successfully received by the Company into its bank account designated via carta.com for receipt of such transfers shall be deemed to have been received for all purposes of this Option as of the date on which such transfers were initiated from the Optionee’s account and made irrevocable by Optionee.</w:t>
      </w:r>
    </w:p>
    <w:p>
      <w:pPr>
        <w:spacing w:after="0" w:line="17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4.4 </w:t>
      </w: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to the issuance of the Shares upon exercise of the Option, Optionee must pay the maximum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 requirements as to income tax, social insurance, payroll tax, fringe benefits tax, payment on account and other tax-related obligations (collectively, “</w:t>
      </w:r>
      <w:r>
        <w:rPr>
          <w:rFonts w:ascii="Times New Roman" w:cs="Times New Roman" w:eastAsia="Times New Roman" w:hAnsi="Times New Roman"/>
          <w:sz w:val="20"/>
          <w:szCs w:val="20"/>
          <w:b w:val="1"/>
          <w:bCs w:val="1"/>
          <w:i w:val="1"/>
          <w:iCs w:val="1"/>
          <w:color w:val="auto"/>
        </w:rPr>
        <w:t>Tax-Related Obligations</w:t>
      </w:r>
      <w:r>
        <w:rPr>
          <w:rFonts w:ascii="Times New Roman" w:cs="Times New Roman" w:eastAsia="Times New Roman" w:hAnsi="Times New Roman"/>
          <w:sz w:val="20"/>
          <w:szCs w:val="20"/>
          <w:color w:val="auto"/>
        </w:rPr>
        <w:t>”) of the Company. If the Committee permits, Optionee may provide for payment of withholding taxes upon exercise of the Option by requesting that the Company retain up to the maximum Tax-Related Obligations in the Optionee’s applicable jurisdictions number of Shares having a Fair Market Value equal to the maximum Tax-Related Obligations in the Optionee’s applicable jurisdictions required to be withheld; or to arrange a mandatory “sell to cover” on Participant’s behalf (without further authorization); but in no event will the Company withhold Shares or “sell to cover” if such withholding would result in adverse accounting or compliance consequences to the Company. The maximum Tax-Related Obligations are based on the applicable rates of the relevant tax authorities (for example, federal, state and local), including the Optionee’s share of payroll or similar taxes, as provided in the tax law, regulations or the authority’s administrative practices, not to exceed the</w:t>
      </w:r>
    </w:p>
    <w:p>
      <w:pPr>
        <w:sectPr>
          <w:pgSz w:w="11900" w:h="16838" w:orient="portrait"/>
          <w:cols w:equalWidth="0" w:num="1">
            <w:col w:w="11240"/>
          </w:cols>
          <w:pgMar w:left="320" w:top="1413" w:right="339" w:bottom="1440" w:gutter="0" w:footer="0" w:header="0"/>
        </w:sectPr>
      </w:pPr>
    </w:p>
    <w:bookmarkStart w:id="366" w:name="page367"/>
    <w:bookmarkEnd w:id="366"/>
    <w:p>
      <w:pPr>
        <w:jc w:val="both"/>
        <w:spacing w:after="0" w:line="283" w:lineRule="auto"/>
        <w:rPr>
          <w:sz w:val="20"/>
          <w:szCs w:val="20"/>
          <w:color w:val="auto"/>
        </w:rPr>
      </w:pPr>
      <w:r>
        <w:rPr>
          <w:rFonts w:ascii="Times New Roman" w:cs="Times New Roman" w:eastAsia="Times New Roman" w:hAnsi="Times New Roman"/>
          <w:sz w:val="20"/>
          <w:szCs w:val="20"/>
          <w:color w:val="auto"/>
        </w:rPr>
        <w:t>highest statutory rate in the jurisdiction. In case of stock withholding or a sell to cover, the Company shall issue the net number of Shares to Optionee by deducting the Shares retained from the Shares issuable upon exercise.</w:t>
      </w:r>
    </w:p>
    <w:p>
      <w:pPr>
        <w:spacing w:after="0" w:line="14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4.5 </w:t>
      </w:r>
      <w:r>
        <w:rPr>
          <w:rFonts w:ascii="Times New Roman" w:cs="Times New Roman" w:eastAsia="Times New Roman" w:hAnsi="Times New Roman"/>
          <w:sz w:val="20"/>
          <w:szCs w:val="20"/>
          <w:b w:val="1"/>
          <w:bCs w:val="1"/>
          <w:u w:val="single" w:color="auto"/>
          <w:color w:val="auto"/>
        </w:rPr>
        <w:t>Issuance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that the Exercise Agreement and payment are in form and substance satisfactory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counsel for the Company, the Company shall issue the Shares issuable upon a valid exercise of this Option registered in the name of Optionee, Optionee’s authorized assignee, or Optionee’s legal representative, and shall deliver electronic certificates via welcome@carta.com representing the Shares with the appropriate legends affixed thereto.</w:t>
      </w:r>
    </w:p>
    <w:p>
      <w:pPr>
        <w:spacing w:after="0" w:line="178"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COMPLIANCE WITH LAWS AND REGULATIONS.</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and this Agreement are intended to comply with Section 25102(o) and Rule 701. Any provision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73"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5.2 </w:t>
      </w:r>
      <w:r>
        <w:rPr>
          <w:rFonts w:ascii="Times New Roman" w:cs="Times New Roman" w:eastAsia="Times New Roman" w:hAnsi="Times New Roman"/>
          <w:sz w:val="20"/>
          <w:szCs w:val="20"/>
          <w:b w:val="1"/>
          <w:bCs w:val="1"/>
          <w:u w:val="single" w:color="auto"/>
          <w:color w:val="auto"/>
        </w:rPr>
        <w:t>Non-U.S. Optionees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Optionee’s country of residence is other than the United States, Optionee makes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representations, warranties and agreements:</w:t>
      </w:r>
    </w:p>
    <w:p>
      <w:pPr>
        <w:spacing w:after="0" w:line="156" w:lineRule="exact"/>
        <w:rPr>
          <w:sz w:val="20"/>
          <w:szCs w:val="20"/>
          <w:color w:val="auto"/>
        </w:rPr>
      </w:pPr>
    </w:p>
    <w:p>
      <w:pPr>
        <w:jc w:val="both"/>
        <w:ind w:firstLine="1952"/>
        <w:spacing w:after="0" w:line="254" w:lineRule="auto"/>
        <w:tabs>
          <w:tab w:leader="none" w:pos="2372" w:val="left"/>
        </w:tabs>
        <w:numPr>
          <w:ilvl w:val="1"/>
          <w:numId w:val="2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is not a U.S. Person as defined in Rule 902(k) of Regulation S under the Securities Act. The offer and sale of the Shares to such Optionee was made in an offshore transaction (as defined in Rule 902(h) of Regulation S), no directed selling efforts (as defined in Rule 902(c) of Regulation S) were made in the United States, and the Optionee is not acquiring the Shares for the account or benefit of any U.S. Person.</w:t>
      </w:r>
    </w:p>
    <w:p>
      <w:pPr>
        <w:spacing w:after="0" w:line="187" w:lineRule="exact"/>
        <w:rPr>
          <w:rFonts w:ascii="Times New Roman" w:cs="Times New Roman" w:eastAsia="Times New Roman" w:hAnsi="Times New Roman"/>
          <w:sz w:val="20"/>
          <w:szCs w:val="20"/>
          <w:b w:val="1"/>
          <w:bCs w:val="1"/>
          <w:color w:val="auto"/>
        </w:rPr>
      </w:pPr>
    </w:p>
    <w:p>
      <w:pPr>
        <w:jc w:val="both"/>
        <w:ind w:firstLine="1952"/>
        <w:spacing w:after="0" w:line="258" w:lineRule="auto"/>
        <w:tabs>
          <w:tab w:leader="none" w:pos="2478" w:val="left"/>
        </w:tabs>
        <w:numPr>
          <w:ilvl w:val="1"/>
          <w:numId w:val="2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will not, during the Restricted Period applicable to the Shares included in the legend set forth in Section 23.4 below (the “</w:t>
      </w:r>
      <w:r>
        <w:rPr>
          <w:rFonts w:ascii="Times New Roman" w:cs="Times New Roman" w:eastAsia="Times New Roman" w:hAnsi="Times New Roman"/>
          <w:sz w:val="20"/>
          <w:szCs w:val="20"/>
          <w:b w:val="1"/>
          <w:bCs w:val="1"/>
          <w:i w:val="1"/>
          <w:iCs w:val="1"/>
          <w:color w:val="auto"/>
        </w:rPr>
        <w:t>Restricted Period</w:t>
      </w:r>
      <w:r>
        <w:rPr>
          <w:rFonts w:ascii="Times New Roman" w:cs="Times New Roman" w:eastAsia="Times New Roman" w:hAnsi="Times New Roman"/>
          <w:sz w:val="20"/>
          <w:szCs w:val="20"/>
          <w:color w:val="auto"/>
        </w:rPr>
        <w:t>”) and on any certificate representing the Shares, offer or sell any of the foregoing securities (or create or maintain any derivative position equivalent thereto) in the United States, to or for the account or benefit of a U.S. Person or other than in accordance with Regulation S.</w:t>
      </w:r>
    </w:p>
    <w:p>
      <w:pPr>
        <w:spacing w:after="0" w:line="172" w:lineRule="exact"/>
        <w:rPr>
          <w:rFonts w:ascii="Times New Roman" w:cs="Times New Roman" w:eastAsia="Times New Roman" w:hAnsi="Times New Roman"/>
          <w:sz w:val="20"/>
          <w:szCs w:val="20"/>
          <w:b w:val="1"/>
          <w:bCs w:val="1"/>
          <w:color w:val="auto"/>
        </w:rPr>
      </w:pPr>
    </w:p>
    <w:p>
      <w:pPr>
        <w:jc w:val="both"/>
        <w:ind w:firstLine="1952"/>
        <w:spacing w:after="0" w:line="261" w:lineRule="auto"/>
        <w:tabs>
          <w:tab w:leader="none" w:pos="2402" w:val="left"/>
        </w:tabs>
        <w:numPr>
          <w:ilvl w:val="1"/>
          <w:numId w:val="2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will, after the expiration of the applicable Restricted Period, offer, sell, pledge or otherwise transfer the Shares (or create or maintain any derivative position equivalent thereto) only pursuant to registration under the Securities Act or any available exemption therefrom and, in any case, in accordance with applicable state securities laws.</w:t>
      </w:r>
    </w:p>
    <w:p>
      <w:pPr>
        <w:spacing w:after="0" w:line="181" w:lineRule="exact"/>
        <w:rPr>
          <w:rFonts w:ascii="Times New Roman" w:cs="Times New Roman" w:eastAsia="Times New Roman" w:hAnsi="Times New Roman"/>
          <w:sz w:val="20"/>
          <w:szCs w:val="20"/>
          <w:b w:val="1"/>
          <w:bCs w:val="1"/>
          <w:color w:val="auto"/>
        </w:rPr>
      </w:pPr>
    </w:p>
    <w:p>
      <w:pPr>
        <w:ind w:firstLine="1952"/>
        <w:spacing w:after="0" w:line="283" w:lineRule="auto"/>
        <w:tabs>
          <w:tab w:leader="none" w:pos="2384" w:val="left"/>
        </w:tabs>
        <w:numPr>
          <w:ilvl w:val="1"/>
          <w:numId w:val="2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acknowledges and agrees that the Company shall not register the transfer of the Shares in violation of this Agreement, the Plan or any of the restrictions set forth herein or therein.</w:t>
      </w:r>
    </w:p>
    <w:p>
      <w:pPr>
        <w:spacing w:after="0" w:line="142"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002" w:val="left"/>
        </w:tabs>
        <w:numPr>
          <w:ilvl w:val="0"/>
          <w:numId w:val="2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NONTRANSFERABILITY OF OPTION. </w:t>
      </w:r>
      <w:r>
        <w:rPr>
          <w:rFonts w:ascii="Times New Roman" w:cs="Times New Roman" w:eastAsia="Times New Roman" w:hAnsi="Times New Roman"/>
          <w:sz w:val="20"/>
          <w:szCs w:val="20"/>
          <w:color w:val="auto"/>
        </w:rPr>
        <w:t>This Option may not be transferred in any manner other than by will or by the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descent and distribution, and, with respect to NQSOs, by instrument to a testamentary trust in which the options are to be passed to beneficiaries upon the death of the trustor (settlor) or a revocable trust, or by gift to “immediate family” as that term is defined in 17</w:t>
      </w:r>
    </w:p>
    <w:p>
      <w:pPr>
        <w:sectPr>
          <w:pgSz w:w="11900" w:h="16838" w:orient="portrait"/>
          <w:cols w:equalWidth="0" w:num="1">
            <w:col w:w="11240"/>
          </w:cols>
          <w:pgMar w:left="320" w:top="1413" w:right="339" w:bottom="1440" w:gutter="0" w:footer="0" w:header="0"/>
        </w:sectPr>
      </w:pPr>
    </w:p>
    <w:bookmarkStart w:id="367" w:name="page368"/>
    <w:bookmarkEnd w:id="367"/>
    <w:p>
      <w:pPr>
        <w:jc w:val="both"/>
        <w:spacing w:after="0" w:line="261" w:lineRule="auto"/>
        <w:rPr>
          <w:sz w:val="20"/>
          <w:szCs w:val="20"/>
          <w:color w:val="auto"/>
        </w:rPr>
      </w:pPr>
      <w:r>
        <w:rPr>
          <w:rFonts w:ascii="Times New Roman" w:cs="Times New Roman" w:eastAsia="Times New Roman" w:hAnsi="Times New Roman"/>
          <w:sz w:val="20"/>
          <w:szCs w:val="20"/>
          <w:color w:val="auto"/>
        </w:rPr>
        <w:t>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77"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RESTRICTIONS ON TRANSFER.</w:t>
      </w:r>
    </w:p>
    <w:p>
      <w:pPr>
        <w:spacing w:after="0" w:line="21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7.1 </w:t>
      </w:r>
      <w:r>
        <w:rPr>
          <w:rFonts w:ascii="Times New Roman" w:cs="Times New Roman" w:eastAsia="Times New Roman" w:hAnsi="Times New Roman"/>
          <w:sz w:val="20"/>
          <w:szCs w:val="20"/>
          <w:b w:val="1"/>
          <w:bCs w:val="1"/>
          <w:u w:val="single" w:color="auto"/>
          <w:color w:val="auto"/>
        </w:rPr>
        <w:t>Disposition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hereby agrees that Optionee shall make no disposition of any of the Shares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permitted by this Agreement) unless and until:</w:t>
      </w:r>
    </w:p>
    <w:p>
      <w:pPr>
        <w:spacing w:after="0" w:line="156" w:lineRule="exact"/>
        <w:rPr>
          <w:sz w:val="20"/>
          <w:szCs w:val="20"/>
          <w:color w:val="auto"/>
        </w:rPr>
      </w:pPr>
    </w:p>
    <w:p>
      <w:pPr>
        <w:ind w:right="20" w:firstLine="1952"/>
        <w:spacing w:after="0" w:line="269" w:lineRule="auto"/>
        <w:tabs>
          <w:tab w:leader="none" w:pos="2399" w:val="left"/>
        </w:tabs>
        <w:numPr>
          <w:ilvl w:val="0"/>
          <w:numId w:val="2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shall have notified the Company of the proposed disposition and provided a written summary of the terms and conditions of the proposed disposition;</w:t>
      </w:r>
    </w:p>
    <w:p>
      <w:pPr>
        <w:spacing w:after="0" w:line="172" w:lineRule="exact"/>
        <w:rPr>
          <w:rFonts w:ascii="Times New Roman" w:cs="Times New Roman" w:eastAsia="Times New Roman" w:hAnsi="Times New Roman"/>
          <w:sz w:val="20"/>
          <w:szCs w:val="20"/>
          <w:b w:val="1"/>
          <w:bCs w:val="1"/>
          <w:color w:val="auto"/>
        </w:rPr>
      </w:pPr>
    </w:p>
    <w:p>
      <w:pPr>
        <w:ind w:left="2480" w:hanging="528"/>
        <w:spacing w:after="0"/>
        <w:tabs>
          <w:tab w:leader="none" w:pos="2480" w:val="left"/>
        </w:tabs>
        <w:numPr>
          <w:ilvl w:val="0"/>
          <w:numId w:val="2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shall have complied with all requirements of this Agreement applicable to the disposition of the</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Shares;</w:t>
      </w:r>
    </w:p>
    <w:p>
      <w:pPr>
        <w:spacing w:after="0" w:line="207" w:lineRule="exact"/>
        <w:rPr>
          <w:rFonts w:ascii="Times New Roman" w:cs="Times New Roman" w:eastAsia="Times New Roman" w:hAnsi="Times New Roman"/>
          <w:sz w:val="20"/>
          <w:szCs w:val="20"/>
          <w:b w:val="1"/>
          <w:bCs w:val="1"/>
          <w:color w:val="auto"/>
        </w:rPr>
      </w:pPr>
    </w:p>
    <w:p>
      <w:pPr>
        <w:jc w:val="both"/>
        <w:ind w:firstLine="1952"/>
        <w:spacing w:after="0" w:line="253" w:lineRule="auto"/>
        <w:tabs>
          <w:tab w:leader="none" w:pos="2469" w:val="left"/>
        </w:tabs>
        <w:numPr>
          <w:ilvl w:val="0"/>
          <w:numId w:val="2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191" w:lineRule="exact"/>
        <w:rPr>
          <w:rFonts w:ascii="Times New Roman" w:cs="Times New Roman" w:eastAsia="Times New Roman" w:hAnsi="Times New Roman"/>
          <w:sz w:val="20"/>
          <w:szCs w:val="20"/>
          <w:b w:val="1"/>
          <w:bCs w:val="1"/>
          <w:color w:val="auto"/>
        </w:rPr>
      </w:pPr>
    </w:p>
    <w:p>
      <w:pPr>
        <w:jc w:val="both"/>
        <w:ind w:firstLine="1952"/>
        <w:spacing w:after="0" w:line="253" w:lineRule="auto"/>
        <w:tabs>
          <w:tab w:leader="none" w:pos="2424" w:val="left"/>
        </w:tabs>
        <w:numPr>
          <w:ilvl w:val="0"/>
          <w:numId w:val="2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18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7.2 </w:t>
      </w:r>
      <w:r>
        <w:rPr>
          <w:rFonts w:ascii="Times New Roman" w:cs="Times New Roman" w:eastAsia="Times New Roman" w:hAnsi="Times New Roman"/>
          <w:sz w:val="20"/>
          <w:szCs w:val="20"/>
          <w:b w:val="1"/>
          <w:bCs w:val="1"/>
          <w:u w:val="single" w:color="auto"/>
          <w:color w:val="auto"/>
        </w:rPr>
        <w:t>Restriction on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shall not transfer, assign, grant a lien or security interest in, pledge, hypothecate,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encumber or otherwise dispose of any of the Shares which are subject to the Company’s Right of First Refusal described below, except as permitted by this Agreement.</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7.3 </w:t>
      </w:r>
      <w:r>
        <w:rPr>
          <w:rFonts w:ascii="Times New Roman" w:cs="Times New Roman" w:eastAsia="Times New Roman" w:hAnsi="Times New Roman"/>
          <w:sz w:val="20"/>
          <w:szCs w:val="20"/>
          <w:b w:val="1"/>
          <w:bCs w:val="1"/>
          <w:u w:val="single" w:color="auto"/>
          <w:color w:val="auto"/>
        </w:rPr>
        <w:t>Transferee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person (other than the Company) to whom the Shares are transferred by means of one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permitted transfers specified in this Agreement must, as a condition precedent to the validity of such transfer, acknowledge in writing to the Company that such person is bound by the provisions of this Agreement and that the transferred Shares are subject to (i) the Company’s Right of First Refusal granted hereunder and (ii) the market stand-off provisions of Section 8 below, to the same extent such Shares would be so subject if retained by Optionee.</w:t>
      </w:r>
    </w:p>
    <w:p>
      <w:pPr>
        <w:spacing w:after="0" w:line="187" w:lineRule="exact"/>
        <w:rPr>
          <w:sz w:val="20"/>
          <w:szCs w:val="20"/>
          <w:color w:val="auto"/>
        </w:rPr>
      </w:pPr>
    </w:p>
    <w:p>
      <w:pPr>
        <w:jc w:val="both"/>
        <w:ind w:firstLine="656"/>
        <w:spacing w:after="0" w:line="252" w:lineRule="auto"/>
        <w:tabs>
          <w:tab w:leader="none" w:pos="1064" w:val="left"/>
        </w:tabs>
        <w:numPr>
          <w:ilvl w:val="0"/>
          <w:numId w:val="2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MARKET STANDOFF AGREEMENT. </w:t>
      </w:r>
      <w:r>
        <w:rPr>
          <w:rFonts w:ascii="Times New Roman" w:cs="Times New Roman" w:eastAsia="Times New Roman" w:hAnsi="Times New Roman"/>
          <w:sz w:val="20"/>
          <w:szCs w:val="20"/>
          <w:color w:val="auto"/>
        </w:rPr>
        <w:t>Optionee agrees that, subject to any early release provisions that apply pro rata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of the 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Times New Roman" w:cs="Times New Roman" w:eastAsia="Times New Roman" w:hAnsi="Times New Roman"/>
          <w:sz w:val="20"/>
          <w:szCs w:val="20"/>
          <w:b w:val="1"/>
          <w:bCs w:val="1"/>
          <w:i w:val="1"/>
          <w:iCs w:val="1"/>
          <w:color w:val="auto"/>
        </w:rPr>
        <w:t>IPO</w:t>
      </w:r>
      <w:r>
        <w:rPr>
          <w:rFonts w:ascii="Times New Roman" w:cs="Times New Roman" w:eastAsia="Times New Roman" w:hAnsi="Times New Roman"/>
          <w:sz w:val="20"/>
          <w:szCs w:val="20"/>
          <w:color w:val="auto"/>
        </w:rPr>
        <w:t>”), directly or indirectly sell, offer to sell, grant any option for the sale of, or</w:t>
      </w:r>
    </w:p>
    <w:p>
      <w:pPr>
        <w:sectPr>
          <w:pgSz w:w="11900" w:h="16838" w:orient="portrait"/>
          <w:cols w:equalWidth="0" w:num="1">
            <w:col w:w="11240"/>
          </w:cols>
          <w:pgMar w:left="320" w:top="1413" w:right="339" w:bottom="1440" w:gutter="0" w:footer="0" w:header="0"/>
        </w:sectPr>
      </w:pPr>
    </w:p>
    <w:bookmarkStart w:id="368" w:name="page369"/>
    <w:bookmarkEnd w:id="368"/>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otherwise dispose of any Common Stock or securities convertible into Common Stock, </w:t>
      </w:r>
      <w:r>
        <w:rPr>
          <w:rFonts w:ascii="Times New Roman" w:cs="Times New Roman" w:eastAsia="Times New Roman" w:hAnsi="Times New Roman"/>
          <w:sz w:val="19"/>
          <w:szCs w:val="19"/>
          <w:u w:val="single" w:color="auto"/>
          <w:color w:val="auto"/>
        </w:rPr>
        <w:t>except for:</w:t>
      </w:r>
      <w:r>
        <w:rPr>
          <w:rFonts w:ascii="Times New Roman" w:cs="Times New Roman" w:eastAsia="Times New Roman" w:hAnsi="Times New Roman"/>
          <w:sz w:val="19"/>
          <w:szCs w:val="19"/>
          <w:color w:val="auto"/>
        </w:rPr>
        <w:t xml:space="preserve"> (i) transfers of Shares permitted under Section 9.6 hereof so long as such transferee furnishes to the Company and the managing underwriter their written consent to be bound by this Section 8 as a condition precedent to such transfer; and (ii) sales of any securities to be included in the registration statement for the IPO. For the avoidance of doubt, the provisions of this Section shall only apply to the IPO. The restricted period shall in any event terminate two</w:t>
      </w:r>
    </w:p>
    <w:p>
      <w:pPr>
        <w:spacing w:after="0" w:line="2" w:lineRule="exact"/>
        <w:rPr>
          <w:sz w:val="20"/>
          <w:szCs w:val="20"/>
          <w:color w:val="auto"/>
        </w:rPr>
      </w:pPr>
    </w:p>
    <w:p>
      <w:pPr>
        <w:jc w:val="both"/>
        <w:ind w:firstLine="8"/>
        <w:spacing w:after="0" w:line="251" w:lineRule="auto"/>
        <w:tabs>
          <w:tab w:leader="none" w:pos="291"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75" w:lineRule="exact"/>
        <w:rPr>
          <w:rFonts w:ascii="Times New Roman" w:cs="Times New Roman" w:eastAsia="Times New Roman" w:hAnsi="Times New Roman"/>
          <w:sz w:val="20"/>
          <w:szCs w:val="20"/>
          <w:color w:val="auto"/>
        </w:rPr>
      </w:pPr>
    </w:p>
    <w:p>
      <w:pPr>
        <w:jc w:val="both"/>
        <w:ind w:firstLine="656"/>
        <w:spacing w:after="0" w:line="260" w:lineRule="auto"/>
        <w:tabs>
          <w:tab w:leader="none" w:pos="1048" w:val="left"/>
        </w:tabs>
        <w:numPr>
          <w:ilvl w:val="1"/>
          <w:numId w:val="2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COMPANY’S RIGHT OF FIRST REFUSAL. </w:t>
      </w:r>
      <w:r>
        <w:rPr>
          <w:rFonts w:ascii="Times New Roman" w:cs="Times New Roman" w:eastAsia="Times New Roman" w:hAnsi="Times New Roman"/>
          <w:sz w:val="20"/>
          <w:szCs w:val="20"/>
          <w:color w:val="auto"/>
        </w:rPr>
        <w:t>Before any Shares held by Optionee or any transferee of such Shares (either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sometimes referred to herein as the “</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may be sold or otherwise transferred (including, without limitation, a transfer by gift or operation of law), the Company and/or its assignee(s) will have a right of first refusal to purchase the Shares to be sold or transferred (the “</w:t>
      </w:r>
      <w:r>
        <w:rPr>
          <w:rFonts w:ascii="Times New Roman" w:cs="Times New Roman" w:eastAsia="Times New Roman" w:hAnsi="Times New Roman"/>
          <w:sz w:val="20"/>
          <w:szCs w:val="20"/>
          <w:b w:val="1"/>
          <w:bCs w:val="1"/>
          <w:i w:val="1"/>
          <w:iCs w:val="1"/>
          <w:color w:val="auto"/>
        </w:rPr>
        <w:t>Offered Shares”</w:t>
      </w:r>
      <w:r>
        <w:rPr>
          <w:rFonts w:ascii="Times New Roman" w:cs="Times New Roman" w:eastAsia="Times New Roman" w:hAnsi="Times New Roman"/>
          <w:sz w:val="20"/>
          <w:szCs w:val="20"/>
          <w:color w:val="auto"/>
        </w:rPr>
        <w:t>) on the terms and conditions set forth in this Section (the “</w:t>
      </w:r>
      <w:r>
        <w:rPr>
          <w:rFonts w:ascii="Times New Roman" w:cs="Times New Roman" w:eastAsia="Times New Roman" w:hAnsi="Times New Roman"/>
          <w:sz w:val="20"/>
          <w:szCs w:val="20"/>
          <w:b w:val="1"/>
          <w:bCs w:val="1"/>
          <w:i w:val="1"/>
          <w:iCs w:val="1"/>
          <w:color w:val="auto"/>
        </w:rPr>
        <w:t>Right of First Refusal”</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9.1 </w:t>
      </w:r>
      <w:r>
        <w:rPr>
          <w:rFonts w:ascii="Times New Roman" w:cs="Times New Roman" w:eastAsia="Times New Roman" w:hAnsi="Times New Roman"/>
          <w:sz w:val="20"/>
          <w:szCs w:val="20"/>
          <w:b w:val="1"/>
          <w:bCs w:val="1"/>
          <w:u w:val="single" w:color="auto"/>
          <w:color w:val="auto"/>
        </w:rPr>
        <w:t>Notice of Proposed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Holder of the Offered Shares will deliver to the Company a written notice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stating: (i) the Holder’s bona fide intention to sell or otherwise transfer the Offered Shares; (ii) the name and address of each proposed purchaser or other transferee (the “</w:t>
      </w:r>
      <w:r>
        <w:rPr>
          <w:rFonts w:ascii="Times New Roman" w:cs="Times New Roman" w:eastAsia="Times New Roman" w:hAnsi="Times New Roman"/>
          <w:sz w:val="20"/>
          <w:szCs w:val="20"/>
          <w:b w:val="1"/>
          <w:bCs w:val="1"/>
          <w:i w:val="1"/>
          <w:iCs w:val="1"/>
          <w:color w:val="auto"/>
        </w:rPr>
        <w:t>Proposed Transferee”</w:t>
      </w:r>
      <w:r>
        <w:rPr>
          <w:rFonts w:ascii="Times New Roman" w:cs="Times New Roman" w:eastAsia="Times New Roman" w:hAnsi="Times New Roman"/>
          <w:sz w:val="20"/>
          <w:szCs w:val="20"/>
          <w:color w:val="auto"/>
        </w:rPr>
        <w:t>); (iii) the number of Offered Shares to be transferred to each Proposed Transferee; (iv) the bona fide cash price or other consideration for which the Holder proposes to transfer the Offered Shares (the “</w:t>
      </w:r>
      <w:r>
        <w:rPr>
          <w:rFonts w:ascii="Times New Roman" w:cs="Times New Roman" w:eastAsia="Times New Roman" w:hAnsi="Times New Roman"/>
          <w:sz w:val="20"/>
          <w:szCs w:val="20"/>
          <w:b w:val="1"/>
          <w:bCs w:val="1"/>
          <w:i w:val="1"/>
          <w:iCs w:val="1"/>
          <w:color w:val="auto"/>
        </w:rPr>
        <w:t>Offered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Price”</w:t>
      </w:r>
      <w:r>
        <w:rPr>
          <w:rFonts w:ascii="Times New Roman" w:cs="Times New Roman" w:eastAsia="Times New Roman" w:hAnsi="Times New Roman"/>
          <w:sz w:val="20"/>
          <w:szCs w:val="20"/>
          <w:color w:val="auto"/>
        </w:rPr>
        <w:t>); and (v) that the Holder acknowledges this Notice is an offer to sell the Offered Shares to the Company and/or its assignee(s)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pursuant to the Company’s Right of First Refusal at the Offered Price as provided for in this Agreement.</w:t>
      </w:r>
    </w:p>
    <w:p>
      <w:pPr>
        <w:spacing w:after="0" w:line="173"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9.2 </w:t>
      </w:r>
      <w:r>
        <w:rPr>
          <w:rFonts w:ascii="Times New Roman" w:cs="Times New Roman" w:eastAsia="Times New Roman" w:hAnsi="Times New Roman"/>
          <w:sz w:val="20"/>
          <w:szCs w:val="20"/>
          <w:b w:val="1"/>
          <w:bCs w:val="1"/>
          <w:u w:val="single" w:color="auto"/>
          <w:color w:val="auto"/>
        </w:rPr>
        <w:t>Exercise of Right of First Refusal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any time within thirty (30) days after the date of the Notice,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7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9.3 </w:t>
      </w:r>
      <w:r>
        <w:rPr>
          <w:rFonts w:ascii="Times New Roman" w:cs="Times New Roman" w:eastAsia="Times New Roman" w:hAnsi="Times New Roman"/>
          <w:sz w:val="20"/>
          <w:szCs w:val="20"/>
          <w:b w:val="1"/>
          <w:bCs w:val="1"/>
          <w:u w:val="single" w:color="auto"/>
          <w:color w:val="auto"/>
        </w:rPr>
        <w:t>Purchase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purchase price for the Offered Shares purchased under this Section will be the Offered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if the Offered Price consists of no legal consideration (as, for example, in the case of a transfer by gift) then the purchase price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9.4 </w:t>
      </w: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of the purchase price for the Offered Shares will be payable, at the option of the Company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assignee(s) (as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ectPr>
          <w:pgSz w:w="11900" w:h="16838" w:orient="portrait"/>
          <w:cols w:equalWidth="0" w:num="1">
            <w:col w:w="11240"/>
          </w:cols>
          <w:pgMar w:left="320" w:top="1413" w:right="339" w:bottom="1440" w:gutter="0" w:footer="0" w:header="0"/>
        </w:sectPr>
      </w:pPr>
    </w:p>
    <w:bookmarkStart w:id="369" w:name="page370"/>
    <w:bookmarkEnd w:id="369"/>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9.5 </w:t>
      </w:r>
      <w:r>
        <w:rPr>
          <w:rFonts w:ascii="Times New Roman" w:cs="Times New Roman" w:eastAsia="Times New Roman" w:hAnsi="Times New Roman"/>
          <w:sz w:val="20"/>
          <w:szCs w:val="20"/>
          <w:b w:val="1"/>
          <w:bCs w:val="1"/>
          <w:u w:val="single" w:color="auto"/>
          <w:color w:val="auto"/>
        </w:rPr>
        <w:t>Holder’s Right to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all of the Offered Shares proposed in the Notice to be transferred to a given Proposed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Transferee are not purchased by the Company and/or its assignee(s) as provided in this Section, then the Holder may sell or otherwise transfer such Offered Shares to each Proposed Transferee at the Offered Price or at a higher price,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18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9.6 </w:t>
      </w:r>
      <w:r>
        <w:rPr>
          <w:rFonts w:ascii="Times New Roman" w:cs="Times New Roman" w:eastAsia="Times New Roman" w:hAnsi="Times New Roman"/>
          <w:sz w:val="20"/>
          <w:szCs w:val="20"/>
          <w:b w:val="1"/>
          <w:bCs w:val="1"/>
          <w:u w:val="single" w:color="auto"/>
          <w:color w:val="auto"/>
        </w:rPr>
        <w:t>Exempt Transfers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in this Section, the following transfers of Shares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exempt from the Right of First Refusal: (i) the transfer of any or all of the Shares during Optionee’s lifetime by gift or on Optionee’s death by will or intestacy to any member(s) of Optionee’s “Immediate Family” (as defined below) or to a trust for the benefit of Optionee and/or member(s) of Optionee’s Immediate Family,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each transferee or other recipient agrees in a writing satisfactory to the Company that the provisions of this Section will continue to apply to the transferred Shares in the hands of such transferee or other recipient; (ii) any transfer of Shares made pursuant to a statutory merger, statutory consolidation of the Company with or into another corporation or corporations or a conversion of the Company into another form of legal entity (except that the Right of First Refusal will continue to apply thereafter to such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Shares pursuant to the winding up and dissolution of the Company. As used herein, the term “</w:t>
      </w:r>
      <w:r>
        <w:rPr>
          <w:rFonts w:ascii="Times New Roman" w:cs="Times New Roman" w:eastAsia="Times New Roman" w:hAnsi="Times New Roman"/>
          <w:sz w:val="20"/>
          <w:szCs w:val="20"/>
          <w:b w:val="1"/>
          <w:bCs w:val="1"/>
          <w:i w:val="1"/>
          <w:iCs w:val="1"/>
          <w:color w:val="auto"/>
        </w:rPr>
        <w:t>Immediate Family”</w:t>
      </w:r>
      <w:r>
        <w:rPr>
          <w:rFonts w:ascii="Times New Roman" w:cs="Times New Roman" w:eastAsia="Times New Roman" w:hAnsi="Times New Roman"/>
          <w:sz w:val="20"/>
          <w:szCs w:val="20"/>
          <w:color w:val="auto"/>
        </w:rPr>
        <w:t xml:space="preserve">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Times New Roman" w:cs="Times New Roman" w:eastAsia="Times New Roman" w:hAnsi="Times New Roman"/>
          <w:sz w:val="20"/>
          <w:szCs w:val="20"/>
          <w:b w:val="1"/>
          <w:bCs w:val="1"/>
          <w:i w:val="1"/>
          <w:iCs w:val="1"/>
          <w:color w:val="auto"/>
        </w:rPr>
        <w:t>Spousal Equivalent”</w:t>
      </w:r>
      <w:r>
        <w:rPr>
          <w:rFonts w:ascii="Times New Roman" w:cs="Times New Roman" w:eastAsia="Times New Roman" w:hAnsi="Times New Roman"/>
          <w:sz w:val="20"/>
          <w:szCs w:val="20"/>
          <w:color w:val="auto"/>
        </w:rPr>
        <w:t xml:space="preserve"> provided the following circumstances are true: (i) 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9.7 </w:t>
      </w:r>
      <w:r>
        <w:rPr>
          <w:rFonts w:ascii="Times New Roman" w:cs="Times New Roman" w:eastAsia="Times New Roman" w:hAnsi="Times New Roman"/>
          <w:sz w:val="20"/>
          <w:szCs w:val="20"/>
          <w:b w:val="1"/>
          <w:bCs w:val="1"/>
          <w:u w:val="single" w:color="auto"/>
          <w:color w:val="auto"/>
        </w:rPr>
        <w:t>Termination of Right of First Refusal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Right of First Refusal will terminate as to all Shares: (i) on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the first 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or (iii) on any transfer or conversion of Shares made pursuant to a statutory conversion of the Company into another form of legal entity if the common equity (or comparable equity security) of entity resulting from such conversion is registered under the Exchange Act.</w:t>
      </w:r>
    </w:p>
    <w:p>
      <w:pPr>
        <w:sectPr>
          <w:pgSz w:w="11900" w:h="16838" w:orient="portrait"/>
          <w:cols w:equalWidth="0" w:num="1">
            <w:col w:w="11240"/>
          </w:cols>
          <w:pgMar w:left="320" w:top="1409" w:right="339" w:bottom="1440" w:gutter="0" w:footer="0" w:header="0"/>
        </w:sectPr>
      </w:pPr>
    </w:p>
    <w:bookmarkStart w:id="370" w:name="page371"/>
    <w:bookmarkEnd w:id="370"/>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9.8 </w:t>
      </w:r>
      <w:r>
        <w:rPr>
          <w:rFonts w:ascii="Times New Roman" w:cs="Times New Roman" w:eastAsia="Times New Roman" w:hAnsi="Times New Roman"/>
          <w:sz w:val="20"/>
          <w:szCs w:val="20"/>
          <w:b w:val="1"/>
          <w:bCs w:val="1"/>
          <w:u w:val="single" w:color="auto"/>
          <w:color w:val="auto"/>
        </w:rPr>
        <w:t>Encumbrances on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may grant a lien or security interest in, or pledge, hypothecate or encumber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only if each 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Shares after they are acquired by the Company and/or its assignees under this Section; and (ii) the provisions of this Agreement will continue to apply to such Shares in the hands of such party and any transferee of such party.</w:t>
      </w:r>
    </w:p>
    <w:p>
      <w:pPr>
        <w:spacing w:after="0" w:line="187" w:lineRule="exact"/>
        <w:rPr>
          <w:sz w:val="20"/>
          <w:szCs w:val="20"/>
          <w:color w:val="auto"/>
        </w:rPr>
      </w:pPr>
    </w:p>
    <w:p>
      <w:pPr>
        <w:jc w:val="both"/>
        <w:ind w:firstLine="656"/>
        <w:spacing w:after="0" w:line="252" w:lineRule="auto"/>
        <w:tabs>
          <w:tab w:leader="none" w:pos="1181" w:val="left"/>
        </w:tabs>
        <w:numPr>
          <w:ilvl w:val="0"/>
          <w:numId w:val="2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Optionee shall not have any of the rights of a stockholder with respect to any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and until such 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Right of First Refusal. Upon an exercise of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74"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093" w:val="left"/>
        </w:tabs>
        <w:numPr>
          <w:ilvl w:val="0"/>
          <w:numId w:val="2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ESCROW. </w:t>
      </w:r>
      <w:r>
        <w:rPr>
          <w:rFonts w:ascii="Times New Roman" w:cs="Times New Roman" w:eastAsia="Times New Roman" w:hAnsi="Times New Roman"/>
          <w:sz w:val="20"/>
          <w:szCs w:val="20"/>
          <w:color w:val="auto"/>
        </w:rPr>
        <w:t>As security for Optionee’s faithful performance of this Agreement, Optionee agrees, immediately upon issuance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stock certificate(s) evidencing the Shares, to consent to the delivery of such certificate(s) to the Secretary of the Company or other designee of the Company (the “</w:t>
      </w:r>
      <w:r>
        <w:rPr>
          <w:rFonts w:ascii="Times New Roman" w:cs="Times New Roman" w:eastAsia="Times New Roman" w:hAnsi="Times New Roman"/>
          <w:sz w:val="20"/>
          <w:szCs w:val="20"/>
          <w:b w:val="1"/>
          <w:bCs w:val="1"/>
          <w:i w:val="1"/>
          <w:iCs w:val="1"/>
          <w:color w:val="auto"/>
        </w:rPr>
        <w:t>Escrow Holder</w:t>
      </w:r>
      <w:r>
        <w:rPr>
          <w:rFonts w:ascii="Times New Roman" w:cs="Times New Roman" w:eastAsia="Times New Roman" w:hAnsi="Times New Roman"/>
          <w:sz w:val="20"/>
          <w:szCs w:val="20"/>
          <w:color w:val="auto"/>
        </w:rPr>
        <w:t>”), who is hereby appointed to hold such certificate(s)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the Right of First Refusal.</w:t>
      </w:r>
    </w:p>
    <w:p>
      <w:pPr>
        <w:spacing w:after="0" w:line="177" w:lineRule="exact"/>
        <w:rPr>
          <w:rFonts w:ascii="Times New Roman" w:cs="Times New Roman" w:eastAsia="Times New Roman" w:hAnsi="Times New Roman"/>
          <w:sz w:val="20"/>
          <w:szCs w:val="20"/>
          <w:b w:val="1"/>
          <w:bCs w:val="1"/>
          <w:color w:val="auto"/>
        </w:rPr>
      </w:pPr>
    </w:p>
    <w:p>
      <w:pPr>
        <w:ind w:left="1100" w:hanging="444"/>
        <w:spacing w:after="0"/>
        <w:tabs>
          <w:tab w:leader="none" w:pos="1100" w:val="left"/>
        </w:tabs>
        <w:numPr>
          <w:ilvl w:val="0"/>
          <w:numId w:val="2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LEGENDS AND STOP-TRANSFER ORDERS.</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12.1 </w:t>
      </w:r>
      <w:r>
        <w:rPr>
          <w:rFonts w:ascii="Times New Roman" w:cs="Times New Roman" w:eastAsia="Times New Roman" w:hAnsi="Times New Roman"/>
          <w:sz w:val="20"/>
          <w:szCs w:val="20"/>
          <w:b w:val="1"/>
          <w:bCs w:val="1"/>
          <w:u w:val="single" w:color="auto"/>
          <w:color w:val="auto"/>
        </w:rPr>
        <w:t>Legends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understands and agrees that the Company will place the legends set forth below or similar legends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any stock certificate(s) 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191" w:lineRule="exact"/>
        <w:rPr>
          <w:sz w:val="20"/>
          <w:szCs w:val="20"/>
          <w:color w:val="auto"/>
        </w:rPr>
      </w:pPr>
    </w:p>
    <w:p>
      <w:pPr>
        <w:jc w:val="both"/>
        <w:ind w:firstLine="1952"/>
        <w:spacing w:after="0" w:line="258" w:lineRule="auto"/>
        <w:tabs>
          <w:tab w:leader="none" w:pos="2683" w:val="left"/>
        </w:tabs>
        <w:numPr>
          <w:ilvl w:val="0"/>
          <w:numId w:val="2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w:t>
      </w:r>
    </w:p>
    <w:p>
      <w:pPr>
        <w:sectPr>
          <w:pgSz w:w="11900" w:h="16838" w:orient="portrait"/>
          <w:cols w:equalWidth="0" w:num="1">
            <w:col w:w="11240"/>
          </w:cols>
          <w:pgMar w:left="320" w:top="1409" w:right="339" w:bottom="1440" w:gutter="0" w:footer="0" w:header="0"/>
        </w:sectPr>
      </w:pPr>
    </w:p>
    <w:bookmarkStart w:id="371" w:name="page372"/>
    <w:bookmarkEnd w:id="371"/>
    <w:p>
      <w:pPr>
        <w:jc w:val="both"/>
        <w:spacing w:after="0" w:line="253" w:lineRule="auto"/>
        <w:rPr>
          <w:sz w:val="20"/>
          <w:szCs w:val="20"/>
          <w:color w:val="auto"/>
        </w:rPr>
      </w:pPr>
      <w:r>
        <w:rPr>
          <w:rFonts w:ascii="Times New Roman" w:cs="Times New Roman" w:eastAsia="Times New Roman" w:hAnsi="Times New Roman"/>
          <w:sz w:val="20"/>
          <w:szCs w:val="20"/>
          <w:color w:val="auto"/>
        </w:rPr>
        <w:t>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92" w:lineRule="exact"/>
        <w:rPr>
          <w:sz w:val="20"/>
          <w:szCs w:val="20"/>
          <w:color w:val="auto"/>
        </w:rPr>
      </w:pPr>
    </w:p>
    <w:p>
      <w:pPr>
        <w:jc w:val="both"/>
        <w:ind w:firstLine="1952"/>
        <w:spacing w:after="0" w:line="270" w:lineRule="auto"/>
        <w:tabs>
          <w:tab w:leader="none" w:pos="2424" w:val="left"/>
        </w:tabs>
        <w:numPr>
          <w:ilvl w:val="0"/>
          <w:numId w:val="2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SHARES REPRESENTED BY THIS CERTIFICATE ARE SUBJECT TO CERTAIN RESTRICTIONS ON RESALE AND TRANSFER, INCLUDING THE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RIGHT OF FIRST REFUSAL, ARE BINDING ON TRANSFEREES OF THESE SHARES.</w:t>
      </w:r>
    </w:p>
    <w:p>
      <w:pPr>
        <w:spacing w:after="0" w:line="175" w:lineRule="exact"/>
        <w:rPr>
          <w:rFonts w:ascii="Times New Roman" w:cs="Times New Roman" w:eastAsia="Times New Roman" w:hAnsi="Times New Roman"/>
          <w:sz w:val="19"/>
          <w:szCs w:val="19"/>
          <w:b w:val="1"/>
          <w:bCs w:val="1"/>
          <w:color w:val="auto"/>
        </w:rPr>
      </w:pPr>
    </w:p>
    <w:p>
      <w:pPr>
        <w:jc w:val="both"/>
        <w:ind w:firstLine="1952"/>
        <w:spacing w:after="0" w:line="253" w:lineRule="auto"/>
        <w:tabs>
          <w:tab w:leader="none" w:pos="2456" w:val="left"/>
        </w:tabs>
        <w:numPr>
          <w:ilvl w:val="0"/>
          <w:numId w:val="2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18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12.2 </w:t>
      </w:r>
      <w:r>
        <w:rPr>
          <w:rFonts w:ascii="Times New Roman" w:cs="Times New Roman" w:eastAsia="Times New Roman" w:hAnsi="Times New Roman"/>
          <w:sz w:val="20"/>
          <w:szCs w:val="20"/>
          <w:b w:val="1"/>
          <w:bCs w:val="1"/>
          <w:u w:val="single" w:color="auto"/>
          <w:color w:val="auto"/>
        </w:rPr>
        <w:t>Stop-Transfer Instructions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agrees that, to ensure compliance with the restrictions imposed by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Company may issue appropriate “stop-transfer” instructions to its transfer agent, if any, and if the Company transfers its own securities, it may make appropriate notations to the same effect in its own records.</w:t>
      </w:r>
    </w:p>
    <w:p>
      <w:pPr>
        <w:spacing w:after="0" w:line="16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12.3 </w:t>
      </w:r>
      <w:r>
        <w:rPr>
          <w:rFonts w:ascii="Times New Roman" w:cs="Times New Roman" w:eastAsia="Times New Roman" w:hAnsi="Times New Roman"/>
          <w:sz w:val="20"/>
          <w:szCs w:val="20"/>
          <w:b w:val="1"/>
          <w:bCs w:val="1"/>
          <w:u w:val="single" w:color="auto"/>
          <w:color w:val="auto"/>
        </w:rPr>
        <w:t>Refusal to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will not be required (i) to transfer on its books any Shares that have been sold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transferred in violation of any of the provisions of this Agreement or (ii) to treat as owner of such Shares, or to accord the right to vote or pay dividends to any purchaser or other transferee to whom such Shares have been so transferred.</w:t>
      </w:r>
    </w:p>
    <w:p>
      <w:pPr>
        <w:spacing w:after="0" w:line="175" w:lineRule="exact"/>
        <w:rPr>
          <w:sz w:val="20"/>
          <w:szCs w:val="20"/>
          <w:color w:val="auto"/>
        </w:rPr>
      </w:pPr>
    </w:p>
    <w:p>
      <w:pPr>
        <w:jc w:val="both"/>
        <w:ind w:firstLine="656"/>
        <w:spacing w:after="0" w:line="254" w:lineRule="auto"/>
        <w:tabs>
          <w:tab w:leader="none" w:pos="1117" w:val="left"/>
        </w:tabs>
        <w:numPr>
          <w:ilvl w:val="0"/>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TAX ADVICE. </w:t>
      </w:r>
      <w:r>
        <w:rPr>
          <w:rFonts w:ascii="Times New Roman" w:cs="Times New Roman" w:eastAsia="Times New Roman" w:hAnsi="Times New Roman"/>
          <w:sz w:val="20"/>
          <w:szCs w:val="20"/>
          <w:color w:val="auto"/>
        </w:rPr>
        <w:t>OPTIONEE SHOULD CONSULT A TAX ADVISER APPROPRIATELY QUALIFIED IN THE COUNTRY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COUNTRIES IN WHICH OPTIONEE RESIDES OR IS SUBJECT TO TAXATION BEFORE EXERCISING THE OPTION OR DISPOSING OF THE SHARES. Optionee has obtained any necessary advice from an appropriate independent professional adviser in relation to the taxation and social contributions or taxation implications of the grant, exercise, assignment, release, cancellation or any other disposal of this Option pursuant to the Plan and on any subsequent sale of the Shares. In signing and returning this Agreement, Optionee is confirming that appropriate advice has been sought from an independent adviser. The Company has not made any representation regarding applicable taxation implications.</w:t>
      </w:r>
    </w:p>
    <w:p>
      <w:pPr>
        <w:sectPr>
          <w:pgSz w:w="11900" w:h="16838" w:orient="portrait"/>
          <w:cols w:equalWidth="0" w:num="1">
            <w:col w:w="11240"/>
          </w:cols>
          <w:pgMar w:left="320" w:top="1413" w:right="339" w:bottom="1440" w:gutter="0" w:footer="0" w:header="0"/>
        </w:sectPr>
      </w:pPr>
    </w:p>
    <w:bookmarkStart w:id="372" w:name="page373"/>
    <w:bookmarkEnd w:id="372"/>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GENERAL PROVISIONS.</w:t>
      </w:r>
    </w:p>
    <w:p>
      <w:pPr>
        <w:spacing w:after="0" w:line="22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14.1 </w:t>
      </w: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dispute regarding the interpretation of this Agreement shall be submitted by Optionee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to the Committee for review. The resolution of such a dispute by the Committee shall be final and binding on the Company and Optionee.</w:t>
      </w:r>
    </w:p>
    <w:p>
      <w:pPr>
        <w:spacing w:after="0" w:line="162"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14.2 </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the Grant Notice and the Exercise Agreement are each incorporated herein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This Agreement, the Grant Notice, the Plan and the Exercise Agreement constitute the entire agreement of the parties with respect to the subject matter hereof and supersede all prior undertakings and agreements with respect to such subject matter.</w:t>
      </w:r>
    </w:p>
    <w:p>
      <w:pPr>
        <w:spacing w:after="0" w:line="155" w:lineRule="exact"/>
        <w:rPr>
          <w:sz w:val="20"/>
          <w:szCs w:val="20"/>
          <w:color w:val="auto"/>
        </w:rPr>
      </w:pPr>
    </w:p>
    <w:p>
      <w:pPr>
        <w:jc w:val="both"/>
        <w:ind w:firstLine="656"/>
        <w:spacing w:after="0" w:line="260" w:lineRule="auto"/>
        <w:tabs>
          <w:tab w:leader="none" w:pos="1126" w:val="left"/>
        </w:tabs>
        <w:numPr>
          <w:ilvl w:val="1"/>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Any and all notices required or permitted to be given to a party pursuant to the provisions of this Agreement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in writing and will be effective and deemed to provide such party sufficient notice under this Agreement on the earliest of the following:</w:t>
      </w:r>
    </w:p>
    <w:p>
      <w:pPr>
        <w:ind w:left="260" w:hanging="252"/>
        <w:spacing w:after="0"/>
        <w:tabs>
          <w:tab w:leader="none" w:pos="26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personal delivery, if delivery is in person; (ii) at the time an electronic confirmation of receipt is received, if delivery is by</w:t>
      </w:r>
    </w:p>
    <w:p>
      <w:pPr>
        <w:spacing w:after="0" w:line="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96" w:lineRule="exact"/>
        <w:rPr>
          <w:sz w:val="20"/>
          <w:szCs w:val="20"/>
          <w:color w:val="auto"/>
        </w:rPr>
      </w:pPr>
    </w:p>
    <w:p>
      <w:pPr>
        <w:jc w:val="both"/>
        <w:ind w:firstLine="656"/>
        <w:spacing w:after="0" w:line="260" w:lineRule="auto"/>
        <w:tabs>
          <w:tab w:leader="none" w:pos="1186"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AND ASSIGNS. </w:t>
      </w:r>
      <w:r>
        <w:rPr>
          <w:rFonts w:ascii="Times New Roman" w:cs="Times New Roman" w:eastAsia="Times New Roman" w:hAnsi="Times New Roman"/>
          <w:sz w:val="20"/>
          <w:szCs w:val="20"/>
          <w:color w:val="auto"/>
        </w:rPr>
        <w:t>The Company may assign any of its rights under this Agreement including its rights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Shares under the 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111"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Agreement shall be governed by and construed in accordance with the internal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California as such laws are applied to agreements between California residents entered into and to be performed entirely within California. If any provision of this Agreement is determined by a court of law to be illegal or unenforceable, then such provision will be enforced to the maximum extent possible and the other provisions will remain fully effective and enforceable.</w:t>
      </w:r>
    </w:p>
    <w:p>
      <w:pPr>
        <w:spacing w:after="0" w:line="177"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1156"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FURTHER ASSURANCES. </w:t>
      </w:r>
      <w:r>
        <w:rPr>
          <w:rFonts w:ascii="Times New Roman" w:cs="Times New Roman" w:eastAsia="Times New Roman" w:hAnsi="Times New Roman"/>
          <w:sz w:val="20"/>
          <w:szCs w:val="20"/>
          <w:color w:val="auto"/>
        </w:rPr>
        <w:t>The parties agree to execute such further documents and instruments and to take such further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actions as may be reasonably necessary to carry out the purposes and intent of this Agreement.</w:t>
      </w:r>
    </w:p>
    <w:p>
      <w:pPr>
        <w:spacing w:after="0" w:line="165"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1128"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TITLES AND HEADINGS. </w:t>
      </w:r>
      <w:r>
        <w:rPr>
          <w:rFonts w:ascii="Times New Roman" w:cs="Times New Roman" w:eastAsia="Times New Roman" w:hAnsi="Times New Roman"/>
          <w:sz w:val="20"/>
          <w:szCs w:val="20"/>
          <w:color w:val="auto"/>
        </w:rPr>
        <w:t>The titles, captions and headings of this Agreement are included for ease of reference only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disregarded in interpreting or construing this Agreement.</w:t>
      </w:r>
    </w:p>
    <w:p>
      <w:pPr>
        <w:sectPr>
          <w:pgSz w:w="11900" w:h="16838" w:orient="portrait"/>
          <w:cols w:equalWidth="0" w:num="1">
            <w:col w:w="11240"/>
          </w:cols>
          <w:pgMar w:left="320" w:top="1409" w:right="33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9"/>
          <w:szCs w:val="19"/>
          <w:color w:val="auto"/>
        </w:rPr>
        <w:t>Unless otherwise specifically stated, all references herein to “sections” and “exhibits” will mean “sections” and “exhibits” to this Agreement.</w:t>
      </w:r>
    </w:p>
    <w:p>
      <w:pPr>
        <w:spacing w:after="0" w:line="237" w:lineRule="exact"/>
        <w:rPr>
          <w:sz w:val="20"/>
          <w:szCs w:val="20"/>
          <w:color w:val="auto"/>
        </w:rPr>
      </w:pPr>
    </w:p>
    <w:p>
      <w:pPr>
        <w:ind w:firstLine="656"/>
        <w:spacing w:after="0" w:line="273" w:lineRule="auto"/>
        <w:tabs>
          <w:tab w:leader="none" w:pos="1147" w:val="left"/>
        </w:tabs>
        <w:numPr>
          <w:ilvl w:val="0"/>
          <w:numId w:val="2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 Agreement may be executed in any number of counterparts, each of which when so executed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will be deemed an original, and all of which together shall constitute one and the same agreement.</w:t>
      </w:r>
    </w:p>
    <w:p>
      <w:pPr>
        <w:spacing w:after="0" w:line="165"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126" w:val="left"/>
        </w:tabs>
        <w:numPr>
          <w:ilvl w:val="0"/>
          <w:numId w:val="2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If any provision of this Agreement is determined by any court or arbitrator of competent jurisdiction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6"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134" w:val="left"/>
        </w:tabs>
        <w:numPr>
          <w:ilvl w:val="0"/>
          <w:numId w:val="2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REGULATION S REPRESENTATIONS AND RESTRICTIONS</w:t>
      </w:r>
      <w:r>
        <w:rPr>
          <w:rFonts w:ascii="Times New Roman" w:cs="Times New Roman" w:eastAsia="Times New Roman" w:hAnsi="Times New Roman"/>
          <w:sz w:val="20"/>
          <w:szCs w:val="20"/>
          <w:color w:val="auto"/>
        </w:rPr>
        <w:t>. If Optionee’s address is an address located outside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United States, Optionee makes the following additional representations, warranties and agreements:</w:t>
      </w:r>
    </w:p>
    <w:p>
      <w:pPr>
        <w:spacing w:after="0" w:line="138"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22.1 </w:t>
      </w:r>
      <w:r>
        <w:rPr>
          <w:rFonts w:ascii="Times New Roman" w:cs="Times New Roman" w:eastAsia="Times New Roman" w:hAnsi="Times New Roman"/>
          <w:sz w:val="20"/>
          <w:szCs w:val="20"/>
          <w:b w:val="1"/>
          <w:bCs w:val="1"/>
          <w:u w:val="single" w:color="auto"/>
          <w:color w:val="auto"/>
        </w:rPr>
        <w:t>Non-U.S. Person</w:t>
      </w:r>
      <w:r>
        <w:rPr>
          <w:rFonts w:ascii="Times New Roman" w:cs="Times New Roman" w:eastAsia="Times New Roman" w:hAnsi="Times New Roman"/>
          <w:sz w:val="20"/>
          <w:szCs w:val="20"/>
          <w:color w:val="auto"/>
        </w:rPr>
        <w:t>. Optionee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U.S. Person, as defined in Rule 902(k) of Regulation S under the Securities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offer and sale of the Shares to such Optionee was made in an offshore transaction (as defined in Rule 902(h) of Regulation S), no directed selling efforts (as defined in Rule 902(c) of Regulation S) were made in the United States and the Optionee is not acquiring the Shares for the account or benefit of any U.S. Person.</w:t>
      </w:r>
    </w:p>
    <w:p>
      <w:pPr>
        <w:spacing w:after="0" w:line="17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22.2 </w:t>
      </w:r>
      <w:r>
        <w:rPr>
          <w:rFonts w:ascii="Times New Roman" w:cs="Times New Roman" w:eastAsia="Times New Roman" w:hAnsi="Times New Roman"/>
          <w:sz w:val="20"/>
          <w:szCs w:val="20"/>
          <w:b w:val="1"/>
          <w:bCs w:val="1"/>
          <w:u w:val="single" w:color="auto"/>
          <w:color w:val="auto"/>
        </w:rPr>
        <w:t>No Offer or Sale</w:t>
      </w:r>
      <w:r>
        <w:rPr>
          <w:rFonts w:ascii="Times New Roman" w:cs="Times New Roman" w:eastAsia="Times New Roman" w:hAnsi="Times New Roman"/>
          <w:sz w:val="20"/>
          <w:szCs w:val="20"/>
          <w:color w:val="auto"/>
        </w:rPr>
        <w:t>. Optionee will not, during the Restricted Period applicable to the Shares set forth in the legend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below (the “</w:t>
      </w:r>
      <w:r>
        <w:rPr>
          <w:rFonts w:ascii="Times New Roman" w:cs="Times New Roman" w:eastAsia="Times New Roman" w:hAnsi="Times New Roman"/>
          <w:sz w:val="20"/>
          <w:szCs w:val="20"/>
          <w:b w:val="1"/>
          <w:bCs w:val="1"/>
          <w:i w:val="1"/>
          <w:iCs w:val="1"/>
          <w:color w:val="auto"/>
        </w:rPr>
        <w:t>Restricted Period</w:t>
      </w:r>
      <w:r>
        <w:rPr>
          <w:rFonts w:ascii="Times New Roman" w:cs="Times New Roman" w:eastAsia="Times New Roman" w:hAnsi="Times New Roman"/>
          <w:sz w:val="20"/>
          <w:szCs w:val="20"/>
          <w:color w:val="auto"/>
        </w:rPr>
        <w:t>”) and to any certificate representing the Shares, offer or sell any of the foregoing securities (or create or maintain any derivative position equivalent thereto) in the United States, to or for the account or benefit of a U.S. Person or other than in accordance with Regulation S.</w:t>
      </w:r>
    </w:p>
    <w:p>
      <w:pPr>
        <w:spacing w:after="0" w:line="184"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22.3 </w:t>
      </w:r>
      <w:r>
        <w:rPr>
          <w:rFonts w:ascii="Times New Roman" w:cs="Times New Roman" w:eastAsia="Times New Roman" w:hAnsi="Times New Roman"/>
          <w:sz w:val="20"/>
          <w:szCs w:val="20"/>
          <w:b w:val="1"/>
          <w:bCs w:val="1"/>
          <w:u w:val="single" w:color="auto"/>
          <w:color w:val="auto"/>
        </w:rPr>
        <w:t>Registration or Exemption</w:t>
      </w:r>
      <w:r>
        <w:rPr>
          <w:rFonts w:ascii="Times New Roman" w:cs="Times New Roman" w:eastAsia="Times New Roman" w:hAnsi="Times New Roman"/>
          <w:sz w:val="20"/>
          <w:szCs w:val="20"/>
          <w:color w:val="auto"/>
        </w:rPr>
        <w:t>. Optionee will, after the expiration of the applicable Restricted Period, offer, sell, pledge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otherwise transfer the Shares (or create or maintain any derivative position equivalent thereto) only pursuant to registration under the Securities Act or any available exemption therefrom and, in any case, in accordance with applicable foreign and state securities or exchange control laws.</w:t>
      </w:r>
    </w:p>
    <w:p>
      <w:pPr>
        <w:spacing w:after="0" w:line="164"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22.4 </w:t>
      </w:r>
      <w:r>
        <w:rPr>
          <w:rFonts w:ascii="Times New Roman" w:cs="Times New Roman" w:eastAsia="Times New Roman" w:hAnsi="Times New Roman"/>
          <w:sz w:val="20"/>
          <w:szCs w:val="20"/>
          <w:b w:val="1"/>
          <w:bCs w:val="1"/>
          <w:u w:val="single" w:color="auto"/>
          <w:color w:val="auto"/>
        </w:rPr>
        <w:t>No Transfer in Violation of Restrictions; Legend</w:t>
      </w:r>
      <w:r>
        <w:rPr>
          <w:rFonts w:ascii="Times New Roman" w:cs="Times New Roman" w:eastAsia="Times New Roman" w:hAnsi="Times New Roman"/>
          <w:sz w:val="20"/>
          <w:szCs w:val="20"/>
          <w:color w:val="auto"/>
        </w:rPr>
        <w:t>. Optionee acknowledges and agrees that the Company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 the transfer of the Shares in violation of these restrictions. Optionee acknowledges and agrees that the certificates evidencing the Shares will bear the legend set forth below (in addition to any other legend required by applicable federal, state or foreign securities laws or provided in any other agreement with the Company:</w:t>
      </w:r>
    </w:p>
    <w:p>
      <w:pPr>
        <w:spacing w:after="0" w:line="182" w:lineRule="exact"/>
        <w:rPr>
          <w:sz w:val="20"/>
          <w:szCs w:val="20"/>
          <w:color w:val="auto"/>
        </w:rPr>
      </w:pPr>
    </w:p>
    <w:p>
      <w:pPr>
        <w:jc w:val="both"/>
        <w:ind w:left="660" w:right="660" w:firstLine="648"/>
        <w:spacing w:after="0" w:line="254" w:lineRule="auto"/>
        <w:rPr>
          <w:sz w:val="20"/>
          <w:szCs w:val="20"/>
          <w:color w:val="auto"/>
        </w:rPr>
      </w:pPr>
      <w:r>
        <w:rPr>
          <w:rFonts w:ascii="Times New Roman" w:cs="Times New Roman" w:eastAsia="Times New Roman" w:hAnsi="Times New Roman"/>
          <w:sz w:val="20"/>
          <w:szCs w:val="20"/>
          <w:color w:val="auto"/>
        </w:rPr>
        <w:t>THE SHARES REPRESENTED BY THIS CERTIFICATE HAVE NOT BEEN REGISTERED UNDER THE SECURITIES ACT OF 1933, AS AMENDED (THE “ACT”) WITH THE UNITED STATES SECURITIES AND EXCHANGE COMMISSION, AND THE COMPANY DOES NOT INTEND TO REGISTER THEM. PRIOR TO A DATE THAT IS ONE-YEAR STARTING FROM THE DATE OF SALE</w:t>
      </w:r>
    </w:p>
    <w:p>
      <w:pPr>
        <w:sectPr>
          <w:pgSz w:w="11900" w:h="16838" w:orient="portrait"/>
          <w:cols w:equalWidth="0" w:num="1">
            <w:col w:w="11240"/>
          </w:cols>
          <w:pgMar w:left="320" w:top="1413" w:right="339" w:bottom="1440" w:gutter="0" w:footer="0" w:header="0"/>
        </w:sectPr>
      </w:pPr>
    </w:p>
    <w:bookmarkStart w:id="374" w:name="page375"/>
    <w:bookmarkEnd w:id="374"/>
    <w:p>
      <w:pPr>
        <w:jc w:val="both"/>
        <w:ind w:left="660" w:right="640"/>
        <w:spacing w:after="0" w:line="249" w:lineRule="auto"/>
        <w:rPr>
          <w:sz w:val="20"/>
          <w:szCs w:val="20"/>
          <w:color w:val="auto"/>
        </w:rPr>
      </w:pPr>
      <w:r>
        <w:rPr>
          <w:rFonts w:ascii="Times New Roman" w:cs="Times New Roman" w:eastAsia="Times New Roman" w:hAnsi="Times New Roman"/>
          <w:sz w:val="20"/>
          <w:szCs w:val="20"/>
          <w:color w:val="auto"/>
        </w:rPr>
        <w:t>OF THE STOCK, THE SHARES MAY NOT BE OFFERED OR SOLD (INCLUDING OPENING A SHORT POSITION IN SUCH SECURITIES) IN THE UNITED STATES OR TO U.S. PERSONS AS DEFINED BY RULE 902(k) ADOPTED UNDER THE ACT, OTHER THAN TO DISTRIBUTORS, UNLESS THE SHARES ARE REGISTERED UNDER THE ACT, OR AN EXEMPTION FROM THE REGISTRATION REQUIREMENTS OF THE ACT IS AVAILABLE. PURCHASERS OF SHARES PRIOR TO ONE-YEAR STARTING FROM THE DATE OF SALE OF THE STOCK, MAY RESELL SUCH SECURITIES ONLY PURSUANT TO AN EXEMPTION FROM REGISTRATION UNDER THE ACT OR OTHERWISE IN ACCORDANCE WITH THE PROVISIONS OF REGULATION S OF THE ACT, OR IN TRANSACTIONS EFFECTED OUTSIDE OF THE UNITED STATES PROVIDED THEY DO NOT SOLICIT (AND NO ONE ACTING ON THEIR BEHALF SOLICITS) PURCHASERS IN THE UNITED STATES OR OTHERWISE ENGAGE(S) IN SELLING EFFORTS IN THE UNITED STATES AND PROVIDED THAT HEDGING TRANSACTIONS INVOLVING THESE SECURITIES MAY NOT BE CONDUCTED UNLESS IN COMPLIANCE WITH THE ACT. A HOLDER OF THE SECURITIES WHO IS A DISTRIBUTOR, DEALER, SUB-UNDERWRITER OR OTHER SECURITIES PROFESSIONAL, IN ADDITION, CANNOT PRIOR TO ONE-YEAR STARTING FROM THE DATE OF SALE OF THE STOCK RESELL THE SECURITIES TO A U.S. PERSON AS DEFINED BY RULE 902(k) OF REGULATION S UNLESS THE SECURITIES ARE REGISTERED UNDER THE ACT OR AN EXEMPTION FROM REGISTRATION UNDER THE ACT IS AVAILABLE.</w:t>
      </w:r>
    </w:p>
    <w:p>
      <w:pPr>
        <w:spacing w:after="0" w:line="201" w:lineRule="exact"/>
        <w:rPr>
          <w:sz w:val="20"/>
          <w:szCs w:val="20"/>
          <w:color w:val="auto"/>
        </w:rPr>
      </w:pPr>
    </w:p>
    <w:p>
      <w:pPr>
        <w:jc w:val="both"/>
        <w:ind w:firstLine="656"/>
        <w:spacing w:after="0" w:line="263" w:lineRule="auto"/>
        <w:tabs>
          <w:tab w:leader="none" w:pos="1093" w:val="left"/>
        </w:tabs>
        <w:numPr>
          <w:ilvl w:val="0"/>
          <w:numId w:val="2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ISRAELI CAPITAL GAINS TRACK REQUIREMENTS</w:t>
      </w:r>
      <w:r>
        <w:rPr>
          <w:rFonts w:ascii="Times New Roman" w:cs="Times New Roman" w:eastAsia="Times New Roman" w:hAnsi="Times New Roman"/>
          <w:sz w:val="20"/>
          <w:szCs w:val="20"/>
          <w:color w:val="auto"/>
        </w:rPr>
        <w:t>. The following provision applies only to Optionees who are or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be residents of the State of Israel for tax purposes or are otherwise subject to taxation in Israel with respect to the Option on the Date of Grant.</w:t>
      </w:r>
    </w:p>
    <w:p>
      <w:pPr>
        <w:spacing w:after="0" w:line="162"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23.1 </w:t>
      </w: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color w:val="auto"/>
        </w:rPr>
        <w:t>. Capitalized terms used but not defined in this Section 23 or the Plan or the Agreement 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meanings ascribed to them in the Sub-Plan to the Plan for Israeli Participants (the “</w:t>
      </w:r>
      <w:r>
        <w:rPr>
          <w:rFonts w:ascii="Times New Roman" w:cs="Times New Roman" w:eastAsia="Times New Roman" w:hAnsi="Times New Roman"/>
          <w:sz w:val="20"/>
          <w:szCs w:val="20"/>
          <w:b w:val="1"/>
          <w:bCs w:val="1"/>
          <w:i w:val="1"/>
          <w:iCs w:val="1"/>
          <w:color w:val="auto"/>
        </w:rPr>
        <w:t>Israel Sub-Plan</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23.2 </w:t>
      </w:r>
      <w:r>
        <w:rPr>
          <w:rFonts w:ascii="Times New Roman" w:cs="Times New Roman" w:eastAsia="Times New Roman" w:hAnsi="Times New Roman"/>
          <w:sz w:val="20"/>
          <w:szCs w:val="20"/>
          <w:b w:val="1"/>
          <w:bCs w:val="1"/>
          <w:u w:val="single" w:color="auto"/>
          <w:color w:val="auto"/>
        </w:rPr>
        <w:t>Acknowledgement and Acceptance of Capital Gains Track Requirements</w:t>
      </w:r>
      <w:r>
        <w:rPr>
          <w:rFonts w:ascii="Times New Roman" w:cs="Times New Roman" w:eastAsia="Times New Roman" w:hAnsi="Times New Roman"/>
          <w:sz w:val="20"/>
          <w:szCs w:val="20"/>
          <w:color w:val="auto"/>
        </w:rPr>
        <w:t>. By accepting the Option, Optionee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acknowledges and agrees that the Option is subject to the Plan, the Israel Sub-Plan and Sections 102(b)(2) and (3) of the ITO, the Rules, and the Trust Agreement, a copy of which has been made available to Optionee. Optionee confirms that (a) Optionee is familiar with the terms and provisions of Section 102 of the ITO, particularly the capital gains track described in subsections (b)(2) and (3) thereof, and agrees not to require the Trustee to release the Option or to sell or transfer the Option to Optionee or any third party unless permitted to do so by applicable law; (b) the terms and restrictions set forth in the Israel Sub-Plan will apply to the Option in all respects, including without limitation with respect to mandatory withholding requirements for Tax-Related Items, and the rights and authorities of the Company, the Employer and the Trustee with respect thereto, and (c) the Company, its affiliates, assignees and successors shall be under no duty to ensure, and no representation or commitment is made, that the Option qualifies or shall qualify under any particular tax treatment.</w:t>
      </w:r>
    </w:p>
    <w:p>
      <w:pPr>
        <w:spacing w:after="0" w:line="189"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23.3 </w:t>
      </w:r>
      <w:r>
        <w:rPr>
          <w:rFonts w:ascii="Times New Roman" w:cs="Times New Roman" w:eastAsia="Times New Roman" w:hAnsi="Times New Roman"/>
          <w:sz w:val="19"/>
          <w:szCs w:val="19"/>
          <w:b w:val="1"/>
          <w:bCs w:val="1"/>
          <w:u w:val="single" w:color="auto"/>
          <w:color w:val="auto"/>
        </w:rPr>
        <w:t>Deposit of Shares with Trustee</w:t>
      </w:r>
      <w:r>
        <w:rPr>
          <w:rFonts w:ascii="Times New Roman" w:cs="Times New Roman" w:eastAsia="Times New Roman" w:hAnsi="Times New Roman"/>
          <w:sz w:val="19"/>
          <w:szCs w:val="19"/>
          <w:color w:val="auto"/>
        </w:rPr>
        <w:t>. Optionee further acknowledges and agrees that Option and any Shares issued upon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exercise thereof shall be deposited with the Trustee in order to comply with the requirements of the capital gains track under Sections 102(b)</w:t>
      </w:r>
    </w:p>
    <w:p>
      <w:pPr>
        <w:spacing w:after="0"/>
        <w:rPr>
          <w:sz w:val="20"/>
          <w:szCs w:val="20"/>
          <w:color w:val="auto"/>
        </w:rPr>
      </w:pPr>
      <w:r>
        <w:rPr>
          <w:rFonts w:ascii="Times New Roman" w:cs="Times New Roman" w:eastAsia="Times New Roman" w:hAnsi="Times New Roman"/>
          <w:sz w:val="20"/>
          <w:szCs w:val="20"/>
          <w:color w:val="auto"/>
        </w:rPr>
        <w:t>(2) and (3) of the ITO. Optionee</w:t>
      </w:r>
    </w:p>
    <w:p>
      <w:pPr>
        <w:sectPr>
          <w:pgSz w:w="11900" w:h="16838" w:orient="portrait"/>
          <w:cols w:equalWidth="0" w:num="1">
            <w:col w:w="11240"/>
          </w:cols>
          <w:pgMar w:left="320" w:top="1413" w:right="339" w:bottom="1440" w:gutter="0" w:footer="0" w:header="0"/>
        </w:sectPr>
      </w:pPr>
    </w:p>
    <w:bookmarkStart w:id="375" w:name="page376"/>
    <w:bookmarkEnd w:id="375"/>
    <w:p>
      <w:pPr>
        <w:spacing w:after="0" w:line="283" w:lineRule="auto"/>
        <w:rPr>
          <w:sz w:val="20"/>
          <w:szCs w:val="20"/>
          <w:color w:val="auto"/>
        </w:rPr>
      </w:pPr>
      <w:r>
        <w:rPr>
          <w:rFonts w:ascii="Times New Roman" w:cs="Times New Roman" w:eastAsia="Times New Roman" w:hAnsi="Times New Roman"/>
          <w:sz w:val="20"/>
          <w:szCs w:val="20"/>
          <w:color w:val="auto"/>
        </w:rPr>
        <w:t>hereby undertakes to release the Trustee from any liability in respect of any action or decision duly taken and bona fide executed in relation to the Plan, Option or Shares issued thereunder.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t>Attachments:</w:t>
      </w:r>
      <w:r>
        <w:rPr>
          <w:sz w:val="20"/>
          <w:szCs w:val="20"/>
          <w:color w:val="auto"/>
        </w:rPr>
        <w:tab/>
      </w:r>
      <w:r>
        <w:rPr>
          <w:rFonts w:ascii="Times New Roman" w:cs="Times New Roman" w:eastAsia="Times New Roman" w:hAnsi="Times New Roman"/>
          <w:sz w:val="20"/>
          <w:szCs w:val="20"/>
          <w:u w:val="single" w:color="auto"/>
          <w:color w:val="auto"/>
        </w:rPr>
        <w:t>Addendum</w:t>
      </w:r>
      <w:r>
        <w:rPr>
          <w:rFonts w:ascii="Times New Roman" w:cs="Times New Roman" w:eastAsia="Times New Roman" w:hAnsi="Times New Roman"/>
          <w:sz w:val="20"/>
          <w:szCs w:val="20"/>
          <w:color w:val="auto"/>
        </w:rPr>
        <w:t>: Terms and Conditions for Employees Outside the U.S.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Form of Stock Option Exercise Notice and Agreement</w:t>
      </w:r>
    </w:p>
    <w:p>
      <w:pPr>
        <w:sectPr>
          <w:pgSz w:w="11900" w:h="16838" w:orient="portrait"/>
          <w:cols w:equalWidth="0" w:num="1">
            <w:col w:w="11240"/>
          </w:cols>
          <w:pgMar w:left="320" w:top="1413" w:right="339" w:bottom="1440" w:gutter="0" w:footer="0" w:header="0"/>
        </w:sectPr>
      </w:pPr>
    </w:p>
    <w:bookmarkStart w:id="376" w:name="page377"/>
    <w:bookmarkEnd w:id="376"/>
    <w:p>
      <w:pPr>
        <w:jc w:val="center"/>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ADDENDUM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TERMS AND CONDITIONS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OPTION HOLDERS OUTSIDE THE U.S.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This Addendum includes additional terms and conditions that govern the Option granted to Optionee under the Plan if Optionee resides and/or works outside of the United States. Capitalized terms used but not defined herein shall have the meanings ascribed to them in the Plan and/or the Stock Option Agreement to which this Addendum is attached.</w:t>
      </w:r>
    </w:p>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If Optionee is a citizen or resident of a country other than the one in which he or she is currently working and/or residing, transfers to another country after the Date of Grant, is a consultant, changes employment status to a consultant position or is considered a resident of another country for local law purposes, the Company shall, in its discretion, determine the extent to which the special terms and conditions contained herein shall be applicable to Optionee. References to Optionee’s Employer shall include any entity that engages Optionee’s services.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accepting this Option, Optionee acknowledges, understands and agrees to the following:</w:t>
      </w:r>
    </w:p>
    <w:p>
      <w:pPr>
        <w:spacing w:after="0" w:line="212" w:lineRule="exact"/>
        <w:rPr>
          <w:sz w:val="20"/>
          <w:szCs w:val="20"/>
          <w:color w:val="auto"/>
        </w:rPr>
      </w:pPr>
    </w:p>
    <w:p>
      <w:pPr>
        <w:jc w:val="both"/>
        <w:ind w:firstLine="656"/>
        <w:spacing w:after="0" w:line="291" w:lineRule="auto"/>
        <w:tabs>
          <w:tab w:leader="none" w:pos="994" w:val="left"/>
        </w:tabs>
        <w:numPr>
          <w:ilvl w:val="0"/>
          <w:numId w:val="2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Data Privacy Information and Consent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The Company is located at 1501 Page Mill Road, Building 1 (Upper), Palo Alto, CA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94304, United States, and grants awards to employees of the Company and its Parent and Subsidiaries, at the Company’s sole discretion. If Optionee would like to participate in the Plan, please review the following information about the Company’s data processing practices.</w:t>
      </w:r>
    </w:p>
    <w:p>
      <w:pPr>
        <w:spacing w:after="0" w:line="137" w:lineRule="exact"/>
        <w:rPr>
          <w:sz w:val="20"/>
          <w:szCs w:val="20"/>
          <w:color w:val="auto"/>
        </w:rPr>
      </w:pPr>
    </w:p>
    <w:p>
      <w:pPr>
        <w:ind w:left="660" w:right="80" w:hanging="4"/>
        <w:spacing w:after="0" w:line="265" w:lineRule="auto"/>
        <w:tabs>
          <w:tab w:leader="none" w:pos="1088" w:val="left"/>
        </w:tabs>
        <w:numPr>
          <w:ilvl w:val="0"/>
          <w:numId w:val="2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u w:val="single" w:color="auto"/>
          <w:color w:val="auto"/>
        </w:rPr>
        <w:t>Data Collection and Usage</w:t>
      </w:r>
      <w:r>
        <w:rPr>
          <w:rFonts w:ascii="Times New Roman" w:cs="Times New Roman" w:eastAsia="Times New Roman" w:hAnsi="Times New Roman"/>
          <w:sz w:val="19"/>
          <w:szCs w:val="19"/>
          <w:b w:val="1"/>
          <w:bCs w:val="1"/>
          <w:i w:val="1"/>
          <w:iCs w:val="1"/>
          <w:color w:val="auto"/>
        </w:rPr>
        <w:t>. The Company or, if different, Optionee’s employer (the “Employer”), and its Subsidiaries, Parent or affiliates collect, process, transfer and use personal data about Plan participants that is necessary for the purpose of implementing, administering and managing the Plan. This personal data may include Optionee’s name, home address and telephone number, date of birth, social insurance number or other identification number, salary, nationality and citizenship, job title, any shares or directorships held in the Company, details of all awards or other entitlements to Shares, granted, canceled, exercised, vested, unvested or outstanding in Optionee’s favor and any other personal information that could identify you (collectively, without limitation, “Data”), which the Company receives from Optionee or the Employer. If the Company offers Optionee an award under the Plan, then the Company will collect Optionee’s Data for purposes of allocating stock and implementing, administering and managing the Plan and will process such Data in accordance with the Company’s then-current data privacy policies, which are made available to Optionee upon commencing employment and also available upon request.</w:t>
      </w:r>
    </w:p>
    <w:p>
      <w:pPr>
        <w:spacing w:after="0" w:line="179" w:lineRule="exact"/>
        <w:rPr>
          <w:rFonts w:ascii="Times New Roman" w:cs="Times New Roman" w:eastAsia="Times New Roman" w:hAnsi="Times New Roman"/>
          <w:sz w:val="19"/>
          <w:szCs w:val="19"/>
          <w:b w:val="1"/>
          <w:bCs w:val="1"/>
          <w:color w:val="auto"/>
        </w:rPr>
      </w:pPr>
    </w:p>
    <w:p>
      <w:pPr>
        <w:ind w:left="660" w:right="120" w:hanging="4"/>
        <w:spacing w:after="0" w:line="263" w:lineRule="auto"/>
        <w:tabs>
          <w:tab w:leader="none" w:pos="1088" w:val="left"/>
        </w:tabs>
        <w:numPr>
          <w:ilvl w:val="0"/>
          <w:numId w:val="27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Data to an independent stock-plan administrator and other third parties based in the United States, which assists the Company with the implementation, administration and management of the Plan. In</w:t>
      </w:r>
    </w:p>
    <w:p>
      <w:pPr>
        <w:sectPr>
          <w:pgSz w:w="11900" w:h="16838" w:orient="portrait"/>
          <w:cols w:equalWidth="0" w:num="1">
            <w:col w:w="11240"/>
          </w:cols>
          <w:pgMar w:left="320" w:top="1409" w:right="339" w:bottom="1440" w:gutter="0" w:footer="0" w:header="0"/>
        </w:sectPr>
      </w:pPr>
    </w:p>
    <w:bookmarkStart w:id="377" w:name="page378"/>
    <w:bookmarkEnd w:id="377"/>
    <w:p>
      <w:pPr>
        <w:ind w:left="4"/>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the future, the Company may select a different service provider and share Optionee’s Data with another company that serves in a similar manner. Optionee understands that the recipients of the Data may be located in the United States or elsewhere, and that the recipients’ country (e.g., the United States) may have different data privacy laws and protections than Optionee’s country. The Company’s service provider may open an account for Optionee to receive Shares. Optionee will be asked to agree on separate terms and data processing practices with the service provider, which is a condition to Optionee’s ability to participate in the Plan. Optionee understands that Optionee may request a list with the names and addresses of any potential recipients of the Data by contacting Optionee’s local human resources representative. Optionee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Optionee’s participation in the Plan.</w:t>
      </w:r>
    </w:p>
    <w:p>
      <w:pPr>
        <w:spacing w:after="0" w:line="187" w:lineRule="exact"/>
        <w:rPr>
          <w:sz w:val="20"/>
          <w:szCs w:val="20"/>
          <w:color w:val="auto"/>
        </w:rPr>
      </w:pPr>
    </w:p>
    <w:p>
      <w:pPr>
        <w:ind w:left="4" w:right="20" w:hanging="4"/>
        <w:spacing w:after="0" w:line="254" w:lineRule="auto"/>
        <w:tabs>
          <w:tab w:leader="none" w:pos="421" w:val="left"/>
        </w:tabs>
        <w:numPr>
          <w:ilvl w:val="0"/>
          <w:numId w:val="27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Data </w:t>
      </w:r>
      <w:r>
        <w:rPr>
          <w:rFonts w:ascii="Times New Roman" w:cs="Times New Roman" w:eastAsia="Times New Roman" w:hAnsi="Times New Roman"/>
          <w:sz w:val="20"/>
          <w:szCs w:val="20"/>
          <w:b w:val="1"/>
          <w:bCs w:val="1"/>
          <w:i w:val="1"/>
          <w:iCs w:val="1"/>
          <w:u w:val="single" w:color="auto"/>
          <w:color w:val="auto"/>
        </w:rPr>
        <w:t>Retention</w:t>
      </w:r>
      <w:r>
        <w:rPr>
          <w:rFonts w:ascii="Times New Roman" w:cs="Times New Roman" w:eastAsia="Times New Roman" w:hAnsi="Times New Roman"/>
          <w:sz w:val="20"/>
          <w:szCs w:val="20"/>
          <w:b w:val="1"/>
          <w:bCs w:val="1"/>
          <w:i w:val="1"/>
          <w:iCs w:val="1"/>
          <w:color w:val="auto"/>
        </w:rPr>
        <w:t>. The Company will use Optionee’s Data only as long as is necessary to implement, administer and manage Optionee’s participation in the Plan or as required to comply with legal or regulatory obligations, including under tax and security laws. When the Company no longer needs Optionee’s Data, the Company will remove it from its systems. If the Company keeps Optionee’s Data longer, it would be to satisfy legal or regulatory obligations and the Company’s legal basis would be relevant laws or regulations. Optionee understands that Optionee may, at any time, view Data, request additional information about the storage and processing of Data, require any necessary amendments to Data or refuse or withdraw the consents herein, in any case without cost, by contacting in writing Optionee’s local human resources representative.</w:t>
      </w:r>
    </w:p>
    <w:p>
      <w:pPr>
        <w:spacing w:after="0" w:line="172" w:lineRule="exact"/>
        <w:rPr>
          <w:rFonts w:ascii="Times New Roman" w:cs="Times New Roman" w:eastAsia="Times New Roman" w:hAnsi="Times New Roman"/>
          <w:sz w:val="20"/>
          <w:szCs w:val="20"/>
          <w:b w:val="1"/>
          <w:bCs w:val="1"/>
          <w:i w:val="1"/>
          <w:iCs w:val="1"/>
          <w:color w:val="auto"/>
        </w:rPr>
      </w:pPr>
    </w:p>
    <w:p>
      <w:pPr>
        <w:ind w:left="4" w:right="40" w:hanging="4"/>
        <w:spacing w:after="0" w:line="252" w:lineRule="auto"/>
        <w:tabs>
          <w:tab w:leader="none" w:pos="432" w:val="left"/>
        </w:tabs>
        <w:numPr>
          <w:ilvl w:val="0"/>
          <w:numId w:val="27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Consent; Voluntariness and Consequences of Denial or Withdrawal</w:t>
      </w:r>
      <w:r>
        <w:rPr>
          <w:rFonts w:ascii="Times New Roman" w:cs="Times New Roman" w:eastAsia="Times New Roman" w:hAnsi="Times New Roman"/>
          <w:sz w:val="20"/>
          <w:szCs w:val="20"/>
          <w:b w:val="1"/>
          <w:bCs w:val="1"/>
          <w:i w:val="1"/>
          <w:iCs w:val="1"/>
          <w:color w:val="auto"/>
        </w:rPr>
        <w:t>. Where permitted by applicable local law in the country where Optionee resides, consent is a requirement for participation in the Plan. In such cases, by accepting this grant, Optionee hereby agrees with the data processing practices as described in this notice and grants such consent to the processing and transfer of his or her Data as described in this Agreement and as necessary for the purpose of administering the Plan. Optionee’s participation in the Plan and Optionee’s grant of consent is purely voluntary. Optionee may deny or withdraw his or her consent at any time; provided that if Optionee does not consent, or if Optionee withdraws his or her consent, Optionee cannot participate in the Plan unless required by applicable law. This would not affect Optionee’s salary as an employee or his or her career; Optionee would merely forfeit the opportunities associated with the Plan.</w:t>
      </w:r>
    </w:p>
    <w:p>
      <w:pPr>
        <w:spacing w:after="0" w:line="187" w:lineRule="exact"/>
        <w:rPr>
          <w:rFonts w:ascii="Times New Roman" w:cs="Times New Roman" w:eastAsia="Times New Roman" w:hAnsi="Times New Roman"/>
          <w:sz w:val="20"/>
          <w:szCs w:val="20"/>
          <w:b w:val="1"/>
          <w:bCs w:val="1"/>
          <w:i w:val="1"/>
          <w:iCs w:val="1"/>
          <w:color w:val="auto"/>
        </w:rPr>
      </w:pPr>
    </w:p>
    <w:p>
      <w:pPr>
        <w:ind w:left="4" w:right="260" w:hanging="4"/>
        <w:spacing w:after="0" w:line="267" w:lineRule="auto"/>
        <w:tabs>
          <w:tab w:leader="none" w:pos="421" w:val="left"/>
        </w:tabs>
        <w:numPr>
          <w:ilvl w:val="0"/>
          <w:numId w:val="27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Data Subject Rights</w:t>
      </w:r>
      <w:r>
        <w:rPr>
          <w:rFonts w:ascii="Times New Roman" w:cs="Times New Roman" w:eastAsia="Times New Roman" w:hAnsi="Times New Roman"/>
          <w:sz w:val="19"/>
          <w:szCs w:val="19"/>
          <w:b w:val="1"/>
          <w:bCs w:val="1"/>
          <w:i w:val="1"/>
          <w:iCs w:val="1"/>
          <w:color w:val="auto"/>
        </w:rPr>
        <w:t>. Optionee has a number of rights under data privacy laws in his or her country. Depending on where Optionee is based, Optionee’s rights may include the right to (i) request access or copies of Optionee’s Data the Company processes, (ii) have the Company rectify Optionee’s incorrect Data and/or delete Optionee’s Data, (iv) restrict processing of Optionee’s Data, (v) have portability of Optionee’s Data, (vi) lodge complaints with the competent tax authorities in Optionee’s country and/or (vii) obtain a list with the names and addresses of any potential recipients of Optionee’s Data. To receive clarification regarding Optionee’s rights or to exercise Optionee’s rights please contact the Company at 1501 Page Mill Road, Building 1 (Upper), Palo Alto, CA 94304, United States, United States, Attn: Stock Administration.</w:t>
      </w:r>
    </w:p>
    <w:p>
      <w:pPr>
        <w:sectPr>
          <w:pgSz w:w="11900" w:h="16838" w:orient="portrait"/>
          <w:cols w:equalWidth="0" w:num="1">
            <w:col w:w="10544"/>
          </w:cols>
          <w:pgMar w:left="976" w:top="1409" w:right="379" w:bottom="1440" w:gutter="0" w:footer="0" w:header="0"/>
        </w:sectPr>
      </w:pPr>
    </w:p>
    <w:bookmarkStart w:id="378" w:name="page379"/>
    <w:bookmarkEnd w:id="378"/>
    <w:p>
      <w:pPr>
        <w:jc w:val="both"/>
        <w:ind w:left="-656" w:firstLine="656"/>
        <w:spacing w:after="0" w:line="251" w:lineRule="auto"/>
        <w:tabs>
          <w:tab w:leader="none" w:pos="352" w:val="left"/>
        </w:tabs>
        <w:numPr>
          <w:ilvl w:val="0"/>
          <w:numId w:val="2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Insider Trading Restrictions/Market Abuse Laws</w:t>
      </w:r>
      <w:r>
        <w:rPr>
          <w:rFonts w:ascii="Times New Roman" w:cs="Times New Roman" w:eastAsia="Times New Roman" w:hAnsi="Times New Roman"/>
          <w:sz w:val="20"/>
          <w:szCs w:val="20"/>
          <w:color w:val="auto"/>
        </w:rPr>
        <w:t>. Optionee acknowledges that, if and when the Shares are publicly listed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stock exchange, depending on his or her country, Optionee may be subject to insider trading restrictions and/or market abuse laws in applicable jurisdictions, which may affect his or her ability to directly or indirectly, accept, acquire, sell or attempt to sell or otherwise dispose of Shares or rights to the Shares, or rights linked to the value of Shares during such times as Optionee is considered to have “inside information” regarding the Company (as defined by the laws and/or regulations in applicable jurisdictions or Optionee’s country). Local insider trading laws and regulations may prohibit the cancellation or amendment of orders placed by Optionee before possessing the inside information. Furthermore, Optionee may be prohibited from (i) disclosing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Optionee acknowledges that it is Optionee’s responsibility to comply with any applicable restrictions, and Optionee is advised to speak to his or her personal advisor on this matter.</w:t>
      </w:r>
    </w:p>
    <w:p>
      <w:pPr>
        <w:spacing w:after="0" w:line="189" w:lineRule="exact"/>
        <w:rPr>
          <w:rFonts w:ascii="Times New Roman" w:cs="Times New Roman" w:eastAsia="Times New Roman" w:hAnsi="Times New Roman"/>
          <w:sz w:val="20"/>
          <w:szCs w:val="20"/>
          <w:b w:val="1"/>
          <w:bCs w:val="1"/>
          <w:color w:val="auto"/>
        </w:rPr>
      </w:pPr>
    </w:p>
    <w:p>
      <w:pPr>
        <w:jc w:val="both"/>
        <w:ind w:left="-656" w:firstLine="656"/>
        <w:spacing w:after="0" w:line="255" w:lineRule="auto"/>
        <w:tabs>
          <w:tab w:leader="none" w:pos="365" w:val="left"/>
        </w:tabs>
        <w:numPr>
          <w:ilvl w:val="0"/>
          <w:numId w:val="2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Language</w:t>
      </w:r>
      <w:r>
        <w:rPr>
          <w:rFonts w:ascii="Times New Roman" w:cs="Times New Roman" w:eastAsia="Times New Roman" w:hAnsi="Times New Roman"/>
          <w:sz w:val="20"/>
          <w:szCs w:val="20"/>
          <w:color w:val="auto"/>
        </w:rPr>
        <w:t>. Optionee acknowledges that he or she is sufficiently proficient in English to understand the terms and conditions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Furthermore, if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183" w:lineRule="exact"/>
        <w:rPr>
          <w:rFonts w:ascii="Times New Roman" w:cs="Times New Roman" w:eastAsia="Times New Roman" w:hAnsi="Times New Roman"/>
          <w:sz w:val="20"/>
          <w:szCs w:val="20"/>
          <w:b w:val="1"/>
          <w:bCs w:val="1"/>
          <w:color w:val="auto"/>
        </w:rPr>
      </w:pPr>
    </w:p>
    <w:p>
      <w:pPr>
        <w:jc w:val="both"/>
        <w:ind w:left="-656" w:firstLine="656"/>
        <w:spacing w:after="0" w:line="254" w:lineRule="auto"/>
        <w:tabs>
          <w:tab w:leader="none" w:pos="473" w:val="left"/>
        </w:tabs>
        <w:numPr>
          <w:ilvl w:val="0"/>
          <w:numId w:val="2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Foreign Asset/Account Reporting Requirements</w:t>
      </w:r>
      <w:r>
        <w:rPr>
          <w:rFonts w:ascii="Times New Roman" w:cs="Times New Roman" w:eastAsia="Times New Roman" w:hAnsi="Times New Roman"/>
          <w:sz w:val="20"/>
          <w:szCs w:val="20"/>
          <w:color w:val="auto"/>
        </w:rPr>
        <w:t>. Optionee acknowledges that there may be certain foreign asset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reporting requirements which may affect Optionee’s ability to acquire or hold Shares acquired under the Plan or cash received from participating in the Plan in a brokerage account outside his or her country. Optionee may also be required to repatriate sale proceeds or other funds received as a result of participating in the Plan to his or her country through a designated bank or broker within a certain time after receipt. It is Optionee’s responsibility to be compliant with such regulations and Optionee should speak with his or her personal advisor on this matter.</w:t>
      </w:r>
    </w:p>
    <w:p>
      <w:pPr>
        <w:spacing w:after="0" w:line="173" w:lineRule="exact"/>
        <w:rPr>
          <w:rFonts w:ascii="Times New Roman" w:cs="Times New Roman" w:eastAsia="Times New Roman" w:hAnsi="Times New Roman"/>
          <w:sz w:val="20"/>
          <w:szCs w:val="20"/>
          <w:b w:val="1"/>
          <w:bCs w:val="1"/>
          <w:color w:val="auto"/>
        </w:rPr>
      </w:pPr>
    </w:p>
    <w:p>
      <w:pPr>
        <w:jc w:val="both"/>
        <w:ind w:left="-656" w:firstLine="656"/>
        <w:spacing w:after="0" w:line="254" w:lineRule="auto"/>
        <w:tabs>
          <w:tab w:leader="none" w:pos="500" w:val="left"/>
        </w:tabs>
        <w:numPr>
          <w:ilvl w:val="0"/>
          <w:numId w:val="2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Extraordinary Compensation</w:t>
      </w:r>
      <w:r>
        <w:rPr>
          <w:rFonts w:ascii="Times New Roman" w:cs="Times New Roman" w:eastAsia="Times New Roman" w:hAnsi="Times New Roman"/>
          <w:sz w:val="20"/>
          <w:szCs w:val="20"/>
          <w:color w:val="auto"/>
        </w:rPr>
        <w:t>. The value of the Option is an extraordinary item of compensation outside the scope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Optionee’s employment contract, if any, and is not to be considered part of his or her normal or expected compensation for purposes of calculating severance, resignation, redundancy, end of service payments, bonuses, long-service awards, pension or retirement benefits or similar payments. Optionee acknowledges that the right to be granted Options and the right to exercise the Option and to continue vesting or to receive further grants of options will terminate effective as of the date upon which Optionee receives notice of Termination, regardless of when the Termination is effective.</w:t>
      </w:r>
    </w:p>
    <w:p>
      <w:pPr>
        <w:spacing w:after="0" w:line="186" w:lineRule="exact"/>
        <w:rPr>
          <w:rFonts w:ascii="Times New Roman" w:cs="Times New Roman" w:eastAsia="Times New Roman" w:hAnsi="Times New Roman"/>
          <w:sz w:val="20"/>
          <w:szCs w:val="20"/>
          <w:b w:val="1"/>
          <w:bCs w:val="1"/>
          <w:color w:val="auto"/>
        </w:rPr>
      </w:pPr>
    </w:p>
    <w:p>
      <w:pPr>
        <w:jc w:val="both"/>
        <w:ind w:left="-656" w:firstLine="656"/>
        <w:spacing w:after="0" w:line="254" w:lineRule="auto"/>
        <w:tabs>
          <w:tab w:leader="none" w:pos="338" w:val="left"/>
        </w:tabs>
        <w:numPr>
          <w:ilvl w:val="0"/>
          <w:numId w:val="2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Participation Ceases When Employment Ceases</w:t>
      </w:r>
      <w:r>
        <w:rPr>
          <w:rFonts w:ascii="Times New Roman" w:cs="Times New Roman" w:eastAsia="Times New Roman" w:hAnsi="Times New Roman"/>
          <w:sz w:val="20"/>
          <w:szCs w:val="20"/>
          <w:color w:val="auto"/>
        </w:rPr>
        <w:t>. Except in the case of an approved leave of absence (as set forth more fully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Optionee understands that he/she shall have terminated employment as of the date he or she ceases to provide services (regardless of whether the termination is in breach of local employment laws or is later found to be invalid) and employment shall not be extended by any notice period or garden leave mandated by local law, provided however, that a change in status from an employee to a consultant or advisor shall not terminate the Optionee’s continuous service, unless determined by the Committee, in its discretion.</w:t>
      </w:r>
    </w:p>
    <w:p>
      <w:pPr>
        <w:sectPr>
          <w:pgSz w:w="11900" w:h="16838" w:orient="portrait"/>
          <w:cols w:equalWidth="0" w:num="1">
            <w:col w:w="10584"/>
          </w:cols>
          <w:pgMar w:left="976" w:top="1409" w:right="339" w:bottom="1440" w:gutter="0" w:footer="0" w:header="0"/>
        </w:sectPr>
      </w:pPr>
    </w:p>
    <w:bookmarkStart w:id="379" w:name="page380"/>
    <w:bookmarkEnd w:id="379"/>
    <w:p>
      <w:pPr>
        <w:ind w:left="1000" w:hanging="344"/>
        <w:spacing w:after="0"/>
        <w:tabs>
          <w:tab w:leader="none" w:pos="1000" w:val="left"/>
        </w:tabs>
        <w:numPr>
          <w:ilvl w:val="0"/>
          <w:numId w:val="28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Additional Acknowledgments and Agreements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accepting this Option, Optionee also acknowledges, understands and agrees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205" w:lineRule="exact"/>
        <w:rPr>
          <w:sz w:val="20"/>
          <w:szCs w:val="20"/>
          <w:color w:val="auto"/>
        </w:rPr>
      </w:pPr>
    </w:p>
    <w:p>
      <w:pPr>
        <w:ind w:left="1300" w:hanging="644"/>
        <w:spacing w:after="0" w:line="282" w:lineRule="auto"/>
        <w:tabs>
          <w:tab w:leader="none" w:pos="107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03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voluntary and occasional and does not create any contractual or other right to receive future grants of options, or benefits in lieu of options, even if options have been granted in the past;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 or other grants,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61" w:lineRule="auto"/>
        <w:tabs>
          <w:tab w:leader="none" w:pos="98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grant and Optionee’s participation in the Plan shall not create a right to employment or be interpreted as forming an employment or service contract with the Company, or, if different, the Employer, or any Subsidiary or Parent of the Company, and shall not interfere with the ability of the Company, the Employer or any Subsidiary or Parent of the Company, as applicable, to provide for a Termination of Optionee’s service;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is voluntarily participating in the Plan;</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any Shares acquired under the Plan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ind w:left="1300" w:hanging="644"/>
        <w:spacing w:after="0" w:line="266" w:lineRule="auto"/>
        <w:tabs>
          <w:tab w:leader="none" w:pos="10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any Shares acquired under the Plan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Option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do not increase in value, the Option will have no value;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99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Optionee exercises the Option and acquires Shares, the value of such Shares may increase or decrease in value, even below the Exercise Price;</w:t>
      </w:r>
    </w:p>
    <w:p>
      <w:pPr>
        <w:spacing w:after="0" w:line="161" w:lineRule="exact"/>
        <w:rPr>
          <w:rFonts w:ascii="Times New Roman" w:cs="Times New Roman" w:eastAsia="Times New Roman" w:hAnsi="Times New Roman"/>
          <w:sz w:val="18"/>
          <w:szCs w:val="18"/>
          <w:color w:val="auto"/>
        </w:rPr>
      </w:pPr>
    </w:p>
    <w:p>
      <w:pPr>
        <w:ind w:left="1300" w:hanging="644"/>
        <w:spacing w:after="0" w:line="254" w:lineRule="auto"/>
        <w:tabs>
          <w:tab w:leader="none" w:pos="103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 resulting from the Termination of Optionee’s service (for any reason whatsoever, whether or not later found to be invalid or in breach of employment laws in the jurisdiction where Optionee is employed or the terms of Optionee’s employment agreement, if any), and in consideration of the grant of the Option to which Optionee is otherwise not entitled, Optionee irrevocably agrees never to institute any claim against the Company, or any Subsidiary or Parent of the Company, or the Employer, and waives Optionee’s ability, if any, to bring any such claim, and releases the Company, and any Subsidiary or Parent of the Company, and the Employer from any such claim; if, notwithstanding the foregoing, any such claim is allowed by a court of competent jurisdiction, then, by participating in the Plan, Optionee shall be deemed irrevocably to have agreed not to pursue such claim and agrees to execute any and all documents necessary to request dismissal or withdrawal of such claim;</w:t>
      </w:r>
    </w:p>
    <w:p>
      <w:pPr>
        <w:spacing w:after="0" w:line="191" w:lineRule="exact"/>
        <w:rPr>
          <w:rFonts w:ascii="Times New Roman" w:cs="Times New Roman" w:eastAsia="Times New Roman" w:hAnsi="Times New Roman"/>
          <w:sz w:val="18"/>
          <w:szCs w:val="18"/>
          <w:color w:val="auto"/>
        </w:rPr>
      </w:pPr>
    </w:p>
    <w:p>
      <w:pPr>
        <w:ind w:left="1300" w:hanging="644"/>
        <w:spacing w:after="0" w:line="266" w:lineRule="auto"/>
        <w:tabs>
          <w:tab w:leader="none" w:pos="96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Option, Optionee’s service will be considered Terminated as of the date Optionee is no longer actively providing services to the Company or any Subsidiary or Parent of the Company (regardless of the reason for such Termination and whether or not later found to be</w:t>
      </w:r>
    </w:p>
    <w:p>
      <w:pPr>
        <w:sectPr>
          <w:pgSz w:w="11900" w:h="16838" w:orient="portrait"/>
          <w:cols w:equalWidth="0" w:num="1">
            <w:col w:w="11240"/>
          </w:cols>
          <w:pgMar w:left="320" w:top="1409" w:right="339" w:bottom="1440" w:gutter="0" w:footer="0" w:header="0"/>
        </w:sectPr>
      </w:pPr>
    </w:p>
    <w:bookmarkStart w:id="380" w:name="page381"/>
    <w:bookmarkEnd w:id="380"/>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invalid or in breach of employment laws in the jurisdiction where Optionee is employed or the terms of Optionee’s employment agreement, if any), and unless otherwise expressly provided in this Agreement or determined by the Company, (i) Optionee’s right to vest in the Option under the Plan, if any, will terminate as of such date and will not be extended by any notice period (e.g., Optionee’s period of service would not include any contractual notice period or any period of “garden leave” or similar period mandated under employment laws in the jurisdiction where Optionee is employed or the terms of Optionee’s employment agreement, if any); and (ii) the period (if any) during which Optionee may exercise the option after such Termination will commence on the date Optionee ceases to actively provide services and will not be extended by any notice period mandated under employment laws in the jurisdiction where Optionee is employed or terms of Optionee’s employment agreement, if any; the Board shall have the exclusive discretion to determine when Optionee is no longer actively providing services for purposes of the Option grant (including whether y Optionee may still be considered to be providing services while on a leave of absence);</w:t>
      </w:r>
    </w:p>
    <w:p>
      <w:pPr>
        <w:spacing w:after="0" w:line="194" w:lineRule="exact"/>
        <w:rPr>
          <w:sz w:val="20"/>
          <w:szCs w:val="20"/>
          <w:color w:val="auto"/>
        </w:rPr>
      </w:pPr>
    </w:p>
    <w:p>
      <w:pPr>
        <w:ind w:left="1300" w:hanging="644"/>
        <w:spacing w:after="0" w:line="266" w:lineRule="auto"/>
        <w:tabs>
          <w:tab w:leader="none" w:pos="106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of the Company;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part of normal or expected compensation or salary for any purpose; and</w:t>
      </w:r>
    </w:p>
    <w:p>
      <w:pPr>
        <w:spacing w:after="0" w:line="225" w:lineRule="exact"/>
        <w:rPr>
          <w:rFonts w:ascii="Times New Roman" w:cs="Times New Roman" w:eastAsia="Times New Roman" w:hAnsi="Times New Roman"/>
          <w:sz w:val="18"/>
          <w:szCs w:val="18"/>
          <w:color w:val="auto"/>
        </w:rPr>
      </w:pPr>
    </w:p>
    <w:p>
      <w:pPr>
        <w:ind w:left="1300" w:hanging="644"/>
        <w:spacing w:after="0" w:line="266" w:lineRule="auto"/>
        <w:tabs>
          <w:tab w:leader="none" w:pos="101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Employer nor the Company or any Parent or Subsidiary of the Company shall be liable for any foreign exchange rate fluctuation between Optionee’s local currency and the United States Dollar that may affect the value of the Option or of any amounts due to Optionee pursuant to the exercise of the Option or the subsequent sale of any Shares acquired upon exercise.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Addendum also includes information regarding exchange controls and certain other issues of which Optionee should be aware with respect to Optionee’s participation in the Plan. The information is provided solely for the convenience of Optionee and is based on the securities, exchange control and other laws in effect in the respective countries as of November 2019. Such laws are often complex and change frequently. As a result, the Company strongly recommends that Optionee not rely on the information noted herein as the only source of information relating to the consequences of Optionee’s participation in the Plan because the information may be out of date by the time Optionee vests in or exercises this Option or sells any exercised Shares.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the information contained in this Addendum is general in nature and may not apply to Optionee’s particular situation, and the Company is not in a position to assure Optionee of any particular result. Accordingly, Optionee is advised to seek appropriate professional advice as to how the applicable laws in Optionee’s country may apply to his or her situation.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Finally, Optionee understands that if he or she is a citizen or resident of a country other than the one in which he or she is currently residing and/or working, transfers to another country after the Date of Grant, or is considered a resident of another country for local law purposes, the notifications contained herein may not be applicable to Optionee in the same manner.</w:t>
      </w:r>
    </w:p>
    <w:p>
      <w:pPr>
        <w:sectPr>
          <w:pgSz w:w="11900" w:h="16838" w:orient="portrait"/>
          <w:cols w:equalWidth="0" w:num="1">
            <w:col w:w="11240"/>
          </w:cols>
          <w:pgMar w:left="320" w:top="1417" w:right="33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w:t>
      </w:r>
      <w:r>
        <w:rPr>
          <w:rFonts w:ascii="Times New Roman" w:cs="Times New Roman" w:eastAsia="Times New Roman" w:hAnsi="Times New Roman"/>
          <w:sz w:val="20"/>
          <w:szCs w:val="20"/>
          <w:color w:val="auto"/>
        </w:rPr>
        <w:t>. Where funds greater than AUD 10,000 are transferred, a reporting requirement exists to the Reserve Bank of Australia.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 Australian bank is assisting Optionee with the transaction, the bank will file the report on Optionee’s behalf. If no Australian bank is involved in the transfer, Optionee will be required to file the report.</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b w:val="1"/>
          <w:bCs w:val="1"/>
          <w:u w:val="single" w:color="auto"/>
          <w:color w:val="auto"/>
        </w:rPr>
        <w:t>Securities Law</w:t>
      </w:r>
      <w:r>
        <w:rPr>
          <w:rFonts w:ascii="Times New Roman" w:cs="Times New Roman" w:eastAsia="Times New Roman" w:hAnsi="Times New Roman"/>
          <w:sz w:val="19"/>
          <w:szCs w:val="19"/>
          <w:color w:val="auto"/>
        </w:rPr>
        <w:t>. No prospectus, product disclosure statement or other disclosure document has been lodged with the Australian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Investments Commission (</w:t>
      </w:r>
      <w:r>
        <w:rPr>
          <w:rFonts w:ascii="Times New Roman" w:cs="Times New Roman" w:eastAsia="Times New Roman" w:hAnsi="Times New Roman"/>
          <w:sz w:val="19"/>
          <w:szCs w:val="19"/>
          <w:b w:val="1"/>
          <w:bCs w:val="1"/>
          <w:color w:val="auto"/>
        </w:rPr>
        <w:t>ASIC</w:t>
      </w:r>
      <w:r>
        <w:rPr>
          <w:rFonts w:ascii="Times New Roman" w:cs="Times New Roman" w:eastAsia="Times New Roman" w:hAnsi="Times New Roman"/>
          <w:sz w:val="19"/>
          <w:szCs w:val="19"/>
          <w:color w:val="auto"/>
        </w:rPr>
        <w:t>) in relation to the offer. The Notice of Stock Option Grant and the Stock Option Agreement do not constitute a prospectus, product disclosure statement or other disclosure document under the Corporations Act 2001 (Cth) (the “</w:t>
      </w:r>
      <w:r>
        <w:rPr>
          <w:rFonts w:ascii="Times New Roman" w:cs="Times New Roman" w:eastAsia="Times New Roman" w:hAnsi="Times New Roman"/>
          <w:sz w:val="19"/>
          <w:szCs w:val="19"/>
          <w:b w:val="1"/>
          <w:bCs w:val="1"/>
          <w:i w:val="1"/>
          <w:iCs w:val="1"/>
          <w:color w:val="auto"/>
        </w:rPr>
        <w:t>Corporations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and do not purport to include the information required for a prospectus, product disclosure statement or other disclosure document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under the Corporations Act. Any offer of the Option in Australia may only be made to, and this document may only be made available in Australia to, persons (“</w:t>
      </w:r>
      <w:r>
        <w:rPr>
          <w:rFonts w:ascii="Times New Roman" w:cs="Times New Roman" w:eastAsia="Times New Roman" w:hAnsi="Times New Roman"/>
          <w:sz w:val="19"/>
          <w:szCs w:val="19"/>
          <w:b w:val="1"/>
          <w:bCs w:val="1"/>
          <w:i w:val="1"/>
          <w:iCs w:val="1"/>
          <w:color w:val="auto"/>
        </w:rPr>
        <w:t>Exempt Investors</w:t>
      </w:r>
      <w:r>
        <w:rPr>
          <w:rFonts w:ascii="Times New Roman" w:cs="Times New Roman" w:eastAsia="Times New Roman" w:hAnsi="Times New Roman"/>
          <w:sz w:val="19"/>
          <w:szCs w:val="19"/>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Options without disclosure to investors under Chapter 6D of the Corporations Act. The Options applied for by Exempt Investors in Australia and the shares issued upon exercise of the Options must not be offered for sale in Australia in the period of 12 months after the date of allotment or issue,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Options or Shares must observe such Australian on-sale restrictions. This Agreement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from a person who is licensed by the Australian Securities and Investments Commission to give such advice on those matters.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Currency Exchange Rates</w:t>
      </w:r>
      <w:r>
        <w:rPr>
          <w:rFonts w:ascii="Times New Roman" w:cs="Times New Roman" w:eastAsia="Times New Roman" w:hAnsi="Times New Roman"/>
          <w:sz w:val="20"/>
          <w:szCs w:val="20"/>
          <w:color w:val="auto"/>
        </w:rPr>
        <w:t>. The Australian dollar equivalent of any U.S. dollar price set forth in the Plan or the Option can be calculated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applying the USD/AUD exchange rate published by the Reserve Bank of Australia on the date the Option is granted, which exchange rate is accessible at the following link http://www.rba.gov.au/statistics/frequency/exchange-rates.html. Exchange rates can also be found using the following link https://www.oanda.com/fx-for-business/historical-rates.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Obtaining Plan Rules</w:t>
      </w:r>
      <w:r>
        <w:rPr>
          <w:rFonts w:ascii="Times New Roman" w:cs="Times New Roman" w:eastAsia="Times New Roman" w:hAnsi="Times New Roman"/>
          <w:sz w:val="20"/>
          <w:szCs w:val="20"/>
          <w:color w:val="auto"/>
        </w:rPr>
        <w:t>. The Company undertakes, at Optionee’s request, at no charge and within a reasonable time, to provide Optionee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copy of the rules of the Plan.</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u w:val="single" w:color="auto"/>
          <w:color w:val="auto"/>
        </w:rPr>
        <w:t>Transfer Restrictions</w:t>
      </w:r>
      <w:r>
        <w:rPr>
          <w:rFonts w:ascii="Times New Roman" w:cs="Times New Roman" w:eastAsia="Times New Roman" w:hAnsi="Times New Roman"/>
          <w:sz w:val="20"/>
          <w:szCs w:val="20"/>
          <w:color w:val="auto"/>
        </w:rPr>
        <w:t>. If Optionee acquires Shares pursuant to the Option and offers the Shares for sale to a person or entity resident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Australia in compliance with the terms of the Option and the Plan, such offer may be additionally subject to disclosure requirements under Australian law. Optionee should obtain legal advice as to Optionee’s disclosure obligations prior to making any such offer, even if in compliance with the terms of the Option and the Plan.</w:t>
      </w:r>
    </w:p>
    <w:p>
      <w:pPr>
        <w:sectPr>
          <w:pgSz w:w="11900" w:h="16838" w:orient="portrait"/>
          <w:cols w:equalWidth="0" w:num="1">
            <w:col w:w="11240"/>
          </w:cols>
          <w:pgMar w:left="320" w:top="1409" w:right="339" w:bottom="1440" w:gutter="0" w:footer="0" w:header="0"/>
        </w:sectPr>
      </w:pPr>
    </w:p>
    <w:bookmarkStart w:id="382" w:name="page383"/>
    <w:bookmarkEnd w:id="382"/>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Risk Warning</w:t>
      </w:r>
      <w:r>
        <w:rPr>
          <w:rFonts w:ascii="Times New Roman" w:cs="Times New Roman" w:eastAsia="Times New Roman" w:hAnsi="Times New Roman"/>
          <w:sz w:val="20"/>
          <w:szCs w:val="20"/>
          <w:color w:val="auto"/>
        </w:rPr>
        <w:t>. The Option carries a risk that the Company’s shares may fall as well as rise in value. Market forces will impact the price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shares, and at their worst, their market value may become zero if adverse market conditions are encountered. In such a scenario, or if the value of the Company’s shares falls below the exercise price of an unexercised Option, the value Optionee’s awards would be nil.</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Option is also subject to the Plan rules and the terms of the Option, which may provide, among other things, that vesting of the Option is conditional on the satisfaction of one or more conditions linked to performance.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Data Protection</w:t>
      </w:r>
      <w:r>
        <w:rPr>
          <w:rFonts w:ascii="Times New Roman" w:cs="Times New Roman" w:eastAsia="Times New Roman" w:hAnsi="Times New Roman"/>
          <w:sz w:val="20"/>
          <w:szCs w:val="20"/>
          <w:color w:val="auto"/>
        </w:rPr>
        <w:t>. The Company and the Employer expressly inform Optionee that, if he or she participates in the Plan:</w:t>
      </w:r>
    </w:p>
    <w:p>
      <w:pPr>
        <w:spacing w:after="0" w:line="220" w:lineRule="exact"/>
        <w:rPr>
          <w:sz w:val="20"/>
          <w:szCs w:val="20"/>
          <w:color w:val="auto"/>
        </w:rPr>
      </w:pPr>
    </w:p>
    <w:p>
      <w:pPr>
        <w:jc w:val="both"/>
        <w:ind w:firstLine="8"/>
        <w:spacing w:after="0" w:line="257" w:lineRule="auto"/>
        <w:tabs>
          <w:tab w:leader="none" w:pos="445"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Optionee consents to the Company, the Employer, any Parent, Subsidiary and any of their related bodies corporate or any third party collecting the personal information (including Data and other sensitive information) necessary to administer the Plan and disclosing any Data or other personal information necessary to administer the Plan to the Company, the Employer, any Parent, Subsidiary or any of their related bodies corporate or any third party engaged to assist in implementing the Plan, which receiving party may be situated inside or outside Australia, including in jurisdictions that may not afford Optionee’s information the same level of protection that Australian laws do.</w:t>
      </w:r>
    </w:p>
    <w:p>
      <w:pPr>
        <w:spacing w:after="0" w:line="172" w:lineRule="exact"/>
        <w:rPr>
          <w:rFonts w:ascii="Times New Roman" w:cs="Times New Roman" w:eastAsia="Times New Roman" w:hAnsi="Times New Roman"/>
          <w:sz w:val="20"/>
          <w:szCs w:val="20"/>
          <w:color w:val="auto"/>
        </w:rPr>
      </w:pPr>
    </w:p>
    <w:p>
      <w:pPr>
        <w:jc w:val="both"/>
        <w:ind w:firstLine="8"/>
        <w:spacing w:after="0" w:line="261" w:lineRule="auto"/>
        <w:tabs>
          <w:tab w:leader="none" w:pos="568"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and/or the Employer will not be required to take steps to ensure that the Company, the Employer, any Parent or Subsidiary or any of their related bodies corporate or any third party engaged to assist in implementing the Plan do not breach the Australian Privacy Principles.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w:t>
      </w:r>
    </w:p>
    <w:p>
      <w:pPr>
        <w:spacing w:after="0" w:line="21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Form of Payment for Options</w:t>
      </w:r>
      <w:r>
        <w:rPr>
          <w:rFonts w:ascii="Times New Roman" w:cs="Times New Roman" w:eastAsia="Times New Roman" w:hAnsi="Times New Roman"/>
          <w:sz w:val="20"/>
          <w:szCs w:val="20"/>
          <w:color w:val="auto"/>
        </w:rPr>
        <w:t>. Optionee may not pay the Exercise Price or any Tax-Related Obligations by surrendering Shares Optionee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already owns or by attesting to the ownership of Shares.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Termination of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provision replaces Section 7(l) of this Addendum:</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purposes of the Option, Optionee’s service will be considered Terminated, and Optionee’s right (if any) to earn, seek damages in lieu of, vest in, exercise, or otherwise benefit from any portion of the Option pursuant to this Agreement will be measured by, the date that is the earliest of:</w:t>
      </w:r>
    </w:p>
    <w:p>
      <w:pPr>
        <w:spacing w:after="0" w:line="181" w:lineRule="exact"/>
        <w:rPr>
          <w:sz w:val="20"/>
          <w:szCs w:val="20"/>
          <w:color w:val="auto"/>
        </w:rPr>
      </w:pPr>
    </w:p>
    <w:p>
      <w:pPr>
        <w:ind w:left="960" w:hanging="304"/>
        <w:spacing w:after="0"/>
        <w:tabs>
          <w:tab w:leader="none" w:pos="96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Optionee’s service is Terminated for any reason; and</w:t>
      </w:r>
    </w:p>
    <w:p>
      <w:pPr>
        <w:spacing w:after="0" w:line="215"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Optionee receives written notice of Termination from the Employer;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regardless of any period during which notice, pay in lieu of notice or related payments or damages are provided or required to be provided under local law. For greater certainty, Optionee will not earn or be entitled to any pro-rated vesting or extended exercisability for that portion of time before the date on which Optionee’s right to vest in or exercise the Option terminates, nor will Optionee be entitled to any compensation for lost vesting or exercisability.</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Notwithstanding the foregoing, if applicable employment standards legislation explicitly requires continued vesting or exercisability during a statutory notice period, Optionee’s right to vest in or exercise</w:t>
      </w:r>
    </w:p>
    <w:p>
      <w:pPr>
        <w:sectPr>
          <w:pgSz w:w="11900" w:h="16838" w:orient="portrait"/>
          <w:cols w:equalWidth="0" w:num="1">
            <w:col w:w="11240"/>
          </w:cols>
          <w:pgMar w:left="320" w:top="1409" w:right="339" w:bottom="1440" w:gutter="0" w:footer="0" w:header="0"/>
        </w:sectPr>
      </w:pPr>
    </w:p>
    <w:bookmarkStart w:id="383" w:name="page384"/>
    <w:bookmarkEnd w:id="383"/>
    <w:p>
      <w:pPr>
        <w:jc w:val="both"/>
        <w:spacing w:after="0" w:line="261" w:lineRule="auto"/>
        <w:rPr>
          <w:sz w:val="20"/>
          <w:szCs w:val="20"/>
          <w:color w:val="auto"/>
        </w:rPr>
      </w:pPr>
      <w:r>
        <w:rPr>
          <w:rFonts w:ascii="Times New Roman" w:cs="Times New Roman" w:eastAsia="Times New Roman" w:hAnsi="Times New Roman"/>
          <w:sz w:val="20"/>
          <w:szCs w:val="20"/>
          <w:color w:val="auto"/>
        </w:rPr>
        <w:t>the Option, if any, will terminate effective upon the expiry of the minimum statutory notice period, but Optionee will not earn or be entitled to pro-rated vesting or extended exercisability if the vesting date or exercisability period falls after the end of the statutory notice period, nor will Optionee be entitled to any compensation for lost vesting or exercisability.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1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color w:val="auto"/>
        </w:rPr>
        <w:t>. Optionee is permitted to sell Shares acquired under the Plan, provided that the resale of such Shares takes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place outside of Canada.</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Foreign Asset / Account Reporting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specified property, including Shares and rights to Shares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the Option), held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 Canadian resident must be reported annually on Form T1135 (Foreign Income Verification Statement) if the total cost of such foreign specified property exceeds C$100,000 at any time during the year. If applicable, Form T1135 is due by April 30th of the following year. Options must be reported – generally at a nil cost – if the C$100,000 cost threshold is exceeded because of other foreign specified property held by the resident. When Shares are acquired, their cost generally is the adjusted cost base (“</w:t>
      </w:r>
      <w:r>
        <w:rPr>
          <w:rFonts w:ascii="Times New Roman" w:cs="Times New Roman" w:eastAsia="Times New Roman" w:hAnsi="Times New Roman"/>
          <w:sz w:val="20"/>
          <w:szCs w:val="20"/>
          <w:b w:val="1"/>
          <w:bCs w:val="1"/>
          <w:i w:val="1"/>
          <w:iCs w:val="1"/>
          <w:color w:val="auto"/>
        </w:rPr>
        <w:t>ACB</w:t>
      </w:r>
      <w:r>
        <w:rPr>
          <w:rFonts w:ascii="Times New Roman" w:cs="Times New Roman" w:eastAsia="Times New Roman" w:hAnsi="Times New Roman"/>
          <w:sz w:val="20"/>
          <w:szCs w:val="20"/>
          <w:color w:val="auto"/>
        </w:rPr>
        <w:t>”) of the Shares. The ACB would ordinarily equal the fair market value of the Shares at the time of acquisition, but if other Shares are owned, this ACB may have to be averaged with the ACB of the other Shares. Optionee is responsible for ensuring compliance with any applicable reporting obligations and should speak to a personal legal advisor on this matter.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DENMARK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w:t>
      </w:r>
    </w:p>
    <w:p>
      <w:pPr>
        <w:spacing w:after="0" w:line="22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Danish Stock Option Act</w:t>
      </w:r>
      <w:r>
        <w:rPr>
          <w:rFonts w:ascii="Times New Roman" w:cs="Times New Roman" w:eastAsia="Times New Roman" w:hAnsi="Times New Roman"/>
          <w:sz w:val="20"/>
          <w:szCs w:val="20"/>
          <w:color w:val="auto"/>
        </w:rPr>
        <w:t>. By participating in the Plan, Optionee acknowledges that he or she has received an Employer Statement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translated into Danish, which is being provided to comply with the Danish Stock Option Act, as amended (the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Optionee understands that the Act only applies to “employees” as that term is defined in Section 2 of the Act. If Optionee is a member of the registered management of a Parent or Subsidiary in Denmark or otherwise does not satisfy the definition of employee, Optionee is not subject to the Act and the Employer Statement will not apply to Optionee.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Acknowledgements and Agreements</w:t>
      </w:r>
      <w:r>
        <w:rPr>
          <w:rFonts w:ascii="Times New Roman" w:cs="Times New Roman" w:eastAsia="Times New Roman" w:hAnsi="Times New Roman"/>
          <w:sz w:val="20"/>
          <w:szCs w:val="20"/>
          <w:color w:val="auto"/>
        </w:rPr>
        <w:t>. The following provision supplements Section 7 of this Addendum:</w:t>
      </w:r>
    </w:p>
    <w:p>
      <w:pPr>
        <w:spacing w:after="0" w:line="23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By participating in the Plan and accepting this Option, Optionee acknowledges, understands and agrees that this offer relates to future services to be performed and is not related to past services.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w:t>
      </w:r>
      <w:r>
        <w:rPr>
          <w:rFonts w:ascii="Times New Roman" w:cs="Times New Roman" w:eastAsia="Times New Roman" w:hAnsi="Times New Roman"/>
          <w:sz w:val="20"/>
          <w:szCs w:val="20"/>
          <w:color w:val="auto"/>
        </w:rPr>
        <w:t>. Danish residents must report foreign bank or brokerage accounts and the deposits and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held in such foreign bank or brokerage accounts in their annual tax returns under the section on foreign affairs and income.</w:t>
      </w:r>
    </w:p>
    <w:p>
      <w:pPr>
        <w:sectPr>
          <w:pgSz w:w="11900" w:h="16838" w:orient="portrait"/>
          <w:cols w:equalWidth="0" w:num="1">
            <w:col w:w="11240"/>
          </w:cols>
          <w:pgMar w:left="320" w:top="1413" w:right="33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Consent to Receive Information in English</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accepting this Option, Optionee confirms having read and understood the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relating to this grant (the Plan and this Agreement) which were provided in English language. Optionee accepts the terms of those documents accordingly.</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Consentement à recevoir des informations en anglais</w:t>
      </w:r>
      <w:r>
        <w:rPr>
          <w:rFonts w:ascii="Times New Roman" w:cs="Times New Roman" w:eastAsia="Times New Roman" w:hAnsi="Times New Roman"/>
          <w:sz w:val="20"/>
          <w:szCs w:val="20"/>
          <w:i w:val="1"/>
          <w:iCs w:val="1"/>
          <w:color w:val="auto"/>
        </w:rPr>
        <w:t>. En acceptant l’Option, le participant confirme ainsi avoir lu et compris les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documents relatifs à cette attribution (le Plan U.S. et ce Contrat d’Attribution) qui ont été communiqués en langue anglaise. Le participant accepte les termes en connaissance de cause.</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The following provisions apply only if Optionee is eligible to be granted a French-Qualified Option under the French Sub-Plan (defined below). If Optionee is ineligible to be granted a French-Qualified Option under the French Sub-Plan, the Option will not qualify for the special French tax and social security treatment under Sections L. 225-177 to L. 225-186 and Sections L. 22-10-56 to L. 22-10-58 of the French Commercial Code, as amended.</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Type of Grant</w:t>
      </w:r>
      <w:r>
        <w:rPr>
          <w:rFonts w:ascii="Times New Roman" w:cs="Times New Roman" w:eastAsia="Times New Roman" w:hAnsi="Times New Roman"/>
          <w:sz w:val="20"/>
          <w:szCs w:val="20"/>
          <w:color w:val="auto"/>
        </w:rPr>
        <w:t>. The Option is granted as a French-Qualified Option and is intended to qualify for the special tax and social security treatment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France under Sections L. 225-177 to L. 225-186 and Sections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L. 22-10-56 to L. 22-10-58 of the French Commercial Code, as amended. The French-Qualified Option is granted subject to the Rules of the Navan, Inc. 2015 Equity Incentive Plan for Stock Options and Restricted Stock Units Granted to Participants in France (the “</w:t>
      </w:r>
      <w:r>
        <w:rPr>
          <w:rFonts w:ascii="Times New Roman" w:cs="Times New Roman" w:eastAsia="Times New Roman" w:hAnsi="Times New Roman"/>
          <w:sz w:val="20"/>
          <w:szCs w:val="20"/>
          <w:b w:val="1"/>
          <w:bCs w:val="1"/>
          <w:i w:val="1"/>
          <w:iCs w:val="1"/>
          <w:color w:val="auto"/>
        </w:rPr>
        <w:t>French Sub-Plan</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Certain events may affect the status of the Option as a French-Qualified Option, and the French-Qualified Option or the underlying Shares may be disqualified in the future. The Company does not make any undertaking or representation to maintain the qualified status of the French-Qualified Option or of the underlying Shares. Capitalized terms not defined herein, in the Agreement or the Plan shall have the meanings ascribed to them in the French Sub-Plan.</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Holding Periods for Managing Corporate Officers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on the Date of Grant the French Participant qualifies as a managing corporate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French law (“</w:t>
      </w:r>
      <w:r>
        <w:rPr>
          <w:rFonts w:ascii="Times New Roman" w:cs="Times New Roman" w:eastAsia="Times New Roman" w:hAnsi="Times New Roman"/>
          <w:sz w:val="20"/>
          <w:szCs w:val="20"/>
          <w:i w:val="1"/>
          <w:iCs w:val="1"/>
          <w:color w:val="auto"/>
        </w:rPr>
        <w:t>mandataires sociaux</w:t>
      </w:r>
      <w:r>
        <w:rPr>
          <w:rFonts w:ascii="Times New Roman" w:cs="Times New Roman" w:eastAsia="Times New Roman" w:hAnsi="Times New Roman"/>
          <w:sz w:val="20"/>
          <w:szCs w:val="20"/>
          <w:color w:val="auto"/>
        </w:rPr>
        <w:t>”) or any similar official capacity of the Company or a Subsidiary, the French Participant may not sell 20% of the Shares acquired upon exercise of the French-Qualified Option until the termination of such official capacity, as long as this restriction is applicable to French-Qualified Options.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No Transfer of French-Qualified Option</w:t>
      </w:r>
      <w:r>
        <w:rPr>
          <w:rFonts w:ascii="Times New Roman" w:cs="Times New Roman" w:eastAsia="Times New Roman" w:hAnsi="Times New Roman"/>
          <w:sz w:val="20"/>
          <w:szCs w:val="20"/>
          <w:color w:val="auto"/>
        </w:rPr>
        <w:t>. The French-Qualified Option may not be sold, assigned, transferred, pledged, hypothecated,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disposed of in any manner during a French Participant’s lifetime and upon death only in accordance with Section II.4 of the French Sub-Plan, and only to the extent required by applicable laws (including the provisions of Sections L. 225-177 to L. 225-186 and Sections L. 22-10-56 to L. 22-10-58 of the French Commercial Code, as amended).</w:t>
      </w:r>
    </w:p>
    <w:p>
      <w:pPr>
        <w:spacing w:after="0" w:line="164"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9"/>
          <w:szCs w:val="19"/>
          <w:b w:val="1"/>
          <w:bCs w:val="1"/>
          <w:u w:val="single" w:color="auto"/>
          <w:color w:val="auto"/>
        </w:rPr>
        <w:t>Term of the Option</w:t>
      </w:r>
      <w:r>
        <w:rPr>
          <w:rFonts w:ascii="Times New Roman" w:cs="Times New Roman" w:eastAsia="Times New Roman" w:hAnsi="Times New Roman"/>
          <w:sz w:val="19"/>
          <w:szCs w:val="19"/>
          <w:color w:val="auto"/>
        </w:rPr>
        <w:t>. Notwithstanding anything in the Plan or Agreement, the French-Qualified Option will expire nine years and six months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the Date of Grant, unless sooner terminated, forfeited, or canceled in accordance with the provisions of the Plan or Agreement.</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Termination of Service Due to Death</w:t>
      </w:r>
      <w:r>
        <w:rPr>
          <w:rFonts w:ascii="Times New Roman" w:cs="Times New Roman" w:eastAsia="Times New Roman" w:hAnsi="Times New Roman"/>
          <w:sz w:val="20"/>
          <w:szCs w:val="20"/>
          <w:color w:val="auto"/>
        </w:rPr>
        <w:t>. Notwithstanding anything in the Plan or Agreement, in the event Optionee is Terminated due to death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to the satisfaction of the vesting conditions set forth in the</w:t>
      </w:r>
    </w:p>
    <w:p>
      <w:pPr>
        <w:sectPr>
          <w:pgSz w:w="11900" w:h="16838" w:orient="portrait"/>
          <w:cols w:equalWidth="0" w:num="1">
            <w:col w:w="11240"/>
          </w:cols>
          <w:pgMar w:left="320" w:top="1409" w:right="339" w:bottom="1440" w:gutter="0" w:footer="0" w:header="0"/>
        </w:sectPr>
      </w:pPr>
    </w:p>
    <w:bookmarkStart w:id="385" w:name="page386"/>
    <w:bookmarkEnd w:id="385"/>
    <w:p>
      <w:pPr>
        <w:jc w:val="both"/>
        <w:spacing w:after="0" w:line="258" w:lineRule="auto"/>
        <w:rPr>
          <w:sz w:val="20"/>
          <w:szCs w:val="20"/>
          <w:color w:val="auto"/>
        </w:rPr>
      </w:pPr>
      <w:r>
        <w:rPr>
          <w:rFonts w:ascii="Times New Roman" w:cs="Times New Roman" w:eastAsia="Times New Roman" w:hAnsi="Times New Roman"/>
          <w:sz w:val="20"/>
          <w:szCs w:val="20"/>
          <w:color w:val="auto"/>
        </w:rPr>
        <w:t>Vesting Schedule of the Grant Notice, any portion of the French-Qualified Option that has not vested as of such date will immediately vest and Optionee’s rights under the French-Qualified Option may be exercised by Optionee’s legal heirs within six months of the date of death. If Optionee’s heirs do not exercise the unexercised portion of the French-Qualified Option within six months of the date of death, the unexercised portion of the French-Qualified Option will terminate and be forfeited.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Optionee is a French resident and holds Shares outside of France or maintains a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account, Optionee is required to report such to the French tax authorities when filing Optionee’s tax return.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w:t>
      </w:r>
      <w:r>
        <w:rPr>
          <w:rFonts w:ascii="Times New Roman" w:cs="Times New Roman" w:eastAsia="Times New Roman" w:hAnsi="Times New Roman"/>
          <w:sz w:val="20"/>
          <w:szCs w:val="20"/>
          <w:color w:val="auto"/>
        </w:rPr>
        <w:t>. Cross-border payments in excess of €12,500 must be reported monthly to the German Federal Bank. In case of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securities (including proceeds realized upon the sale of Shares or the receipt of dividends), the report must be made electronically by the 5th day of the month following the month in which the payment was received. The form of report (“</w:t>
      </w:r>
      <w:r>
        <w:rPr>
          <w:rFonts w:ascii="Times New Roman" w:cs="Times New Roman" w:eastAsia="Times New Roman" w:hAnsi="Times New Roman"/>
          <w:sz w:val="20"/>
          <w:szCs w:val="20"/>
          <w:i w:val="1"/>
          <w:iCs w:val="1"/>
          <w:color w:val="auto"/>
        </w:rPr>
        <w:t>Allgemeine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Meldeportal Statistik</w:t>
      </w:r>
      <w:r>
        <w:rPr>
          <w:rFonts w:ascii="Times New Roman" w:cs="Times New Roman" w:eastAsia="Times New Roman" w:hAnsi="Times New Roman"/>
          <w:sz w:val="20"/>
          <w:szCs w:val="20"/>
          <w:color w:val="auto"/>
        </w:rPr>
        <w:t>”) can be accessed via the Bundesbank’s website (www.bundesbank.de) and is available in both German and English.</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w:t>
      </w:r>
      <w:r>
        <w:rPr>
          <w:rFonts w:ascii="Times New Roman" w:cs="Times New Roman" w:eastAsia="Times New Roman" w:hAnsi="Times New Roman"/>
          <w:sz w:val="20"/>
          <w:szCs w:val="20"/>
          <w:color w:val="auto"/>
        </w:rPr>
        <w:t>. If Optionee’s acquisition of Shares under the Plan leads to a “qualified participation” at any point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calendar year, Optionee will need to report the acquisition of such Shares when Optionee files a tax return for the relevant year. A qualified participation occurs if (i) the value of the Shares acquired exceeds €150,000 or (ii) the Shares held exceed 10% of the Company’s total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Director Notification Information</w:t>
      </w:r>
      <w:r>
        <w:rPr>
          <w:rFonts w:ascii="Times New Roman" w:cs="Times New Roman" w:eastAsia="Times New Roman" w:hAnsi="Times New Roman"/>
          <w:sz w:val="20"/>
          <w:szCs w:val="20"/>
          <w:color w:val="auto"/>
        </w:rPr>
        <w:t>. Directors, shadow directors and secretaries of an Irish Parent, or Subsidiary of the Company must notify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Parent or Subsidiary in writing upon (i) receiving or disposing of an interest in the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the Option, Shares,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Optionee should consult Optionee’s personal legal advisor as to whether or not this notification requirement applies.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ISRAEL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Data Privacy</w:t>
      </w:r>
      <w:r>
        <w:rPr>
          <w:rFonts w:ascii="Times New Roman" w:cs="Times New Roman" w:eastAsia="Times New Roman" w:hAnsi="Times New Roman"/>
          <w:sz w:val="20"/>
          <w:szCs w:val="20"/>
          <w:color w:val="auto"/>
        </w:rPr>
        <w:t>. The following provision supplements the Data Privacy Information and Consent set forth in Section 1 of this Addendum:</w:t>
      </w:r>
    </w:p>
    <w:p>
      <w:pPr>
        <w:sectPr>
          <w:pgSz w:w="11900" w:h="16838" w:orient="portrait"/>
          <w:cols w:equalWidth="0" w:num="1">
            <w:col w:w="11240"/>
          </w:cols>
          <w:pgMar w:left="320" w:top="1413" w:right="339" w:bottom="1440" w:gutter="0" w:footer="0" w:header="0"/>
        </w:sectPr>
      </w:pPr>
    </w:p>
    <w:bookmarkStart w:id="386" w:name="page387"/>
    <w:bookmarkEnd w:id="386"/>
    <w:p>
      <w:pPr>
        <w:jc w:val="both"/>
        <w:spacing w:after="0" w:line="258" w:lineRule="auto"/>
        <w:rPr>
          <w:sz w:val="20"/>
          <w:szCs w:val="20"/>
          <w:color w:val="auto"/>
        </w:rPr>
      </w:pPr>
      <w:r>
        <w:rPr>
          <w:rFonts w:ascii="Times New Roman" w:cs="Times New Roman" w:eastAsia="Times New Roman" w:hAnsi="Times New Roman"/>
          <w:sz w:val="20"/>
          <w:szCs w:val="20"/>
          <w:color w:val="auto"/>
        </w:rPr>
        <w:t>Optionee hereby authorizes the Company, the Trustee and their representatives to collect, use and transfer all relevant information regarding Optionee and the Option to all Company personnel and agents and or third parties involved in the administration of the Plan and/or in the event of a corporate financing, merger, acquisitions and/or business transfers, including transfers outside of Israel and further transfers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color w:val="auto"/>
        </w:rPr>
        <w:t>. The Option grant does not constitute a public offering under the Securities Law, 1968.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w:t>
      </w:r>
    </w:p>
    <w:p>
      <w:pPr>
        <w:spacing w:after="0" w:line="22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Labor Matters</w:t>
      </w:r>
      <w:r>
        <w:rPr>
          <w:rFonts w:ascii="Times New Roman" w:cs="Times New Roman" w:eastAsia="Times New Roman" w:hAnsi="Times New Roman"/>
          <w:sz w:val="20"/>
          <w:szCs w:val="20"/>
          <w:color w:val="auto"/>
        </w:rPr>
        <w:t>. By participating in the Plan, Optionee acknowledges that the Option is intended as an incentive for Optionee to remain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 to the Company (or the Employer), and the Option is not intended as remuneration for labor performed.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w:t>
      </w:r>
      <w:r>
        <w:rPr>
          <w:rFonts w:ascii="Times New Roman" w:cs="Times New Roman" w:eastAsia="Times New Roman" w:hAnsi="Times New Roman"/>
          <w:sz w:val="20"/>
          <w:szCs w:val="20"/>
          <w:color w:val="auto"/>
        </w:rPr>
        <w:t>. The offer of the Option and the Shares falls outside of the supervision of the Authority for Financial Markets,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is not required to prepare a prospectus in connection with the Option or the Shares.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Insider Trading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should be aware of the Dutch insider-trading rules, which may impact the sale of Shares acquired at exercise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 In particular, Participant may be prohibited from effectuating certain transactions involving Shares if Participant has inside information about the Company. If Participant is uncertain whether the insider-trading rules apply to him or her, he or she should consult his or her personal legal advisor.</w:t>
      </w:r>
    </w:p>
    <w:p>
      <w:pPr>
        <w:spacing w:after="0" w:line="16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Tax Matters</w:t>
      </w:r>
      <w:r>
        <w:rPr>
          <w:rFonts w:ascii="Times New Roman" w:cs="Times New Roman" w:eastAsia="Times New Roman" w:hAnsi="Times New Roman"/>
          <w:sz w:val="20"/>
          <w:szCs w:val="20"/>
          <w:color w:val="auto"/>
        </w:rPr>
        <w:t>. If payment or withholding of the taxes due in connection with the options is not made, the amount of any uncollected tax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a loan owed to your employer, which will bear interest at the then current market rate.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NEW ZEALAND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u w:val="single" w:color="auto"/>
          <w:color w:val="auto"/>
        </w:rPr>
        <w:t>WARNING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is being offered this Option which, upon exercise in accordance with the terms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Plan, will enable Optionee to acquire Shares. The Shares, if issued, will give Optionee a stake in the ownership of the Company. Optionee may receive a return if dividends are paid. The Shares are in a privately-held company and, as of April 2023, are not quoted on any public stock exchange. This means that Optionee may not be able to sell the Shares in an arm’s length transaction on the open market.</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the Company runs into financial difficulties and is wound up, Optionee will be paid, if at all, only after all creditors and holders of preference shares (if any) have been paid. Optionee may lose some or all of Optionee’s investment, if any.</w:t>
      </w:r>
    </w:p>
    <w:p>
      <w:pPr>
        <w:sectPr>
          <w:pgSz w:w="11900" w:h="16838" w:orient="portrait"/>
          <w:cols w:equalWidth="0" w:num="1">
            <w:col w:w="11240"/>
          </w:cols>
          <w:pgMar w:left="320" w:top="1413" w:right="339" w:bottom="1440" w:gutter="0" w:footer="0" w:header="0"/>
        </w:sectPr>
      </w:pPr>
    </w:p>
    <w:bookmarkStart w:id="387" w:name="page388"/>
    <w:bookmarkEnd w:id="387"/>
    <w:p>
      <w:pPr>
        <w:jc w:val="both"/>
        <w:spacing w:after="0" w:line="258" w:lineRule="auto"/>
        <w:rPr>
          <w:sz w:val="20"/>
          <w:szCs w:val="20"/>
          <w:color w:val="auto"/>
        </w:rPr>
      </w:pPr>
      <w:r>
        <w:rPr>
          <w:rFonts w:ascii="Times New Roman" w:cs="Times New Roman" w:eastAsia="Times New Roman" w:hAnsi="Times New Roman"/>
          <w:sz w:val="20"/>
          <w:szCs w:val="20"/>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Optionee may not be given all the information usually required. Optionee will also have fewer other legal protections for this investment.</w:t>
      </w:r>
    </w:p>
    <w:p>
      <w:pPr>
        <w:spacing w:after="0" w:line="1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Upon request to the Company and free of charge, Optionee has a right to receive a copy of the Company’s annual report (if any), recent financial statements, and any auditor’s report. The Company may provide these documents to Optionee by electronic means or by informing Optionee of where such documents may be accessed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website or employee intranet portal). The Company is required to satisfy Optionee’s request for any of the above mentioned documents within five (5) business days of receiving such request.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Optionee should ask questions, read all documents carefully, and seek independent financial advice before making a commitment.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PORTUGAL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Language Consent</w:t>
      </w:r>
      <w:r>
        <w:rPr>
          <w:rFonts w:ascii="Times New Roman" w:cs="Times New Roman" w:eastAsia="Times New Roman" w:hAnsi="Times New Roman"/>
          <w:sz w:val="20"/>
          <w:szCs w:val="20"/>
          <w:color w:val="auto"/>
        </w:rPr>
        <w:t>. Optionee hereby expressly declares that he or she has full knowledge of the English language and has read, understood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fully accepted and agreed with the terms and conditions established in the Plan and the Agreement.</w:t>
      </w:r>
    </w:p>
    <w:p>
      <w:pPr>
        <w:spacing w:after="0" w:line="16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Conhecimento da Lingua</w:t>
      </w:r>
      <w:r>
        <w:rPr>
          <w:rFonts w:ascii="Times New Roman" w:cs="Times New Roman" w:eastAsia="Times New Roman" w:hAnsi="Times New Roman"/>
          <w:sz w:val="20"/>
          <w:szCs w:val="20"/>
          <w:i w:val="1"/>
          <w:iCs w:val="1"/>
          <w:color w:val="auto"/>
        </w:rPr>
        <w:t>. O Contratado, pelo presente instrumento, declara expressamente que tem pleno conhecimento da língua inglesa 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que leu, compreendeu e livremente aceitou e concordou com os termos e condições estabelecidas no Plano e no Acordo.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color w:val="auto"/>
        </w:rPr>
        <w:t>. Optionee will be required to report the acquisition and sale of Shares to the Bank of Portugal for statistical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In the event Shares are deposited into a Portuguese financial intermediary, the intermediary will be obligated to fulfill this reporting requirement.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Exercise Period</w:t>
      </w:r>
      <w:r>
        <w:rPr>
          <w:rFonts w:ascii="Times New Roman" w:cs="Times New Roman" w:eastAsia="Times New Roman" w:hAnsi="Times New Roman"/>
          <w:sz w:val="20"/>
          <w:szCs w:val="20"/>
          <w:color w:val="auto"/>
        </w:rPr>
        <w:t>. This provision supplements Section 2 of the Stock Option Agreement.</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Optionee hereby agrees that Shares acquired upon exercise of this Option will not be offered for sale in Singapore prior to the six-month anniversary of the Date of Grant, unless such sale or offer is made pursuant to the exemptions under Part XIII Division (1) Subdivision (4) (other than section 280) of the Securities and Futures Act (Chap. 289, 2006 Ed.) (“SFA”) and in accordance with the conditions of any other applicable provision of the SFA.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2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w:t>
      </w:r>
      <w:r>
        <w:rPr>
          <w:rFonts w:ascii="Times New Roman" w:cs="Times New Roman" w:eastAsia="Times New Roman" w:hAnsi="Times New Roman"/>
          <w:sz w:val="20"/>
          <w:szCs w:val="20"/>
          <w:color w:val="auto"/>
        </w:rPr>
        <w:t>. This Option is being granted to Optionee in reliance on the “Qualifying Person” exemption under section 273(1)(f)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SFA, is exempt from the prospectus and registration</w:t>
      </w:r>
    </w:p>
    <w:p>
      <w:pPr>
        <w:sectPr>
          <w:pgSz w:w="11900" w:h="16838" w:orient="portrait"/>
          <w:cols w:equalWidth="0" w:num="1">
            <w:col w:w="11240"/>
          </w:cols>
          <w:pgMar w:left="320" w:top="1413" w:right="339" w:bottom="1440" w:gutter="0" w:footer="0" w:header="0"/>
        </w:sectPr>
      </w:pPr>
    </w:p>
    <w:bookmarkStart w:id="388" w:name="page389"/>
    <w:bookmarkEnd w:id="388"/>
    <w:p>
      <w:pPr>
        <w:jc w:val="both"/>
        <w:spacing w:after="0" w:line="310" w:lineRule="auto"/>
        <w:rPr>
          <w:sz w:val="20"/>
          <w:szCs w:val="20"/>
          <w:color w:val="auto"/>
        </w:rPr>
      </w:pPr>
      <w:r>
        <w:rPr>
          <w:rFonts w:ascii="Times New Roman" w:cs="Times New Roman" w:eastAsia="Times New Roman" w:hAnsi="Times New Roman"/>
          <w:sz w:val="19"/>
          <w:szCs w:val="19"/>
          <w:color w:val="auto"/>
        </w:rPr>
        <w:t>requirements under the SFA and is not made to Optionee with a view to this Option or underlying Shares being subsequently offered for sale to any other party. The Plan has not been and will not be lodged or registered as a prospectus with the Monetary Authority of Singapore.</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Director Notification Obligation</w:t>
      </w:r>
      <w:r>
        <w:rPr>
          <w:rFonts w:ascii="Times New Roman" w:cs="Times New Roman" w:eastAsia="Times New Roman" w:hAnsi="Times New Roman"/>
          <w:sz w:val="20"/>
          <w:szCs w:val="20"/>
          <w:color w:val="auto"/>
        </w:rPr>
        <w:t>. Directors (including alternate, substitute, associate and shadow directors) of a Singapore Parent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Subsidiary of the Company are subject to certain notification requirements under the Singapore Companies Act. Among these requirements is an obligation to notify such entity in writing within two business days of any of the following events: (i) the acquisition or disposal of an interest (e.g., Options granted under the Plan or Shares) in the Company or any Parent or Subsidiary of the Company, (ii) any change in previously-disclosed interests (e.g., sale of Shares), or (iii) becoming a director, associate director or shadow director of a Parent or Subsidiary of the Company in Singapore, if the individual holds such an interest at that time. These notification requirements apply regardless of whether the directors are residents of or employed in Singapore.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SPAIN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Acknowledgements and Agreements</w:t>
      </w:r>
      <w:r>
        <w:rPr>
          <w:rFonts w:ascii="Times New Roman" w:cs="Times New Roman" w:eastAsia="Times New Roman" w:hAnsi="Times New Roman"/>
          <w:sz w:val="20"/>
          <w:szCs w:val="20"/>
          <w:color w:val="auto"/>
        </w:rPr>
        <w:t>. This provision supplements Section 7 of this Addendum.</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By accepting this Option, Optionee consents to participation in the Plan and acknowledges that he or she has received a copy of the Plan. Optionee understands that the Company has unilaterally, gratuitously and discretionally decided to grant Options under the Plan to eligible service providers of the Company and its Parent and Subsidiaries throughout the world. This decision is a limited decision that is entered into upon the express assumption and condition that any grant will not bind the Company or any Parent or Subsidiary of the Company other than as expressly set forth in this Agreement. Consequently, Optionee understands that the Options are granted on the assumption and condition that the Options and any Shares acquired under the Plan are not part of any employment or service contract (either with the Company or with any Parent or Subsidiary of the Company) and shall not be considered a mandatory benefit, salary or compensation for any purpose (including severance compensation) or any other right whatsoever.</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 Optionee understands and agrees that, unless otherwise expressly provided for by the Company or set forth in the Plan or this Agreement, the Option will be cancelled without entitlement to any Shares underlying the Option if Optionee is Terminated for any reason,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subject to a “</w:t>
      </w:r>
      <w:r>
        <w:rPr>
          <w:rFonts w:ascii="Times New Roman" w:cs="Times New Roman" w:eastAsia="Times New Roman" w:hAnsi="Times New Roman"/>
          <w:sz w:val="20"/>
          <w:szCs w:val="20"/>
          <w:i w:val="1"/>
          <w:iCs w:val="1"/>
          <w:color w:val="auto"/>
        </w:rPr>
        <w:t>despido improcedente</w:t>
      </w:r>
      <w:r>
        <w:rPr>
          <w:rFonts w:ascii="Times New Roman" w:cs="Times New Roman" w:eastAsia="Times New Roman" w:hAnsi="Times New Roman"/>
          <w:sz w:val="20"/>
          <w:szCs w:val="20"/>
          <w:color w:val="auto"/>
        </w:rPr>
        <w:t>”), material modification of the terms of employment under Article 41 of the Workers’ Statute, relocation under Article 40 of the Workers’ Statute, Article 50 of the Workers’ Statute, or under Article 10.3 of Royal Decree 1382/1985.</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 addition, Optionee understands that this grant would not be made to Optionee but for the assumptions and conditions referred to above; thus, Optionee acknowledges and freely accepts that, should any or all of the assumptions be mistaken or should any of the conditions not be met for any reason, then any grant of, or right to, the Option shall be null and void.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color w:val="auto"/>
        </w:rPr>
        <w:t>. The Option grant described in this Agreement does not qualify under Spanish regulations as a security.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 of securities to the public,” as defined under Spanish law, has</w:t>
      </w:r>
    </w:p>
    <w:p>
      <w:pPr>
        <w:sectPr>
          <w:pgSz w:w="11900" w:h="16838" w:orient="portrait"/>
          <w:cols w:equalWidth="0" w:num="1">
            <w:col w:w="11240"/>
          </w:cols>
          <w:pgMar w:left="320" w:top="1413" w:right="339" w:bottom="1440" w:gutter="0" w:footer="0" w:header="0"/>
        </w:sectPr>
      </w:pPr>
    </w:p>
    <w:bookmarkStart w:id="389" w:name="page390"/>
    <w:bookmarkEnd w:id="389"/>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taken place or will take place in the Spanish territory in connection with the grant of the Option. This Agreement has not been, nor will it be, registered with the </w:t>
      </w:r>
      <w:r>
        <w:rPr>
          <w:rFonts w:ascii="Times New Roman" w:cs="Times New Roman" w:eastAsia="Times New Roman" w:hAnsi="Times New Roman"/>
          <w:sz w:val="20"/>
          <w:szCs w:val="20"/>
          <w:i w:val="1"/>
          <w:iCs w:val="1"/>
          <w:color w:val="auto"/>
        </w:rPr>
        <w:t>Comisión Nacional del Mercado de Valores</w:t>
      </w:r>
      <w:r>
        <w:rPr>
          <w:rFonts w:ascii="Times New Roman" w:cs="Times New Roman" w:eastAsia="Times New Roman" w:hAnsi="Times New Roman"/>
          <w:sz w:val="20"/>
          <w:szCs w:val="20"/>
          <w:color w:val="auto"/>
        </w:rPr>
        <w:t>, and does not constitute a public offering or prospectus.</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color w:val="auto"/>
        </w:rPr>
        <w:t>. Optionee must declare the acquisition of Shares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Register for Investments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Ministry of Economy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Competitiveness on Form D-5 within one month of the acquisition of Shares. Note the requirements will be different if the Shares become publicly traded.</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Optionee may be required to electronically declare to the Bank of Spain any foreign accounts (including brokerage accounts held abroad), any foreign instruments (including Shares acquired under the Plan), and any transactions with non-Spanish residents (including any payments of Shares made pursuant to the Plan), depending on the balances in such accounts together with the value of such instruments as of December 31 of the relevant year, or the volume of transactions with non-Spanish residents during the relevant year.</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Foreign Asset and Account Reporting Information</w:t>
      </w:r>
      <w:r>
        <w:rPr>
          <w:rFonts w:ascii="Times New Roman" w:cs="Times New Roman" w:eastAsia="Times New Roman" w:hAnsi="Times New Roman"/>
          <w:sz w:val="20"/>
          <w:szCs w:val="20"/>
          <w:color w:val="auto"/>
        </w:rPr>
        <w:t>. To the extent that Optionee holds rights or 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cash or Shares held in a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brokerage account) outside Spain with a value in excess of €50,000 per type of right or asset as of December 31 of each year (or at any time during the year in which Optionee sells or disposes of such rights or assets), Optionee is required to report information on such rights and assets on his or her tax return for such year. After such rights or assets are initially reported, the reporting obligation will only apply for subsequent years if the value of any previously-reported rights or assets increases by more than €20,000. Optionee should consult with his or her personal tax advisor to ensure compliance with applicable reporting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SWEDEN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w:t>
      </w: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Responsibility for Taxes</w:t>
      </w:r>
      <w:r>
        <w:rPr>
          <w:rFonts w:ascii="Times New Roman" w:cs="Times New Roman" w:eastAsia="Times New Roman" w:hAnsi="Times New Roman"/>
          <w:sz w:val="20"/>
          <w:szCs w:val="20"/>
          <w:color w:val="auto"/>
        </w:rPr>
        <w:t>. Without limiting the Company’s and the Employer’s authority to satisfy their withholding requirements for Tax-Related Obligations as set forth in the Agreement, by accepting the Option, Optionee authorizes the Company and/or the Employer to withhold or sell Shares otherwise deliverable to Optionee upon exercise to satisfy Tax-Related Obligations, regardless of whether the Company and/or the Employer have an obligation to withhold such Tax-Related Obligations.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ARAB EMIRATES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color w:val="auto"/>
        </w:rPr>
        <w:t>. The Option granted under the Plan is being offered only to eligible service providers of the Company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Parent and Subsidiaries and is in the nature of providing equity incentives to eligible service providers of the Company and its Parent and Subsidiaries. Any documents related to the Option, including the Plan and the Agreement and any other grant documents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Documents</w:t>
      </w:r>
      <w:r>
        <w:rPr>
          <w:rFonts w:ascii="Times New Roman" w:cs="Times New Roman" w:eastAsia="Times New Roman" w:hAnsi="Times New Roman"/>
          <w:sz w:val="20"/>
          <w:szCs w:val="20"/>
          <w:color w:val="auto"/>
        </w:rPr>
        <w:t>”), are intended for distribution only to such eligible service providers and must not be delivered to, or relied on by, any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person. The United Arab Emirates securities or financial/economic authorities have no responsibility for reviewing or verifying any Award Documents and have not approved the Award Documents nor taken steps to verify the information set out in them, and thus, are not responsible for their content. Optionee should, as a prospective stockholder, conduct his or her own due diligence on the securities. If Optionee does not understand the contents of the Award Documents, Optionee should consult an authorized financial advisor.</w:t>
      </w:r>
    </w:p>
    <w:p>
      <w:pPr>
        <w:sectPr>
          <w:pgSz w:w="11900" w:h="16838" w:orient="portrait"/>
          <w:cols w:equalWidth="0" w:num="1">
            <w:col w:w="11240"/>
          </w:cols>
          <w:pgMar w:left="320" w:top="1413" w:right="33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The following terms and conditions apply only if Optionee is an Employee. No grants under this Agreement will be made to Consultants or Directors resident in the United Kingdom, and any such purported grant will be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xml:space="preserve"> and of no force or effect.</w:t>
      </w:r>
    </w:p>
    <w:p>
      <w:pPr>
        <w:spacing w:after="0" w:line="1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u w:val="single" w:color="auto"/>
          <w:color w:val="auto"/>
        </w:rPr>
        <w:t>Responsibility for Taxes</w:t>
      </w:r>
      <w:r>
        <w:rPr>
          <w:rFonts w:ascii="Times New Roman" w:cs="Times New Roman" w:eastAsia="Times New Roman" w:hAnsi="Times New Roman"/>
          <w:sz w:val="20"/>
          <w:szCs w:val="20"/>
          <w:color w:val="auto"/>
        </w:rPr>
        <w:t>. Optionee agrees that Optionee is liable for all Tax-Related Obligations and hereby covenants to pay all such Tax-Related Obligations, as and when requested by the Company or the Employer or by Her Majesty’s Revenue and Customs (“</w:t>
      </w:r>
      <w:r>
        <w:rPr>
          <w:rFonts w:ascii="Times New Roman" w:cs="Times New Roman" w:eastAsia="Times New Roman" w:hAnsi="Times New Roman"/>
          <w:sz w:val="20"/>
          <w:szCs w:val="20"/>
          <w:b w:val="1"/>
          <w:bCs w:val="1"/>
          <w:i w:val="1"/>
          <w:iCs w:val="1"/>
          <w:color w:val="auto"/>
        </w:rPr>
        <w:t>HMRC</w:t>
      </w:r>
      <w:r>
        <w:rPr>
          <w:rFonts w:ascii="Times New Roman" w:cs="Times New Roman" w:eastAsia="Times New Roman" w:hAnsi="Times New Roman"/>
          <w:sz w:val="20"/>
          <w:szCs w:val="20"/>
          <w:color w:val="auto"/>
        </w:rPr>
        <w:t>”) (or any other tax authority or any other relevant authority). Optionee also agrees to place the Company and the Employer in funds, and to indemnify and to keep indemnified the Company and the Employer, in respect of any Tax-Related Obligations for which they are otherwise liable or that they are required to pay or withhold on Optionee’s behalf or have paid or will pay to HMRC (or any other tax authority or any other relevant authority), including, without limitation, all liability to national insurance contributions (“</w:t>
      </w:r>
      <w:r>
        <w:rPr>
          <w:rFonts w:ascii="Times New Roman" w:cs="Times New Roman" w:eastAsia="Times New Roman" w:hAnsi="Times New Roman"/>
          <w:sz w:val="20"/>
          <w:szCs w:val="20"/>
          <w:b w:val="1"/>
          <w:bCs w:val="1"/>
          <w:i w:val="1"/>
          <w:iCs w:val="1"/>
          <w:color w:val="auto"/>
        </w:rPr>
        <w:t>NICs</w:t>
      </w:r>
      <w:r>
        <w:rPr>
          <w:rFonts w:ascii="Times New Roman" w:cs="Times New Roman" w:eastAsia="Times New Roman" w:hAnsi="Times New Roman"/>
          <w:sz w:val="20"/>
          <w:szCs w:val="20"/>
          <w:color w:val="auto"/>
        </w:rPr>
        <w:t>”) (including secondary Class 1 (employer’s) NICs for which Optionee is liable) and, if so required by the Company and/or the Employer, all liability to NICs for which the Company and/or the Employer is/are liable that arises as a consequence of or in connection with Optionee’s award. If payment or withholding of the Tax-Related Obligations due in connection with the Option is not made within ninety (90) days after the end of the year in which the tax event occurs, or such other period specified in U.K. tax law, the amount of any uncollected Tax-Related Obligations will constitute a loan owed by Optionee to the Company and/or the Employer, bearing interest at then-current official rate of HMRC.</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Notwithstanding the foregoing, if Optionee is a director or executive officer of the Company within the meaning of Section 13(k) of the Exchange Act, the terms of the immediately foregoing provision will not apply. In the event that Optionee is a director or executive officer within the meaning of Section 13(k) of the Exchange Act and income tax is not collected from or paid by Optionee within ninety (90) days of the end of the U.K. tax year in which an event giving rise to the indemnification described above occurs, the amount of any uncollected income tax may constitute a benefit to Optionee on which additional Tax-Related Obligations, including, without limitation, income tax and NICs, may be payable. Optionee understands that Optionee will be responsible for reporting any Tax-Related Obligations due on this additional benefit directly to HMRC under the self-assessment regime and for paying the Company or the Employer (as applicable) for the value of any employee NICs due on this additional benefit, which the Company or the Employer may recover from Optionee by any of the means referred to in the Plan or the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Optionee further agrees to permit the Company (a) to sell at the best price at which it can reasonably obtain such number of shares allocated or allotted to Optionee following exercise of the Option as will provide the Company an amount equal to Optionee’s U.K. Tax-Related Obligations and (b) to withhold an amount not exceeding the U.K. Tax-Related Obligations from any amount paid or payable to Optionee.</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Section 431 Election</w:t>
      </w:r>
      <w:r>
        <w:rPr>
          <w:rFonts w:ascii="Times New Roman" w:cs="Times New Roman" w:eastAsia="Times New Roman" w:hAnsi="Times New Roman"/>
          <w:sz w:val="20"/>
          <w:szCs w:val="20"/>
          <w:color w:val="auto"/>
        </w:rPr>
        <w:t>. Optionee agrees, as a condition of participation in the Plan and the exercise of this Option, except as provided below,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Optionee shall, jointly with the Company or the Employer (as applicable), enter into a joint election within Section 431 of the U.K. Income Tax (Earnings and Pensions) Act 2003 (“</w:t>
      </w:r>
      <w:r>
        <w:rPr>
          <w:rFonts w:ascii="Times New Roman" w:cs="Times New Roman" w:eastAsia="Times New Roman" w:hAnsi="Times New Roman"/>
          <w:sz w:val="20"/>
          <w:szCs w:val="20"/>
          <w:b w:val="1"/>
          <w:bCs w:val="1"/>
          <w:i w:val="1"/>
          <w:iCs w:val="1"/>
          <w:color w:val="auto"/>
        </w:rPr>
        <w:t>ITEPA 2003</w:t>
      </w:r>
      <w:r>
        <w:rPr>
          <w:rFonts w:ascii="Times New Roman" w:cs="Times New Roman" w:eastAsia="Times New Roman" w:hAnsi="Times New Roman"/>
          <w:sz w:val="20"/>
          <w:szCs w:val="20"/>
          <w:color w:val="auto"/>
        </w:rPr>
        <w:t>”) in respect of computing any tax charge on the acquisition of “Restricted Securities” (as defined in Sections 423 and 424 of ITEPA 2003), and that Optionee will not revoke such election at any time. This election will be to treat any Shares acquired pursuant to the exercise of this Option as if such Shares were not “Restricted Securities” (for U.K. tax purposes only). If Optionee is</w:t>
      </w:r>
    </w:p>
    <w:p>
      <w:pPr>
        <w:sectPr>
          <w:pgSz w:w="11900" w:h="16838" w:orient="portrait"/>
          <w:cols w:equalWidth="0" w:num="1">
            <w:col w:w="11240"/>
          </w:cols>
          <w:pgMar w:left="320" w:top="1409" w:right="339" w:bottom="1440" w:gutter="0" w:footer="0" w:header="0"/>
        </w:sectPr>
      </w:pPr>
    </w:p>
    <w:bookmarkStart w:id="391" w:name="page392"/>
    <w:bookmarkEnd w:id="391"/>
    <w:p>
      <w:pPr>
        <w:jc w:val="both"/>
        <w:spacing w:after="0" w:line="261" w:lineRule="auto"/>
        <w:rPr>
          <w:sz w:val="20"/>
          <w:szCs w:val="20"/>
          <w:color w:val="auto"/>
        </w:rPr>
      </w:pPr>
      <w:r>
        <w:rPr>
          <w:rFonts w:ascii="Times New Roman" w:cs="Times New Roman" w:eastAsia="Times New Roman" w:hAnsi="Times New Roman"/>
          <w:sz w:val="20"/>
          <w:szCs w:val="20"/>
          <w:color w:val="auto"/>
        </w:rPr>
        <w:t>required to but does not enter into such an election prior to the exercise of the Option, Optionee will not be entitled to exercise the Option and no Shares will be issued to Optionee, without any liability to the Company or Optionee’s employer. The form of 431 election is attached to this Addendum as Attachment 1.</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Optionee exercises the Options at a time when the Shares are considered to be “readily convertible assets” and are publicly traded, quoted or listed on a recognized exchange or securities market, Optionee shall not be required to enter into a Section 431 Election as a condition of participation in the Plan and the exercise of the Option.</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NIC Joint Election</w:t>
      </w:r>
      <w:r>
        <w:rPr>
          <w:rFonts w:ascii="Times New Roman" w:cs="Times New Roman" w:eastAsia="Times New Roman" w:hAnsi="Times New Roman"/>
          <w:sz w:val="20"/>
          <w:szCs w:val="20"/>
          <w:color w:val="auto"/>
        </w:rPr>
        <w:t>. Optionee agrees, as a condition of Optionee’s participation in the Plan and the exercise of the Option or receipt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 in connection with the Option, to accept any liability for secondary Class 1 NICs that may be payable by the Company or the Employer (or any successor to the Company or the Employer) in connection with the Option and any event giving rise to Tax-Related Obligations (the “</w:t>
      </w:r>
      <w:r>
        <w:rPr>
          <w:rFonts w:ascii="Times New Roman" w:cs="Times New Roman" w:eastAsia="Times New Roman" w:hAnsi="Times New Roman"/>
          <w:sz w:val="20"/>
          <w:szCs w:val="20"/>
          <w:b w:val="1"/>
          <w:bCs w:val="1"/>
          <w:i w:val="1"/>
          <w:iCs w:val="1"/>
          <w:color w:val="auto"/>
        </w:rPr>
        <w:t>Employer’s Liability</w:t>
      </w:r>
      <w:r>
        <w:rPr>
          <w:rFonts w:ascii="Times New Roman" w:cs="Times New Roman" w:eastAsia="Times New Roman" w:hAnsi="Times New Roman"/>
          <w:sz w:val="20"/>
          <w:szCs w:val="20"/>
          <w:color w:val="auto"/>
        </w:rPr>
        <w:t>”). Without prejudice to the foregoing, Optionee agrees to enter into the following joint election with the Company, the form of such joint election being formally approved by HMRC (the “</w:t>
      </w:r>
      <w:r>
        <w:rPr>
          <w:rFonts w:ascii="Times New Roman" w:cs="Times New Roman" w:eastAsia="Times New Roman" w:hAnsi="Times New Roman"/>
          <w:sz w:val="20"/>
          <w:szCs w:val="20"/>
          <w:b w:val="1"/>
          <w:bCs w:val="1"/>
          <w:i w:val="1"/>
          <w:iCs w:val="1"/>
          <w:color w:val="auto"/>
        </w:rPr>
        <w:t>Joint Election</w:t>
      </w:r>
      <w:r>
        <w:rPr>
          <w:rFonts w:ascii="Times New Roman" w:cs="Times New Roman" w:eastAsia="Times New Roman" w:hAnsi="Times New Roman"/>
          <w:sz w:val="20"/>
          <w:szCs w:val="20"/>
          <w:color w:val="auto"/>
        </w:rPr>
        <w:t>”), and any other required consent or elections. Optionee further agrees to enter into such other Joint Elections as may be required between Optionee and any successor to the Company and/or the Employer for the purpose of continuing the effectiveness of the Joint Election. Optionee further agrees that the Company and/or the Employer may collect the Employer’s Liability from Optionee by any of the means set forth in this Agreement.</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Optionee does not enter into the Joint Election prior to the exercise of the Option or any other event giving rise to Tax-Related Obligations, Optionee will not be entitled to exercise the Option and receive Shares (or receive any benefit in connection with the Option) unless and until he or she enters into the Joint Election, and no Shares or other benefit will be issued to him or her under the Plan, without any liability to the Company or the Employer.</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IMPORTANT NOTE: By accepting the Option (whether by signing this Agreement or via the Company’s online acceptance procedures), Optionee is agreeing to be bound by the terms of the Joint Election and the Section 431 Election. Optionee should read the terms of the Joint Election and the Section 431 Election carefully before accepting the Agreement, the Joint Election and the Section 431 Election. If requested by the Company, Optionee agrees to execute the Joint Election and/or the Section 431 Election in hard copy even if Optionee has accepted the Agreement through the Company’s electronic acceptance procedure. By entering into the Joint Election: Optionee is agreeing that any employer’s NICs liability that may arise in connection with the Option will be transferred to the Optionee, and Optionee is authorizing the Employer or the Company to recover an amount sufficient to cover this liability by such methods including, but not limited to, deductions from Optionee’s salary or other payments due or the sale of sufficient shares acquired pursuant to the Options.</w:t>
      </w:r>
    </w:p>
    <w:p>
      <w:pPr>
        <w:sectPr>
          <w:pgSz w:w="11900" w:h="16838" w:orient="portrait"/>
          <w:cols w:equalWidth="0" w:num="1">
            <w:col w:w="11240"/>
          </w:cols>
          <w:pgMar w:left="320" w:top="1413" w:right="339" w:bottom="1440" w:gutter="0" w:footer="0" w:header="0"/>
        </w:sectPr>
      </w:pPr>
    </w:p>
    <w:bookmarkStart w:id="392" w:name="page393"/>
    <w:bookmarkEnd w:id="392"/>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Navan,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1 to U.K. Section of the Addendum</w:t>
      </w:r>
    </w:p>
    <w:p>
      <w:pPr>
        <w:spacing w:after="0" w:line="22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Joint Election under section 431 ITEPA 2003 for full or partial disapplication of Chapter 2 Income Tax (Earnings and Pensions) Act 2003</w:t>
      </w:r>
    </w:p>
    <w:p>
      <w:pPr>
        <w:spacing w:after="0" w:line="138" w:lineRule="exact"/>
        <w:rPr>
          <w:sz w:val="20"/>
          <w:szCs w:val="20"/>
          <w:color w:val="auto"/>
        </w:rPr>
      </w:pPr>
    </w:p>
    <w:p>
      <w:pPr>
        <w:ind w:left="360" w:hanging="352"/>
        <w:spacing w:after="0"/>
        <w:tabs>
          <w:tab w:leader="none" w:pos="360" w:val="left"/>
        </w:tabs>
        <w:numPr>
          <w:ilvl w:val="0"/>
          <w:numId w:val="2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Between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Optionee, _____, who has obtained authorized access to the joint election and Navan Labs UK Limited, of Company Registration Number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11250234 (who is Optionee’s employer).</w:t>
      </w:r>
    </w:p>
    <w:p>
      <w:pPr>
        <w:spacing w:after="0" w:line="203" w:lineRule="exact"/>
        <w:rPr>
          <w:sz w:val="20"/>
          <w:szCs w:val="20"/>
          <w:color w:val="auto"/>
        </w:rPr>
      </w:pPr>
    </w:p>
    <w:p>
      <w:pPr>
        <w:ind w:left="360" w:hanging="352"/>
        <w:spacing w:after="0"/>
        <w:tabs>
          <w:tab w:leader="none" w:pos="360" w:val="left"/>
        </w:tabs>
        <w:numPr>
          <w:ilvl w:val="0"/>
          <w:numId w:val="2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Purpose of Election</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joint election is made pursuant to section 431(1) Income Tax (Earnings and Pensions) Act 2003 (“ITEPA”) and applies where employment-related securities, which are restricted securities by reason of section 423 ITEPA, are acquired.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effect of an election under section 431(1) is that, for the relevant income tax and National Insurance contribution (“NICs”) purposes, the employment-related securities and their market value will be treated as if they were not restricted securities and that sections 425 to 430 ITEPA do not apply. Additional income tax will be payable (with PAYE and NICs where the securities are Readily Convertible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49465" cy="668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668655"/>
                    </a:xfrm>
                    <a:prstGeom prst="rect">
                      <a:avLst/>
                    </a:prstGeom>
                    <a:noFill/>
                  </pic:spPr>
                </pic:pic>
              </a:graphicData>
            </a:graphic>
          </wp:anchor>
        </w:drawing>
      </w:r>
    </w:p>
    <w:p>
      <w:pPr>
        <w:spacing w:after="0" w:line="238" w:lineRule="exact"/>
        <w:rPr>
          <w:sz w:val="20"/>
          <w:szCs w:val="20"/>
          <w:color w:val="auto"/>
        </w:rPr>
      </w:pPr>
    </w:p>
    <w:p>
      <w:pPr>
        <w:jc w:val="both"/>
        <w:ind w:left="100" w:right="120"/>
        <w:spacing w:after="0" w:line="255" w:lineRule="auto"/>
        <w:rPr>
          <w:sz w:val="20"/>
          <w:szCs w:val="20"/>
          <w:color w:val="auto"/>
        </w:rPr>
      </w:pPr>
      <w:r>
        <w:rPr>
          <w:rFonts w:ascii="Times New Roman" w:cs="Times New Roman" w:eastAsia="Times New Roman" w:hAnsi="Times New Roman"/>
          <w:sz w:val="20"/>
          <w:szCs w:val="20"/>
          <w:b w:val="1"/>
          <w:bCs w:val="1"/>
          <w:color w:val="auto"/>
        </w:rPr>
        <w:t>Should the value of the securities fall following the acquisition, it is possible that Income Tax/NICs that would have arisen because of any future chargeable event (in the absence of an election) would have been less than the Income Tax/NICs due by reason of this election. Should this be the case, there is no income tax/NICs relief available under Part 7 of ITEPA 2003; nor is it available if the securities acquired are subsequently transferred, forfeited or revert to the original owner.</w:t>
      </w:r>
    </w:p>
    <w:p>
      <w:pPr>
        <w:spacing w:after="0" w:line="200" w:lineRule="exact"/>
        <w:rPr>
          <w:sz w:val="20"/>
          <w:szCs w:val="20"/>
          <w:color w:val="auto"/>
        </w:rPr>
      </w:pPr>
    </w:p>
    <w:p>
      <w:pPr>
        <w:spacing w:after="0" w:line="308" w:lineRule="exact"/>
        <w:rPr>
          <w:sz w:val="20"/>
          <w:szCs w:val="20"/>
          <w:color w:val="auto"/>
        </w:rPr>
      </w:pPr>
    </w:p>
    <w:p>
      <w:pPr>
        <w:ind w:left="360" w:hanging="352"/>
        <w:spacing w:after="0"/>
        <w:tabs>
          <w:tab w:leader="none" w:pos="360" w:val="left"/>
        </w:tabs>
        <w:numPr>
          <w:ilvl w:val="0"/>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Application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joint election is made not later than 14 days after the date of acquisition of the securities by Optionee and applies to:</w:t>
      </w:r>
    </w:p>
    <w:p>
      <w:pPr>
        <w:sectPr>
          <w:pgSz w:w="11900" w:h="16838" w:orient="portrait"/>
          <w:cols w:equalWidth="0" w:num="1">
            <w:col w:w="11240"/>
          </w:cols>
          <w:pgMar w:left="320" w:top="1440" w:right="339" w:bottom="1440" w:gutter="0" w:footer="0" w:header="0"/>
        </w:sectPr>
      </w:pPr>
    </w:p>
    <w:p>
      <w:pPr>
        <w:spacing w:after="0" w:line="24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Number of securities: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All securities</w:t>
      </w:r>
    </w:p>
    <w:p>
      <w:pPr>
        <w:spacing w:after="0" w:line="200" w:lineRule="exact"/>
        <w:rPr>
          <w:sz w:val="20"/>
          <w:szCs w:val="20"/>
          <w:color w:val="auto"/>
        </w:rPr>
      </w:pPr>
    </w:p>
    <w:p>
      <w:pPr>
        <w:sectPr>
          <w:pgSz w:w="11900" w:h="16838" w:orient="portrait"/>
          <w:cols w:equalWidth="0" w:num="2">
            <w:col w:w="4900" w:space="720"/>
            <w:col w:w="5620"/>
          </w:cols>
          <w:pgMar w:left="320" w:top="1440" w:right="339" w:bottom="1440" w:gutter="0" w:footer="0" w:header="0"/>
          <w:type w:val="continuous"/>
        </w:sectPr>
      </w:pPr>
    </w:p>
    <w:p>
      <w:pPr>
        <w:spacing w:after="0" w:line="5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Description of securities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Shares of Common Stock of Navan, Inc.</w:t>
      </w:r>
    </w:p>
    <w:p>
      <w:pPr>
        <w:spacing w:after="0" w:line="200" w:lineRule="exact"/>
        <w:rPr>
          <w:sz w:val="20"/>
          <w:szCs w:val="20"/>
          <w:color w:val="auto"/>
        </w:rPr>
      </w:pPr>
    </w:p>
    <w:p>
      <w:pPr>
        <w:sectPr>
          <w:pgSz w:w="11900" w:h="16838" w:orient="portrait"/>
          <w:cols w:equalWidth="0" w:num="2">
            <w:col w:w="4900" w:space="720"/>
            <w:col w:w="5620"/>
          </w:cols>
          <w:pgMar w:left="320" w:top="1440" w:right="339" w:bottom="1440" w:gutter="0" w:footer="0" w:header="0"/>
          <w:type w:val="continuous"/>
        </w:sectPr>
      </w:pPr>
    </w:p>
    <w:p>
      <w:pPr>
        <w:spacing w:after="0" w:line="5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Name of issuer of securities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Navan, Inc.</w:t>
      </w:r>
    </w:p>
    <w:p>
      <w:pPr>
        <w:spacing w:after="0" w:line="200" w:lineRule="exact"/>
        <w:rPr>
          <w:sz w:val="20"/>
          <w:szCs w:val="20"/>
          <w:color w:val="auto"/>
        </w:rPr>
      </w:pPr>
    </w:p>
    <w:p>
      <w:pPr>
        <w:sectPr>
          <w:pgSz w:w="11900" w:h="16838" w:orient="portrait"/>
          <w:cols w:equalWidth="0" w:num="2">
            <w:col w:w="4900" w:space="720"/>
            <w:col w:w="5620"/>
          </w:cols>
          <w:pgMar w:left="320" w:top="1440" w:right="33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acquired by Optionee on or after the date of this Election under the terms of the Navan, Inc. 2015 Equity Incentive Plan.</w:t>
      </w:r>
    </w:p>
    <w:p>
      <w:pPr>
        <w:spacing w:after="0" w:line="237" w:lineRule="exact"/>
        <w:rPr>
          <w:sz w:val="20"/>
          <w:szCs w:val="20"/>
          <w:color w:val="auto"/>
        </w:rPr>
      </w:pPr>
    </w:p>
    <w:p>
      <w:pPr>
        <w:ind w:left="360" w:hanging="352"/>
        <w:spacing w:after="0"/>
        <w:tabs>
          <w:tab w:leader="none" w:pos="360" w:val="left"/>
        </w:tabs>
        <w:numPr>
          <w:ilvl w:val="0"/>
          <w:numId w:val="2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Extent of Application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election disapplies S.431(1) ITEPA: All restrictions attaching to the securities.</w:t>
      </w:r>
    </w:p>
    <w:p>
      <w:pPr>
        <w:sectPr>
          <w:pgSz w:w="11900" w:h="16838" w:orient="portrait"/>
          <w:cols w:equalWidth="0" w:num="1">
            <w:col w:w="11240"/>
          </w:cols>
          <w:pgMar w:left="320" w:top="1440" w:right="339" w:bottom="1440" w:gutter="0" w:footer="0" w:header="0"/>
          <w:type w:val="continuous"/>
        </w:sectPr>
      </w:pPr>
    </w:p>
    <w:bookmarkStart w:id="393" w:name="page394"/>
    <w:bookmarkEnd w:id="393"/>
    <w:p>
      <w:pPr>
        <w:ind w:left="360" w:hanging="352"/>
        <w:spacing w:after="0"/>
        <w:tabs>
          <w:tab w:leader="none" w:pos="360" w:val="left"/>
        </w:tabs>
        <w:numPr>
          <w:ilvl w:val="0"/>
          <w:numId w:val="2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Declaration</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election will become irrevocable upon the later of its execution or the acquisition (and each subsequent acquisition) of employment-related securities to which this election applies.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signing this joint election, we agree to be bound by its terms as stated above.</w:t>
      </w:r>
    </w:p>
    <w:p>
      <w:pPr>
        <w:sectPr>
          <w:pgSz w:w="11900" w:h="16838" w:orient="portrait"/>
          <w:cols w:equalWidth="0" w:num="1">
            <w:col w:w="11240"/>
          </w:cols>
          <w:pgMar w:left="320" w:top="1409" w:right="339" w:bottom="1440" w:gutter="0" w:footer="0" w:header="0"/>
        </w:sect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Signature (Optionee)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ectPr>
          <w:pgSz w:w="11900" w:h="16838" w:orient="portrait"/>
          <w:cols w:equalWidth="0" w:num="2">
            <w:col w:w="5980" w:space="720"/>
            <w:col w:w="4540"/>
          </w:cols>
          <w:pgMar w:left="320" w:top="1409"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Signature (for and on behalf of Navan Labs UK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ectPr>
          <w:pgSz w:w="11900" w:h="16838" w:orient="portrait"/>
          <w:cols w:equalWidth="0" w:num="2">
            <w:col w:w="5980" w:space="720"/>
            <w:col w:w="4540"/>
          </w:cols>
          <w:pgMar w:left="320" w:top="14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Position in Navan Labs UK Limited</w:t>
      </w:r>
    </w:p>
    <w:p>
      <w:pPr>
        <w:spacing w:after="0" w:line="200" w:lineRule="exact"/>
        <w:rPr>
          <w:sz w:val="20"/>
          <w:szCs w:val="20"/>
          <w:color w:val="auto"/>
        </w:rPr>
      </w:pPr>
    </w:p>
    <w:p>
      <w:pPr>
        <w:spacing w:after="0" w:line="30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Note: Where the election is in respect of multiple acquisitions, prior to the date of any subsequent acquisition of a security it may be revoked by agreement between Optionee and Optionee’s employer in respect of that and any later acquisition.</w:t>
      </w:r>
    </w:p>
    <w:p>
      <w:pPr>
        <w:sectPr>
          <w:pgSz w:w="11900" w:h="16838" w:orient="portrait"/>
          <w:cols w:equalWidth="0" w:num="1">
            <w:col w:w="11240"/>
          </w:cols>
          <w:pgMar w:left="320" w:top="1409" w:right="339" w:bottom="1440" w:gutter="0" w:footer="0" w:header="0"/>
          <w:type w:val="continuous"/>
        </w:sectPr>
      </w:pPr>
    </w:p>
    <w:bookmarkStart w:id="394" w:name="page395"/>
    <w:bookmarkEnd w:id="394"/>
    <w:p>
      <w:pPr>
        <w:jc w:val="center"/>
        <w:spacing w:after="0"/>
        <w:rPr>
          <w:sz w:val="20"/>
          <w:szCs w:val="20"/>
          <w:color w:val="auto"/>
        </w:rPr>
      </w:pPr>
      <w:r>
        <w:rPr>
          <w:rFonts w:ascii="Times New Roman" w:cs="Times New Roman" w:eastAsia="Times New Roman" w:hAnsi="Times New Roman"/>
          <w:sz w:val="18"/>
          <w:szCs w:val="18"/>
          <w:b w:val="1"/>
          <w:bCs w:val="1"/>
          <w:color w:val="auto"/>
        </w:rPr>
        <w:t>Navan,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2 to U.K. Section of the Addendum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Note on the Election to Transfer Employer’s National Insurance Liability to the Employee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Optionee is or may be liable for National Insurance contributions (“NICs”) in the United Kingdom in connection with Optionee’s participation in the Navan, Inc. 2015 Equity Incentive Plan (the “Plan”), Optionee is required to enter into a Joint Election for the Transfer of Liability for Employer National Insurance Contributions (“employer NICs”) to Optionee (the “Election”). The Election acts to transfer to Optionee any liability for employer NICs that may arise in connection with Optionee’s participation in the Plan. By accepting the Options (whether by clicking to ACCEPT the Option where indicated in the Company’s electronic acceptance procedure or by signing the Notice of Stock Option Grant in hard copy) or by entering into the Election:</w:t>
      </w:r>
    </w:p>
    <w:p>
      <w:pPr>
        <w:spacing w:after="0" w:line="179" w:lineRule="exact"/>
        <w:rPr>
          <w:sz w:val="20"/>
          <w:szCs w:val="20"/>
          <w:color w:val="auto"/>
        </w:rPr>
      </w:pPr>
    </w:p>
    <w:p>
      <w:pPr>
        <w:ind w:left="980" w:right="20" w:hanging="324"/>
        <w:spacing w:after="0" w:line="283" w:lineRule="auto"/>
        <w:tabs>
          <w:tab w:leader="none" w:pos="968"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Optionee agrees that any employer NICs liability that may arise in connection with Optionee’s participation in the Plan will be transferred to Optionee;</w:t>
      </w:r>
    </w:p>
    <w:p>
      <w:pPr>
        <w:spacing w:after="0" w:line="146" w:lineRule="exact"/>
        <w:rPr>
          <w:rFonts w:ascii="Times New Roman" w:cs="Times New Roman" w:eastAsia="Times New Roman" w:hAnsi="Times New Roman"/>
          <w:sz w:val="20"/>
          <w:szCs w:val="20"/>
          <w:color w:val="auto"/>
        </w:rPr>
      </w:pPr>
    </w:p>
    <w:p>
      <w:pPr>
        <w:jc w:val="both"/>
        <w:ind w:left="980" w:hanging="324"/>
        <w:spacing w:after="0" w:line="268" w:lineRule="auto"/>
        <w:tabs>
          <w:tab w:leader="none" w:pos="968"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Optionee authorises his or her employer to recover an amount sufficient to cover this liability by such methods including, but not limited to, deductions from Optionee’s salary or other payments due or the sale of sufficient shares acquired pursuant to Optionee’s awards; and</w:t>
      </w:r>
    </w:p>
    <w:p>
      <w:pPr>
        <w:spacing w:after="0" w:line="161" w:lineRule="exact"/>
        <w:rPr>
          <w:rFonts w:ascii="Times New Roman" w:cs="Times New Roman" w:eastAsia="Times New Roman" w:hAnsi="Times New Roman"/>
          <w:sz w:val="20"/>
          <w:szCs w:val="20"/>
          <w:color w:val="auto"/>
        </w:rPr>
      </w:pPr>
    </w:p>
    <w:p>
      <w:pPr>
        <w:jc w:val="both"/>
        <w:ind w:left="980" w:hanging="324"/>
        <w:spacing w:after="0" w:line="261" w:lineRule="auto"/>
        <w:tabs>
          <w:tab w:leader="none" w:pos="968"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Optionee acknowledges that even if Optionee has clicked ACCEPT where indicated, the Company or Optionee’s employer may still require Optionee to sign a paper copy of this Election (or a substantially similar form) if the Company determines such is necessary to give effect to the Election.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Election is attached hereto. Optionee should read the Election carefully.</w:t>
      </w:r>
    </w:p>
    <w:p>
      <w:pPr>
        <w:sectPr>
          <w:pgSz w:w="11900" w:h="16838" w:orient="portrait"/>
          <w:cols w:equalWidth="0" w:num="1">
            <w:col w:w="11240"/>
          </w:cols>
          <w:pgMar w:left="320" w:top="1413" w:right="339" w:bottom="1440" w:gutter="0" w:footer="0" w:header="0"/>
        </w:sectPr>
      </w:pPr>
    </w:p>
    <w:bookmarkStart w:id="395" w:name="page396"/>
    <w:bookmarkEnd w:id="395"/>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Election to Transfer the Employer’s National Insurance Liability to the Employee</w:t>
      </w:r>
    </w:p>
    <w:p>
      <w:pPr>
        <w:spacing w:after="0" w:line="202" w:lineRule="exact"/>
        <w:rPr>
          <w:sz w:val="20"/>
          <w:szCs w:val="20"/>
          <w:color w:val="auto"/>
        </w:rPr>
      </w:pPr>
    </w:p>
    <w:p>
      <w:pPr>
        <w:ind w:left="360" w:hanging="352"/>
        <w:spacing w:after="0"/>
        <w:tabs>
          <w:tab w:leader="none" w:pos="360" w:val="left"/>
        </w:tabs>
        <w:numPr>
          <w:ilvl w:val="0"/>
          <w:numId w:val="2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PARTIES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Election to Transfer the Employer’s National Insurance Liability to the Employee (this “</w:t>
      </w:r>
      <w:r>
        <w:rPr>
          <w:rFonts w:ascii="Times New Roman" w:cs="Times New Roman" w:eastAsia="Times New Roman" w:hAnsi="Times New Roman"/>
          <w:sz w:val="20"/>
          <w:szCs w:val="20"/>
          <w:u w:val="single" w:color="auto"/>
          <w:color w:val="auto"/>
        </w:rPr>
        <w:t>Election</w:t>
      </w:r>
      <w:r>
        <w:rPr>
          <w:rFonts w:ascii="Times New Roman" w:cs="Times New Roman" w:eastAsia="Times New Roman" w:hAnsi="Times New Roman"/>
          <w:sz w:val="20"/>
          <w:szCs w:val="20"/>
          <w:color w:val="auto"/>
        </w:rPr>
        <w:t>”) is between:</w:t>
      </w:r>
    </w:p>
    <w:p>
      <w:pPr>
        <w:spacing w:after="0" w:line="229" w:lineRule="exact"/>
        <w:rPr>
          <w:sz w:val="20"/>
          <w:szCs w:val="20"/>
          <w:color w:val="auto"/>
        </w:rPr>
      </w:pPr>
    </w:p>
    <w:p>
      <w:pPr>
        <w:ind w:left="1300" w:hanging="644"/>
        <w:spacing w:after="0" w:line="281" w:lineRule="auto"/>
        <w:tabs>
          <w:tab w:leader="none" w:pos="1136"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individual who has gained access to this Election (the “</w:t>
      </w:r>
      <w:r>
        <w:rPr>
          <w:rFonts w:ascii="Times New Roman" w:cs="Times New Roman" w:eastAsia="Times New Roman" w:hAnsi="Times New Roman"/>
          <w:sz w:val="19"/>
          <w:szCs w:val="19"/>
          <w:u w:val="single" w:color="auto"/>
          <w:color w:val="auto"/>
        </w:rPr>
        <w:t>Employee</w:t>
      </w:r>
      <w:r>
        <w:rPr>
          <w:rFonts w:ascii="Times New Roman" w:cs="Times New Roman" w:eastAsia="Times New Roman" w:hAnsi="Times New Roman"/>
          <w:sz w:val="19"/>
          <w:szCs w:val="19"/>
          <w:color w:val="auto"/>
        </w:rPr>
        <w:t>”), who is employed by one of the employing companies listed in the attached schedule (the “</w:t>
      </w:r>
      <w:r>
        <w:rPr>
          <w:rFonts w:ascii="Times New Roman" w:cs="Times New Roman" w:eastAsia="Times New Roman" w:hAnsi="Times New Roman"/>
          <w:sz w:val="19"/>
          <w:szCs w:val="19"/>
          <w:u w:val="single" w:color="auto"/>
          <w:color w:val="auto"/>
        </w:rPr>
        <w:t>Employer</w:t>
      </w:r>
      <w:r>
        <w:rPr>
          <w:rFonts w:ascii="Times New Roman" w:cs="Times New Roman" w:eastAsia="Times New Roman" w:hAnsi="Times New Roman"/>
          <w:sz w:val="19"/>
          <w:szCs w:val="19"/>
          <w:color w:val="auto"/>
        </w:rPr>
        <w:t>”) and who is eligible to receive stock options (“</w:t>
      </w:r>
      <w:r>
        <w:rPr>
          <w:rFonts w:ascii="Times New Roman" w:cs="Times New Roman" w:eastAsia="Times New Roman" w:hAnsi="Times New Roman"/>
          <w:sz w:val="19"/>
          <w:szCs w:val="19"/>
          <w:u w:val="single" w:color="auto"/>
          <w:color w:val="auto"/>
        </w:rPr>
        <w:t>Options</w:t>
      </w:r>
      <w:r>
        <w:rPr>
          <w:rFonts w:ascii="Times New Roman" w:cs="Times New Roman" w:eastAsia="Times New Roman" w:hAnsi="Times New Roman"/>
          <w:sz w:val="19"/>
          <w:szCs w:val="19"/>
          <w:color w:val="auto"/>
        </w:rPr>
        <w:t>”) pursuant to the terms and conditions of the Navan, Inc. 2015 Equity Incentive Plan, as may be amended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and</w:t>
      </w:r>
    </w:p>
    <w:p>
      <w:pPr>
        <w:spacing w:after="0" w:line="164" w:lineRule="exact"/>
        <w:rPr>
          <w:rFonts w:ascii="Times New Roman" w:cs="Times New Roman" w:eastAsia="Times New Roman" w:hAnsi="Times New Roman"/>
          <w:sz w:val="19"/>
          <w:szCs w:val="19"/>
          <w:color w:val="auto"/>
        </w:rPr>
      </w:pPr>
    </w:p>
    <w:p>
      <w:pPr>
        <w:ind w:left="1300" w:hanging="644"/>
        <w:spacing w:after="0" w:line="269" w:lineRule="auto"/>
        <w:tabs>
          <w:tab w:leader="none" w:pos="1178"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Navan, Inc. of 1501 Page Mill Road, Building 1 (Upper), Palo Alto, CA 94304, U.S.A.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which may grant Options under the Plan and is entering into this Election on behalf of the Employer.</w:t>
      </w:r>
    </w:p>
    <w:p>
      <w:pPr>
        <w:spacing w:after="0" w:line="169" w:lineRule="exact"/>
        <w:rPr>
          <w:sz w:val="20"/>
          <w:szCs w:val="20"/>
          <w:color w:val="auto"/>
        </w:rPr>
      </w:pPr>
    </w:p>
    <w:p>
      <w:pPr>
        <w:ind w:left="360" w:hanging="352"/>
        <w:spacing w:after="0"/>
        <w:tabs>
          <w:tab w:leader="none" w:pos="360" w:val="left"/>
        </w:tabs>
        <w:numPr>
          <w:ilvl w:val="0"/>
          <w:numId w:val="2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PURPOSE OF ELECTION</w:t>
      </w:r>
    </w:p>
    <w:p>
      <w:pPr>
        <w:spacing w:after="0" w:line="22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This Election relates to all Options granted to the Employee under the Plan up to the termination date of the Plan.</w:t>
      </w:r>
    </w:p>
    <w:p>
      <w:pPr>
        <w:spacing w:after="0" w:line="229" w:lineRule="exact"/>
        <w:rPr>
          <w:sz w:val="20"/>
          <w:szCs w:val="20"/>
          <w:color w:val="auto"/>
        </w:rPr>
      </w:pPr>
    </w:p>
    <w:p>
      <w:pPr>
        <w:jc w:val="center"/>
        <w:ind w:right="4560"/>
        <w:spacing w:after="0"/>
        <w:tabs>
          <w:tab w:leader="none" w:pos="1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In this Election the following words and phrases have the following meanings: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ITEPA</w:t>
      </w:r>
      <w:r>
        <w:rPr>
          <w:rFonts w:ascii="Times New Roman" w:cs="Times New Roman" w:eastAsia="Times New Roman" w:hAnsi="Times New Roman"/>
          <w:sz w:val="20"/>
          <w:szCs w:val="20"/>
          <w:color w:val="auto"/>
        </w:rPr>
        <w:t>” means the Income Tax (Earnings and Pensions) Act 2003.</w:t>
      </w:r>
    </w:p>
    <w:p>
      <w:pPr>
        <w:spacing w:after="0" w:line="216"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Employment Income</w:t>
      </w:r>
      <w:r>
        <w:rPr>
          <w:rFonts w:ascii="Times New Roman" w:cs="Times New Roman" w:eastAsia="Times New Roman" w:hAnsi="Times New Roman"/>
          <w:sz w:val="20"/>
          <w:szCs w:val="20"/>
          <w:color w:val="auto"/>
        </w:rPr>
        <w:t>” from Options on which the Employer’s National Insurance Contributions becomes due is defined as:</w:t>
      </w:r>
    </w:p>
    <w:p>
      <w:pPr>
        <w:spacing w:after="0" w:line="146" w:lineRule="exact"/>
        <w:rPr>
          <w:sz w:val="20"/>
          <w:szCs w:val="20"/>
          <w:color w:val="auto"/>
        </w:rPr>
      </w:pPr>
    </w:p>
    <w:p>
      <w:pPr>
        <w:ind w:left="1300" w:hanging="644"/>
        <w:spacing w:after="0" w:line="283" w:lineRule="auto"/>
        <w:tabs>
          <w:tab w:leader="none" w:pos="1103"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that counts as employment income of the earner under section 426 ITEPA (restricted securities: charge on certain post-acquisition events);</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187"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that counts as employment income of the earner under section 438 of ITEPA (convertible securities: charge on certain post-acquisition events); or</w:t>
      </w:r>
    </w:p>
    <w:p>
      <w:pPr>
        <w:spacing w:after="0" w:line="17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178"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that is treated as remuneration derived from the earner’s employment by virtue of section 4(4)(a) SSCBA, including without limitation:</w:t>
      </w:r>
    </w:p>
    <w:p>
      <w:pPr>
        <w:spacing w:after="0" w:line="172"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of securities pursuant to the Options (within the meaning of section 477(3)(a) of ITEPA);</w:t>
      </w:r>
    </w:p>
    <w:p>
      <w:pPr>
        <w:spacing w:after="0" w:line="229" w:lineRule="exact"/>
        <w:rPr>
          <w:rFonts w:ascii="Times New Roman" w:cs="Times New Roman" w:eastAsia="Times New Roman" w:hAnsi="Times New Roman"/>
          <w:sz w:val="20"/>
          <w:szCs w:val="20"/>
          <w:color w:val="auto"/>
        </w:rPr>
      </w:pPr>
    </w:p>
    <w:p>
      <w:pPr>
        <w:ind w:left="1960" w:hanging="656"/>
        <w:spacing w:after="0" w:line="269" w:lineRule="auto"/>
        <w:tabs>
          <w:tab w:leader="none" w:pos="1876"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assignment (if applicable) or release of the Options in return for consideration (within the meaning of section 477(3)(b) of ITEPA);</w:t>
      </w:r>
    </w:p>
    <w:p>
      <w:pPr>
        <w:spacing w:after="0" w:line="172" w:lineRule="exact"/>
        <w:rPr>
          <w:rFonts w:ascii="Times New Roman" w:cs="Times New Roman" w:eastAsia="Times New Roman" w:hAnsi="Times New Roman"/>
          <w:sz w:val="20"/>
          <w:szCs w:val="20"/>
          <w:color w:val="auto"/>
        </w:rPr>
      </w:pPr>
    </w:p>
    <w:p>
      <w:pPr>
        <w:ind w:left="1960" w:hanging="656"/>
        <w:spacing w:after="0" w:line="269" w:lineRule="auto"/>
        <w:tabs>
          <w:tab w:leader="none" w:pos="1791"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of a benefit in connection with the Options, other than a benefit within (i) or (ii) above (within the meaning of section 477(3)(c) of ITEPA).</w:t>
      </w:r>
    </w:p>
    <w:p>
      <w:pPr>
        <w:spacing w:after="0" w:line="173"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SSCBA</w:t>
      </w:r>
      <w:r>
        <w:rPr>
          <w:rFonts w:ascii="Times New Roman" w:cs="Times New Roman" w:eastAsia="Times New Roman" w:hAnsi="Times New Roman"/>
          <w:sz w:val="20"/>
          <w:szCs w:val="20"/>
          <w:color w:val="auto"/>
        </w:rPr>
        <w:t>” means the Social Security Contributions and Benefits Act 1992. “</w:t>
      </w:r>
      <w:r>
        <w:rPr>
          <w:rFonts w:ascii="Times New Roman" w:cs="Times New Roman" w:eastAsia="Times New Roman" w:hAnsi="Times New Roman"/>
          <w:sz w:val="20"/>
          <w:szCs w:val="20"/>
          <w:u w:val="single" w:color="auto"/>
          <w:color w:val="auto"/>
        </w:rPr>
        <w:t>Taxable Event</w:t>
      </w:r>
      <w:r>
        <w:rPr>
          <w:rFonts w:ascii="Times New Roman" w:cs="Times New Roman" w:eastAsia="Times New Roman" w:hAnsi="Times New Roman"/>
          <w:sz w:val="20"/>
          <w:szCs w:val="20"/>
          <w:color w:val="auto"/>
        </w:rPr>
        <w:t>” means any event giving rise to Relevant Employment Income.</w:t>
      </w:r>
    </w:p>
    <w:p>
      <w:pPr>
        <w:sectPr>
          <w:pgSz w:w="11900" w:h="16838" w:orient="portrait"/>
          <w:cols w:equalWidth="0" w:num="1">
            <w:col w:w="11240"/>
          </w:cols>
          <w:pgMar w:left="320" w:top="1395" w:right="339" w:bottom="1440" w:gutter="0" w:footer="0" w:header="0"/>
        </w:sectPr>
      </w:pPr>
    </w:p>
    <w:bookmarkStart w:id="396" w:name="page397"/>
    <w:bookmarkEnd w:id="396"/>
    <w:p>
      <w:pPr>
        <w:jc w:val="both"/>
        <w:ind w:left="492" w:hanging="647"/>
        <w:spacing w:after="0" w:line="263" w:lineRule="auto"/>
        <w:tabs>
          <w:tab w:leader="none" w:pos="472" w:val="left"/>
        </w:tabs>
        <w:rPr>
          <w:sz w:val="20"/>
          <w:szCs w:val="20"/>
          <w:color w:val="auto"/>
        </w:rPr>
      </w:pPr>
      <w:r>
        <w:rPr>
          <w:rFonts w:ascii="Times New Roman" w:cs="Times New Roman" w:eastAsia="Times New Roman" w:hAnsi="Times New Roman"/>
          <w:sz w:val="20"/>
          <w:szCs w:val="20"/>
          <w:color w:val="auto"/>
        </w:rPr>
        <w:t>2.3</w:t>
        <w:tab/>
        <w:t xml:space="preserve">This Election relates to the Employer’s secondary Class 1 National Insurance Contributions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u w:val="single" w:color="auto"/>
          <w:color w:val="auto"/>
        </w:rPr>
        <w:t>Employer’s Liability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which may arise in respect of Relevant Employment Income in respect of the Options pursuant to section 4(4)(a) and/or paragraph 3B(1A) of Schedule 1 of the SSCBA.</w:t>
      </w:r>
    </w:p>
    <w:p>
      <w:pPr>
        <w:spacing w:after="0" w:line="179" w:lineRule="exact"/>
        <w:rPr>
          <w:sz w:val="20"/>
          <w:szCs w:val="20"/>
          <w:color w:val="auto"/>
        </w:rPr>
      </w:pPr>
    </w:p>
    <w:p>
      <w:pPr>
        <w:jc w:val="both"/>
        <w:ind w:left="552" w:hanging="647"/>
        <w:spacing w:after="0" w:line="261" w:lineRule="auto"/>
        <w:tabs>
          <w:tab w:leader="none" w:pos="532" w:val="left"/>
        </w:tabs>
        <w:rPr>
          <w:sz w:val="20"/>
          <w:szCs w:val="20"/>
          <w:color w:val="auto"/>
        </w:rPr>
      </w:pPr>
      <w:r>
        <w:rPr>
          <w:rFonts w:ascii="Times New Roman" w:cs="Times New Roman" w:eastAsia="Times New Roman" w:hAnsi="Times New Roman"/>
          <w:sz w:val="20"/>
          <w:szCs w:val="20"/>
          <w:color w:val="auto"/>
        </w:rPr>
        <w:t>2.4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81" w:lineRule="exact"/>
        <w:rPr>
          <w:sz w:val="20"/>
          <w:szCs w:val="20"/>
          <w:color w:val="auto"/>
        </w:rPr>
      </w:pPr>
    </w:p>
    <w:p>
      <w:pPr>
        <w:jc w:val="both"/>
        <w:ind w:left="472" w:right="20" w:hanging="647"/>
        <w:spacing w:after="0" w:line="269" w:lineRule="auto"/>
        <w:tabs>
          <w:tab w:leader="none" w:pos="452" w:val="left"/>
        </w:tabs>
        <w:rPr>
          <w:sz w:val="20"/>
          <w:szCs w:val="20"/>
          <w:color w:val="auto"/>
        </w:rPr>
      </w:pPr>
      <w:r>
        <w:rPr>
          <w:rFonts w:ascii="Times New Roman" w:cs="Times New Roman" w:eastAsia="Times New Roman" w:hAnsi="Times New Roman"/>
          <w:sz w:val="20"/>
          <w:szCs w:val="20"/>
          <w:color w:val="auto"/>
        </w:rPr>
        <w:t>2.5</w:t>
        <w:tab/>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73" w:lineRule="exact"/>
        <w:rPr>
          <w:sz w:val="20"/>
          <w:szCs w:val="20"/>
          <w:color w:val="auto"/>
        </w:rPr>
      </w:pPr>
    </w:p>
    <w:p>
      <w:pPr>
        <w:jc w:val="both"/>
        <w:ind w:left="452" w:hanging="647"/>
        <w:spacing w:after="0" w:line="258" w:lineRule="auto"/>
        <w:tabs>
          <w:tab w:leader="none" w:pos="432" w:val="left"/>
        </w:tabs>
        <w:rPr>
          <w:sz w:val="20"/>
          <w:szCs w:val="20"/>
          <w:color w:val="auto"/>
        </w:rPr>
      </w:pPr>
      <w:r>
        <w:rPr>
          <w:rFonts w:ascii="Times New Roman" w:cs="Times New Roman" w:eastAsia="Times New Roman" w:hAnsi="Times New Roman"/>
          <w:sz w:val="20"/>
          <w:szCs w:val="20"/>
          <w:color w:val="auto"/>
        </w:rPr>
        <w:t>2.6</w:t>
        <w:tab/>
        <w:t>Any reference to the Company and/or the Employer shall include that entity’s successors in title and assigns as permitted in accordance with the terms of the Plan and the Stock Option Agreement pursuant to which the Options were granted. This Election will have effect in respect of the Options and any awards which replace or replaced the Options following their grant in circumstances where section 483 of ITEPA applies.</w:t>
      </w:r>
    </w:p>
    <w:p>
      <w:pPr>
        <w:spacing w:after="0" w:line="172" w:lineRule="exact"/>
        <w:rPr>
          <w:sz w:val="20"/>
          <w:szCs w:val="20"/>
          <w:color w:val="auto"/>
        </w:rPr>
      </w:pPr>
    </w:p>
    <w:p>
      <w:pPr>
        <w:ind w:left="352" w:hanging="352"/>
        <w:spacing w:after="0"/>
        <w:tabs>
          <w:tab w:leader="none" w:pos="352"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ELECTION</w:t>
      </w:r>
    </w:p>
    <w:p>
      <w:pPr>
        <w:spacing w:after="0" w:line="229" w:lineRule="exact"/>
        <w:rPr>
          <w:sz w:val="20"/>
          <w:szCs w:val="20"/>
          <w:color w:val="auto"/>
        </w:rPr>
      </w:pPr>
    </w:p>
    <w:p>
      <w:pPr>
        <w:jc w:val="both"/>
        <w:ind w:left="652"/>
        <w:spacing w:after="0" w:line="253" w:lineRule="auto"/>
        <w:rPr>
          <w:sz w:val="20"/>
          <w:szCs w:val="20"/>
          <w:color w:val="auto"/>
        </w:rPr>
      </w:pPr>
      <w:r>
        <w:rPr>
          <w:rFonts w:ascii="Times New Roman" w:cs="Times New Roman" w:eastAsia="Times New Roman" w:hAnsi="Times New Roman"/>
          <w:sz w:val="20"/>
          <w:szCs w:val="20"/>
          <w:color w:val="auto"/>
        </w:rPr>
        <w:t>The Employee and the Company jointly elect that the entire liability of the Employer to pay the Employer’s Liability that arises on any Relevant Employment Income is hereby transferred to the Employee. The Employee understands that by accepting the Options, (whether by clicking to ACCEPT the Option where indicated in the Company’s electronic acceptance procedure or by signing the Notice of Stock Option Grant in hard copy) or by signing this Election (whether electronically or in hard copy), he or she will become personally liable for the Employer’s Liability covered by this Election. This Election is made in accordance with paragraph 3B(1) of Schedule 1 to SSCBA.</w:t>
      </w:r>
    </w:p>
    <w:p>
      <w:pPr>
        <w:spacing w:after="0" w:line="179" w:lineRule="exact"/>
        <w:rPr>
          <w:sz w:val="20"/>
          <w:szCs w:val="20"/>
          <w:color w:val="auto"/>
        </w:rPr>
      </w:pPr>
    </w:p>
    <w:p>
      <w:pPr>
        <w:ind w:left="352" w:hanging="352"/>
        <w:spacing w:after="0"/>
        <w:tabs>
          <w:tab w:leader="none" w:pos="352"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THE EMPLOYER’S LIABILITY</w:t>
      </w:r>
    </w:p>
    <w:p>
      <w:pPr>
        <w:spacing w:after="0" w:line="229" w:lineRule="exact"/>
        <w:rPr>
          <w:sz w:val="20"/>
          <w:szCs w:val="20"/>
          <w:color w:val="auto"/>
        </w:rPr>
      </w:pPr>
    </w:p>
    <w:p>
      <w:pPr>
        <w:ind w:left="532" w:hanging="647"/>
        <w:spacing w:after="0" w:line="269" w:lineRule="auto"/>
        <w:tabs>
          <w:tab w:leader="none" w:pos="512" w:val="left"/>
        </w:tabs>
        <w:rPr>
          <w:sz w:val="20"/>
          <w:szCs w:val="20"/>
          <w:color w:val="auto"/>
        </w:rPr>
      </w:pPr>
      <w:r>
        <w:rPr>
          <w:rFonts w:ascii="Times New Roman" w:cs="Times New Roman" w:eastAsia="Times New Roman" w:hAnsi="Times New Roman"/>
          <w:sz w:val="20"/>
          <w:szCs w:val="20"/>
          <w:color w:val="auto"/>
        </w:rPr>
        <w:t>4.1</w:t>
        <w:tab/>
        <w:t>The Employee hereby authorises the Company and/or the Employer to collect the Employer’s Liability in respect of any Relevant Employment Income from the Employee at any time after the Taxable Event:</w:t>
      </w:r>
    </w:p>
    <w:p>
      <w:pPr>
        <w:spacing w:after="0" w:line="173" w:lineRule="exact"/>
        <w:rPr>
          <w:sz w:val="20"/>
          <w:szCs w:val="20"/>
          <w:color w:val="auto"/>
        </w:rPr>
      </w:pPr>
    </w:p>
    <w:p>
      <w:pPr>
        <w:ind w:left="1292" w:hanging="644"/>
        <w:spacing w:after="0" w:line="283" w:lineRule="auto"/>
        <w:tabs>
          <w:tab w:leader="none" w:pos="1065"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deduction from salary or any other payment payable to the Employee at any time on or after the date of the Taxable Event; and/or</w:t>
      </w:r>
    </w:p>
    <w:p>
      <w:pPr>
        <w:spacing w:after="0" w:line="146" w:lineRule="exact"/>
        <w:rPr>
          <w:rFonts w:ascii="Times New Roman" w:cs="Times New Roman" w:eastAsia="Times New Roman" w:hAnsi="Times New Roman"/>
          <w:sz w:val="20"/>
          <w:szCs w:val="20"/>
          <w:color w:val="auto"/>
        </w:rPr>
      </w:pPr>
    </w:p>
    <w:p>
      <w:pPr>
        <w:ind w:left="1092" w:hanging="444"/>
        <w:spacing w:after="0"/>
        <w:tabs>
          <w:tab w:leader="none" w:pos="1092"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from the Employee by payment in cash or cleared funds; and/or</w:t>
      </w:r>
    </w:p>
    <w:p>
      <w:pPr>
        <w:spacing w:after="0" w:line="229" w:lineRule="exact"/>
        <w:rPr>
          <w:rFonts w:ascii="Times New Roman" w:cs="Times New Roman" w:eastAsia="Times New Roman" w:hAnsi="Times New Roman"/>
          <w:sz w:val="20"/>
          <w:szCs w:val="20"/>
          <w:color w:val="auto"/>
        </w:rPr>
      </w:pPr>
    </w:p>
    <w:p>
      <w:pPr>
        <w:ind w:left="1292" w:hanging="644"/>
        <w:spacing w:after="0" w:line="269" w:lineRule="auto"/>
        <w:tabs>
          <w:tab w:leader="none" w:pos="1199"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arranging, on behalf of the Employee, for the sale of some of the securities which the Employee is entitled to receive in respect of the Options; and/or</w:t>
      </w:r>
    </w:p>
    <w:p>
      <w:pPr>
        <w:spacing w:after="0" w:line="172" w:lineRule="exact"/>
        <w:rPr>
          <w:rFonts w:ascii="Times New Roman" w:cs="Times New Roman" w:eastAsia="Times New Roman" w:hAnsi="Times New Roman"/>
          <w:sz w:val="20"/>
          <w:szCs w:val="20"/>
          <w:color w:val="auto"/>
        </w:rPr>
      </w:pPr>
    </w:p>
    <w:p>
      <w:pPr>
        <w:ind w:left="1132" w:hanging="484"/>
        <w:spacing w:after="0"/>
        <w:tabs>
          <w:tab w:leader="none" w:pos="1132"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any other means specified in the Stock Option Agreement pursuant to which the Options were granted.</w:t>
      </w:r>
    </w:p>
    <w:p>
      <w:pPr>
        <w:spacing w:after="0" w:line="229" w:lineRule="exact"/>
        <w:rPr>
          <w:sz w:val="20"/>
          <w:szCs w:val="20"/>
          <w:color w:val="auto"/>
        </w:rPr>
      </w:pPr>
    </w:p>
    <w:p>
      <w:pPr>
        <w:ind w:left="452" w:right="20" w:hanging="647"/>
        <w:spacing w:after="0" w:line="269" w:lineRule="auto"/>
        <w:tabs>
          <w:tab w:leader="none" w:pos="432" w:val="left"/>
        </w:tabs>
        <w:rPr>
          <w:sz w:val="20"/>
          <w:szCs w:val="20"/>
          <w:color w:val="auto"/>
        </w:rPr>
      </w:pPr>
      <w:r>
        <w:rPr>
          <w:rFonts w:ascii="Times New Roman" w:cs="Times New Roman" w:eastAsia="Times New Roman" w:hAnsi="Times New Roman"/>
          <w:sz w:val="20"/>
          <w:szCs w:val="20"/>
          <w:color w:val="auto"/>
        </w:rPr>
        <w:t>4.2</w:t>
        <w:tab/>
        <w:t>The Company hereby reserves for itself and the Employer the right to withhold the transfer of any securities in respect of the Options to the Employee until full payment of the Employer’s Liability is received.</w:t>
      </w:r>
    </w:p>
    <w:p>
      <w:pPr>
        <w:sectPr>
          <w:pgSz w:w="11900" w:h="16838" w:orient="portrait"/>
          <w:cols w:equalWidth="0" w:num="1">
            <w:col w:w="11232"/>
          </w:cols>
          <w:pgMar w:left="328" w:top="1409" w:right="339" w:bottom="1440" w:gutter="0" w:footer="0" w:header="0"/>
        </w:sectPr>
      </w:pPr>
    </w:p>
    <w:bookmarkStart w:id="397" w:name="page398"/>
    <w:bookmarkEnd w:id="397"/>
    <w:p>
      <w:pPr>
        <w:jc w:val="both"/>
        <w:ind w:left="460" w:hanging="647"/>
        <w:spacing w:after="0" w:line="261" w:lineRule="auto"/>
        <w:tabs>
          <w:tab w:leader="none" w:pos="440" w:val="left"/>
        </w:tabs>
        <w:rPr>
          <w:sz w:val="20"/>
          <w:szCs w:val="20"/>
          <w:color w:val="auto"/>
        </w:rPr>
      </w:pPr>
      <w:r>
        <w:rPr>
          <w:rFonts w:ascii="Times New Roman" w:cs="Times New Roman" w:eastAsia="Times New Roman" w:hAnsi="Times New Roman"/>
          <w:sz w:val="20"/>
          <w:szCs w:val="20"/>
          <w:color w:val="auto"/>
        </w:rPr>
        <w:t>4.3</w:t>
        <w:tab/>
        <w:t>The Company agrees to procure the remittance by the Employer of the Employer’s Liability to HM Revenue and Customs on behalf of the Employee within fourteen (14) days after the end of the UK tax month during which the Taxable Event occurs (or within seventeen (17) days after the end of the UK tax month during which the Taxable Event occurs, if payments are made electronically).</w:t>
      </w:r>
    </w:p>
    <w:p>
      <w:pPr>
        <w:spacing w:after="0" w:line="181" w:lineRule="exact"/>
        <w:rPr>
          <w:sz w:val="20"/>
          <w:szCs w:val="20"/>
          <w:color w:val="auto"/>
        </w:rPr>
      </w:pPr>
    </w:p>
    <w:p>
      <w:pPr>
        <w:ind w:left="360" w:hanging="352"/>
        <w:spacing w:after="0"/>
        <w:tabs>
          <w:tab w:leader="none" w:pos="36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 OF ELECTION</w:t>
      </w:r>
    </w:p>
    <w:p>
      <w:pPr>
        <w:spacing w:after="0" w:line="216" w:lineRule="exact"/>
        <w:rPr>
          <w:sz w:val="20"/>
          <w:szCs w:val="20"/>
          <w:color w:val="auto"/>
        </w:rPr>
      </w:pPr>
    </w:p>
    <w:p>
      <w:pPr>
        <w:ind w:left="520" w:hanging="647"/>
        <w:spacing w:after="0" w:line="283" w:lineRule="auto"/>
        <w:tabs>
          <w:tab w:leader="none" w:pos="500" w:val="left"/>
        </w:tabs>
        <w:rPr>
          <w:sz w:val="20"/>
          <w:szCs w:val="20"/>
          <w:color w:val="auto"/>
        </w:rPr>
      </w:pPr>
      <w:r>
        <w:rPr>
          <w:rFonts w:ascii="Times New Roman" w:cs="Times New Roman" w:eastAsia="Times New Roman" w:hAnsi="Times New Roman"/>
          <w:sz w:val="20"/>
          <w:szCs w:val="20"/>
          <w:color w:val="auto"/>
        </w:rPr>
        <w:t>5.1</w:t>
        <w:tab/>
        <w:t>The Employee and the Company agree to be bound by the terms of this Election regardless of whether the Employee is transferred abroad or is not employed by the Employer on the date on which the Employer’s Liability becomes due.</w:t>
      </w:r>
    </w:p>
    <w:p>
      <w:pPr>
        <w:spacing w:after="0" w:line="16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This Election will continue in effect until the earliest of the following:</w:t>
      </w:r>
    </w:p>
    <w:p>
      <w:pPr>
        <w:spacing w:after="0" w:line="216" w:lineRule="exact"/>
        <w:rPr>
          <w:sz w:val="20"/>
          <w:szCs w:val="20"/>
          <w:color w:val="auto"/>
        </w:rPr>
      </w:pPr>
    </w:p>
    <w:p>
      <w:pPr>
        <w:ind w:left="1040" w:hanging="384"/>
        <w:spacing w:after="0"/>
        <w:tabs>
          <w:tab w:leader="none" w:pos="104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and the Company agree in writing that it should cease to have effect;</w:t>
      </w:r>
    </w:p>
    <w:p>
      <w:pPr>
        <w:spacing w:after="0" w:line="229"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the Company serves written notice on the Employee terminating its effect;</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8" w:lineRule="auto"/>
        <w:tabs>
          <w:tab w:leader="none" w:pos="1252"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HM Revenue and Customs withdraws approval of this Election; or (iv) after due payment of the Employer’s Liability in respect of the entirety of the Options to which this Election relates or could relate, such that the Election ceases to have effect in accordance with its terms.</w:t>
      </w:r>
    </w:p>
    <w:p>
      <w:pPr>
        <w:sectPr>
          <w:pgSz w:w="11900" w:h="16838" w:orient="portrait"/>
          <w:cols w:equalWidth="0" w:num="1">
            <w:col w:w="11240"/>
          </w:cols>
          <w:pgMar w:left="320" w:top="1413" w:right="3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20"/>
          <w:szCs w:val="20"/>
          <w:b w:val="1"/>
          <w:bCs w:val="1"/>
          <w:u w:val="single" w:color="auto"/>
          <w:color w:val="auto"/>
        </w:rPr>
        <w:t>Acceptance by the Employee</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Employee acknowledges that by accepting the Options (whether by clicking to ACCEPT the Option where indicated in the Company’s electronic acceptance procedure or by signing the Notice of Stock Option Grant in hard copy) or by signing this Election, (whether electronically or in hard copy) the Employee agrees to be bound by the terms of this Election.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Employee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Acceptance by the Company</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acknowledges that, by arranging for the scanned signature of an authorised representative to appear on this Election, the Company agrees to be bound by the terms of this Election.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Signed for and on behalf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Howard Baik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Counsel and Corporate Secretary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Designee)</w:t>
      </w:r>
    </w:p>
    <w:p>
      <w:pPr>
        <w:sectPr>
          <w:pgSz w:w="11900" w:h="16838" w:orient="portrait"/>
          <w:cols w:equalWidth="0" w:num="1">
            <w:col w:w="11240"/>
          </w:cols>
          <w:pgMar w:left="320" w:top="1409" w:right="33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262"/>
        </w:trPr>
        <w:tc>
          <w:tcPr>
            <w:tcW w:w="5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7400" w:type="dxa"/>
            <w:vAlign w:val="bottom"/>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SCHEDULE OF EMPLOYER COMPANIES</w:t>
            </w:r>
          </w:p>
        </w:tc>
      </w:tr>
      <w:tr>
        <w:trPr>
          <w:trHeight w:val="459"/>
        </w:trPr>
        <w:tc>
          <w:tcPr>
            <w:tcW w:w="580" w:type="dxa"/>
            <w:vAlign w:val="bottom"/>
          </w:tcPr>
          <w:p>
            <w:pPr>
              <w:spacing w:after="0"/>
              <w:rPr>
                <w:sz w:val="24"/>
                <w:szCs w:val="24"/>
                <w:color w:val="auto"/>
              </w:rPr>
            </w:pPr>
          </w:p>
        </w:tc>
        <w:tc>
          <w:tcPr>
            <w:tcW w:w="102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The following are the employing companies to which this Joint Election may apply:</w:t>
            </w:r>
          </w:p>
        </w:tc>
      </w:tr>
      <w:tr>
        <w:trPr>
          <w:trHeight w:val="445"/>
        </w:trPr>
        <w:tc>
          <w:tcPr>
            <w:tcW w:w="3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Navan Labs UK Limited</w:t>
            </w:r>
          </w:p>
        </w:tc>
        <w:tc>
          <w:tcPr>
            <w:tcW w:w="19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58"/>
        </w:trPr>
        <w:tc>
          <w:tcPr>
            <w:tcW w:w="580" w:type="dxa"/>
            <w:vAlign w:val="bottom"/>
          </w:tcPr>
          <w:p>
            <w:pPr>
              <w:spacing w:after="0"/>
              <w:rPr>
                <w:sz w:val="22"/>
                <w:szCs w:val="22"/>
                <w:color w:val="auto"/>
              </w:rPr>
            </w:pPr>
          </w:p>
        </w:tc>
        <w:tc>
          <w:tcPr>
            <w:tcW w:w="28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5460" w:type="dxa"/>
            <w:vAlign w:val="bottom"/>
            <w:tcBorders>
              <w:bottom w:val="single" w:sz="8" w:color="auto"/>
            </w:tcBorders>
          </w:tcPr>
          <w:p>
            <w:pPr>
              <w:spacing w:after="0"/>
              <w:rPr>
                <w:sz w:val="22"/>
                <w:szCs w:val="22"/>
                <w:color w:val="auto"/>
              </w:rPr>
            </w:pPr>
          </w:p>
        </w:tc>
      </w:tr>
      <w:tr>
        <w:trPr>
          <w:trHeight w:val="258"/>
        </w:trPr>
        <w:tc>
          <w:tcPr>
            <w:tcW w:w="580" w:type="dxa"/>
            <w:vAlign w:val="bottom"/>
            <w:tcBorders>
              <w:right w:val="single" w:sz="8" w:color="auto"/>
            </w:tcBorders>
          </w:tcPr>
          <w:p>
            <w:pPr>
              <w:spacing w:after="0"/>
              <w:rPr>
                <w:sz w:val="22"/>
                <w:szCs w:val="22"/>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Office:</w:t>
            </w:r>
          </w:p>
        </w:tc>
        <w:tc>
          <w:tcPr>
            <w:tcW w:w="194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Ground Floor, 26 Hatton Garden, London EC1N 8BR</w:t>
            </w:r>
          </w:p>
        </w:tc>
      </w:tr>
      <w:tr>
        <w:trPr>
          <w:trHeight w:val="208"/>
        </w:trPr>
        <w:tc>
          <w:tcPr>
            <w:tcW w:w="580" w:type="dxa"/>
            <w:vAlign w:val="bottom"/>
            <w:tcBorders>
              <w:right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5460" w:type="dxa"/>
            <w:vAlign w:val="bottom"/>
            <w:tcBorders>
              <w:bottom w:val="single" w:sz="8" w:color="auto"/>
              <w:right w:val="single" w:sz="8" w:color="auto"/>
            </w:tcBorders>
          </w:tcPr>
          <w:p>
            <w:pPr>
              <w:spacing w:after="0"/>
              <w:rPr>
                <w:sz w:val="18"/>
                <w:szCs w:val="18"/>
                <w:color w:val="auto"/>
              </w:rPr>
            </w:pPr>
          </w:p>
        </w:tc>
      </w:tr>
      <w:tr>
        <w:trPr>
          <w:trHeight w:val="258"/>
        </w:trPr>
        <w:tc>
          <w:tcPr>
            <w:tcW w:w="580" w:type="dxa"/>
            <w:vAlign w:val="bottom"/>
            <w:tcBorders>
              <w:right w:val="single" w:sz="8" w:color="auto"/>
            </w:tcBorders>
          </w:tcPr>
          <w:p>
            <w:pPr>
              <w:spacing w:after="0"/>
              <w:rPr>
                <w:sz w:val="22"/>
                <w:szCs w:val="22"/>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Company Registration Number:</w:t>
            </w:r>
          </w:p>
        </w:tc>
        <w:tc>
          <w:tcPr>
            <w:tcW w:w="194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11250234</w:t>
            </w:r>
          </w:p>
        </w:tc>
      </w:tr>
      <w:tr>
        <w:trPr>
          <w:trHeight w:val="208"/>
        </w:trPr>
        <w:tc>
          <w:tcPr>
            <w:tcW w:w="580" w:type="dxa"/>
            <w:vAlign w:val="bottom"/>
            <w:tcBorders>
              <w:right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5460" w:type="dxa"/>
            <w:vAlign w:val="bottom"/>
            <w:tcBorders>
              <w:bottom w:val="single" w:sz="8" w:color="auto"/>
              <w:right w:val="single" w:sz="8" w:color="auto"/>
            </w:tcBorders>
          </w:tcPr>
          <w:p>
            <w:pPr>
              <w:spacing w:after="0"/>
              <w:rPr>
                <w:sz w:val="18"/>
                <w:szCs w:val="18"/>
                <w:color w:val="auto"/>
              </w:rPr>
            </w:pPr>
          </w:p>
        </w:tc>
      </w:tr>
      <w:tr>
        <w:trPr>
          <w:trHeight w:val="258"/>
        </w:trPr>
        <w:tc>
          <w:tcPr>
            <w:tcW w:w="580" w:type="dxa"/>
            <w:vAlign w:val="bottom"/>
            <w:tcBorders>
              <w:right w:val="single" w:sz="8" w:color="auto"/>
            </w:tcBorders>
          </w:tcPr>
          <w:p>
            <w:pPr>
              <w:spacing w:after="0"/>
              <w:rPr>
                <w:sz w:val="22"/>
                <w:szCs w:val="22"/>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Corporation Tax Reference:</w:t>
            </w:r>
          </w:p>
        </w:tc>
        <w:tc>
          <w:tcPr>
            <w:tcW w:w="194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7772617558</w:t>
            </w:r>
          </w:p>
        </w:tc>
      </w:tr>
      <w:tr>
        <w:trPr>
          <w:trHeight w:val="208"/>
        </w:trPr>
        <w:tc>
          <w:tcPr>
            <w:tcW w:w="580" w:type="dxa"/>
            <w:vAlign w:val="bottom"/>
            <w:tcBorders>
              <w:right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5460" w:type="dxa"/>
            <w:vAlign w:val="bottom"/>
            <w:tcBorders>
              <w:bottom w:val="single" w:sz="8" w:color="auto"/>
              <w:right w:val="single" w:sz="8" w:color="auto"/>
            </w:tcBorders>
          </w:tcPr>
          <w:p>
            <w:pPr>
              <w:spacing w:after="0"/>
              <w:rPr>
                <w:sz w:val="18"/>
                <w:szCs w:val="18"/>
                <w:color w:val="auto"/>
              </w:rPr>
            </w:pPr>
          </w:p>
        </w:tc>
      </w:tr>
      <w:tr>
        <w:trPr>
          <w:trHeight w:val="258"/>
        </w:trPr>
        <w:tc>
          <w:tcPr>
            <w:tcW w:w="580" w:type="dxa"/>
            <w:vAlign w:val="bottom"/>
            <w:tcBorders>
              <w:right w:val="single" w:sz="8" w:color="auto"/>
            </w:tcBorders>
          </w:tcPr>
          <w:p>
            <w:pPr>
              <w:spacing w:after="0"/>
              <w:rPr>
                <w:sz w:val="22"/>
                <w:szCs w:val="22"/>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PAYE Reference:</w:t>
            </w:r>
          </w:p>
        </w:tc>
        <w:tc>
          <w:tcPr>
            <w:tcW w:w="194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120/SB77025</w:t>
            </w:r>
          </w:p>
        </w:tc>
      </w:tr>
      <w:tr>
        <w:trPr>
          <w:trHeight w:val="248"/>
        </w:trPr>
        <w:tc>
          <w:tcPr>
            <w:tcW w:w="580" w:type="dxa"/>
            <w:vAlign w:val="bottom"/>
            <w:tcBorders>
              <w:right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4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Reed &amp; Mackay Travel Limited</w:t>
      </w:r>
    </w:p>
    <w:p>
      <w:pPr>
        <w:spacing w:after="0" w:line="259" w:lineRule="exact"/>
        <w:rPr>
          <w:sz w:val="20"/>
          <w:szCs w:val="20"/>
          <w:color w:val="auto"/>
        </w:rPr>
      </w:pPr>
    </w:p>
    <w:tbl>
      <w:tblPr>
        <w:tblLayout w:type="fixed"/>
        <w:tblInd w:w="570" w:type="dxa"/>
        <w:tblCellMar>
          <w:top w:w="0" w:type="dxa"/>
          <w:left w:w="0" w:type="dxa"/>
          <w:bottom w:w="0" w:type="dxa"/>
          <w:right w:w="0" w:type="dxa"/>
        </w:tblCellMar>
      </w:tblPr>
      <w:tr>
        <w:trPr>
          <w:trHeight w:val="285"/>
        </w:trPr>
        <w:tc>
          <w:tcPr>
            <w:tcW w:w="48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Registered Office:</w:t>
            </w:r>
          </w:p>
        </w:tc>
        <w:tc>
          <w:tcPr>
            <w:tcW w:w="5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Nexus Place, 25 Farringdon Street, London, EC4A 4AF</w:t>
            </w:r>
          </w:p>
        </w:tc>
      </w:tr>
      <w:tr>
        <w:trPr>
          <w:trHeight w:val="208"/>
        </w:trPr>
        <w:tc>
          <w:tcPr>
            <w:tcW w:w="480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spacing w:after="0"/>
              <w:rPr>
                <w:sz w:val="18"/>
                <w:szCs w:val="18"/>
                <w:color w:val="auto"/>
              </w:rPr>
            </w:pPr>
          </w:p>
        </w:tc>
      </w:tr>
      <w:tr>
        <w:trPr>
          <w:trHeight w:val="258"/>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Registration Number:</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00963087</w:t>
            </w:r>
          </w:p>
        </w:tc>
      </w:tr>
      <w:tr>
        <w:trPr>
          <w:trHeight w:val="208"/>
        </w:trPr>
        <w:tc>
          <w:tcPr>
            <w:tcW w:w="480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spacing w:after="0"/>
              <w:rPr>
                <w:sz w:val="18"/>
                <w:szCs w:val="18"/>
                <w:color w:val="auto"/>
              </w:rPr>
            </w:pPr>
          </w:p>
        </w:tc>
      </w:tr>
      <w:tr>
        <w:trPr>
          <w:trHeight w:val="258"/>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Corporation Tax Reference:</w:t>
            </w:r>
          </w:p>
        </w:tc>
        <w:tc>
          <w:tcPr>
            <w:tcW w:w="5520" w:type="dxa"/>
            <w:vAlign w:val="bottom"/>
            <w:tcBorders>
              <w:right w:val="single" w:sz="8" w:color="auto"/>
            </w:tcBorders>
          </w:tcPr>
          <w:p>
            <w:pPr>
              <w:spacing w:after="0"/>
              <w:rPr>
                <w:sz w:val="22"/>
                <w:szCs w:val="22"/>
                <w:color w:val="auto"/>
              </w:rPr>
            </w:pPr>
          </w:p>
        </w:tc>
      </w:tr>
      <w:tr>
        <w:trPr>
          <w:trHeight w:val="208"/>
        </w:trPr>
        <w:tc>
          <w:tcPr>
            <w:tcW w:w="480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spacing w:after="0"/>
              <w:rPr>
                <w:sz w:val="18"/>
                <w:szCs w:val="18"/>
                <w:color w:val="auto"/>
              </w:rPr>
            </w:pPr>
          </w:p>
        </w:tc>
      </w:tr>
      <w:tr>
        <w:trPr>
          <w:trHeight w:val="258"/>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PAYE Reference:</w:t>
            </w:r>
          </w:p>
        </w:tc>
        <w:tc>
          <w:tcPr>
            <w:tcW w:w="5520" w:type="dxa"/>
            <w:vAlign w:val="bottom"/>
            <w:tcBorders>
              <w:right w:val="single" w:sz="8" w:color="auto"/>
            </w:tcBorders>
          </w:tcPr>
          <w:p>
            <w:pPr>
              <w:spacing w:after="0"/>
              <w:rPr>
                <w:sz w:val="22"/>
                <w:szCs w:val="22"/>
                <w:color w:val="auto"/>
              </w:rPr>
            </w:pPr>
          </w:p>
        </w:tc>
      </w:tr>
      <w:tr>
        <w:trPr>
          <w:trHeight w:val="248"/>
        </w:trPr>
        <w:tc>
          <w:tcPr>
            <w:tcW w:w="4800" w:type="dxa"/>
            <w:vAlign w:val="bottom"/>
            <w:tcBorders>
              <w:left w:val="single" w:sz="8" w:color="auto"/>
              <w:bottom w:val="single" w:sz="8" w:color="auto"/>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0880"/>
          </w:cols>
          <w:pgMar w:left="320" w:top="1409" w:right="699" w:bottom="1440" w:gutter="0" w:footer="0" w:header="0"/>
        </w:sectPr>
      </w:pPr>
    </w:p>
    <w:bookmarkStart w:id="400" w:name="page401"/>
    <w:bookmarkEnd w:id="40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STOCK OPTION EXERCISE NOTICE AND AGREEMENT</w:t>
      </w:r>
    </w:p>
    <w:p>
      <w:pPr>
        <w:sectPr>
          <w:pgSz w:w="11900" w:h="16838" w:orient="portrait"/>
          <w:cols w:equalWidth="0" w:num="1">
            <w:col w:w="9019"/>
          </w:cols>
          <w:pgMar w:left="1440" w:top="1409" w:right="1440" w:bottom="1440" w:gutter="0" w:footer="0" w:header="0"/>
        </w:sectPr>
      </w:pPr>
    </w:p>
    <w:bookmarkStart w:id="401" w:name="page402"/>
    <w:bookmarkEnd w:id="401"/>
    <w:p>
      <w:pPr>
        <w:ind w:left="3000"/>
        <w:spacing w:after="0"/>
        <w:rPr>
          <w:sz w:val="20"/>
          <w:szCs w:val="20"/>
          <w:color w:val="auto"/>
        </w:rPr>
      </w:pPr>
      <w:r>
        <w:rPr>
          <w:rFonts w:ascii="Times New Roman" w:cs="Times New Roman" w:eastAsia="Times New Roman" w:hAnsi="Times New Roman"/>
          <w:sz w:val="20"/>
          <w:szCs w:val="20"/>
          <w:b w:val="1"/>
          <w:bCs w:val="1"/>
          <w:u w:val="single" w:color="auto"/>
          <w:color w:val="auto"/>
        </w:rPr>
        <w:t>STOCK OPTION EXERCISE NOTICE AND AGREEMENT</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INTERNATIONAL</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u w:val="single" w:color="auto"/>
          <w:color w:val="auto"/>
        </w:rPr>
        <w:t>NOTE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You </w:t>
      </w:r>
      <w:r>
        <w:rPr>
          <w:rFonts w:ascii="Times New Roman" w:cs="Times New Roman" w:eastAsia="Times New Roman" w:hAnsi="Times New Roman"/>
          <w:sz w:val="20"/>
          <w:szCs w:val="20"/>
          <w:b w:val="1"/>
          <w:bCs w:val="1"/>
          <w:i w:val="1"/>
          <w:iCs w:val="1"/>
          <w:u w:val="single" w:color="auto"/>
          <w:color w:val="auto"/>
        </w:rPr>
        <w:t>must</w:t>
      </w:r>
      <w:r>
        <w:rPr>
          <w:rFonts w:ascii="Times New Roman" w:cs="Times New Roman" w:eastAsia="Times New Roman" w:hAnsi="Times New Roman"/>
          <w:sz w:val="20"/>
          <w:szCs w:val="20"/>
          <w:b w:val="1"/>
          <w:bCs w:val="1"/>
          <w:i w:val="1"/>
          <w:iCs w:val="1"/>
          <w:color w:val="auto"/>
        </w:rPr>
        <w:t xml:space="preserve"> sign this Notice on Page 3 before submitting it to Navan, Inc.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OPTIONEE INFORMATION: </w:t>
      </w:r>
      <w:r>
        <w:rPr>
          <w:rFonts w:ascii="Times New Roman" w:cs="Times New Roman" w:eastAsia="Times New Roman" w:hAnsi="Times New Roman"/>
          <w:sz w:val="20"/>
          <w:szCs w:val="20"/>
          <w:i w:val="1"/>
          <w:iCs w:val="1"/>
          <w:color w:val="auto"/>
        </w:rPr>
        <w:t>Please provide the following information about yourself (“</w:t>
      </w:r>
      <w:r>
        <w:rPr>
          <w:rFonts w:ascii="Times New Roman" w:cs="Times New Roman" w:eastAsia="Times New Roman" w:hAnsi="Times New Roman"/>
          <w:sz w:val="20"/>
          <w:szCs w:val="20"/>
          <w:b w:val="1"/>
          <w:bCs w:val="1"/>
          <w:i w:val="1"/>
          <w:iCs w:val="1"/>
          <w:color w:val="auto"/>
        </w:rPr>
        <w:t>Optionee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274"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20"/>
          <w:szCs w:val="20"/>
          <w:color w:val="auto"/>
        </w:rPr>
        <w:t>Name: ______________________________</w:t>
      </w:r>
      <w:r>
        <w:rPr>
          <w:sz w:val="20"/>
          <w:szCs w:val="20"/>
          <w:color w:val="auto"/>
        </w:rPr>
        <w:tab/>
      </w:r>
      <w:r>
        <w:rPr>
          <w:rFonts w:ascii="Times New Roman" w:cs="Times New Roman" w:eastAsia="Times New Roman" w:hAnsi="Times New Roman"/>
          <w:sz w:val="19"/>
          <w:szCs w:val="19"/>
          <w:color w:val="auto"/>
        </w:rPr>
        <w:t>Social Security Number: _____________________</w:t>
      </w:r>
    </w:p>
    <w:p>
      <w:pPr>
        <w:spacing w:after="0" w:line="243"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20"/>
          <w:szCs w:val="20"/>
          <w:color w:val="auto"/>
        </w:rPr>
        <w:t>Address: ____________________________</w:t>
      </w:r>
      <w:r>
        <w:rPr>
          <w:sz w:val="20"/>
          <w:szCs w:val="20"/>
          <w:color w:val="auto"/>
        </w:rPr>
        <w:tab/>
      </w:r>
      <w:r>
        <w:rPr>
          <w:rFonts w:ascii="Times New Roman" w:cs="Times New Roman" w:eastAsia="Times New Roman" w:hAnsi="Times New Roman"/>
          <w:sz w:val="19"/>
          <w:szCs w:val="19"/>
          <w:color w:val="auto"/>
        </w:rPr>
        <w:t>Employee Number: _________________________</w:t>
      </w:r>
    </w:p>
    <w:p>
      <w:pPr>
        <w:spacing w:after="0" w:line="243"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20"/>
          <w:szCs w:val="20"/>
          <w:color w:val="auto"/>
        </w:rPr>
        <w:t>____________________________________</w:t>
      </w:r>
      <w:r>
        <w:rPr>
          <w:sz w:val="20"/>
          <w:szCs w:val="20"/>
          <w:color w:val="auto"/>
        </w:rPr>
        <w:tab/>
      </w:r>
      <w:r>
        <w:rPr>
          <w:rFonts w:ascii="Times New Roman" w:cs="Times New Roman" w:eastAsia="Times New Roman" w:hAnsi="Times New Roman"/>
          <w:sz w:val="20"/>
          <w:szCs w:val="20"/>
          <w:color w:val="auto"/>
        </w:rPr>
        <w:t>Email Address: ____________________________</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OPTION INFORMATION: </w:t>
      </w:r>
      <w:r>
        <w:rPr>
          <w:rFonts w:ascii="Times New Roman" w:cs="Times New Roman" w:eastAsia="Times New Roman" w:hAnsi="Times New Roman"/>
          <w:sz w:val="20"/>
          <w:szCs w:val="20"/>
          <w:i w:val="1"/>
          <w:iCs w:val="1"/>
          <w:color w:val="auto"/>
        </w:rPr>
        <w:t>Please provide this information on the option being exercised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Grant No.</w:t>
      </w:r>
    </w:p>
    <w:p>
      <w:pPr>
        <w:spacing w:after="0" w:line="243"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20"/>
          <w:szCs w:val="20"/>
          <w:color w:val="auto"/>
        </w:rPr>
        <w:t>Date of Grant:</w:t>
      </w:r>
      <w:r>
        <w:rPr>
          <w:sz w:val="20"/>
          <w:szCs w:val="20"/>
          <w:color w:val="auto"/>
        </w:rPr>
        <w:tab/>
      </w:r>
      <w:r>
        <w:rPr>
          <w:rFonts w:ascii="Times New Roman" w:cs="Times New Roman" w:eastAsia="Times New Roman" w:hAnsi="Times New Roman"/>
          <w:sz w:val="19"/>
          <w:szCs w:val="19"/>
          <w:color w:val="auto"/>
        </w:rPr>
        <w:t>Type of Stock Option:</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Option Price per Share:</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Total number of shares of Common Stock of the Company subject to the Option: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of Common Stock of the Company for which the Option is now being exercised ______. (These shares are referred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 as the “</w:t>
      </w:r>
      <w:r>
        <w:rPr>
          <w:rFonts w:ascii="Times New Roman" w:cs="Times New Roman" w:eastAsia="Times New Roman" w:hAnsi="Times New Roman"/>
          <w:sz w:val="20"/>
          <w:szCs w:val="20"/>
          <w:b w:val="1"/>
          <w:bCs w:val="1"/>
          <w:i w:val="1"/>
          <w:iCs w:val="1"/>
          <w:color w:val="auto"/>
        </w:rPr>
        <w:t>Purchased Shares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Exercise Price Being Paid for the Purchased Shares: US$____________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Form of payment </w:t>
      </w:r>
      <w:r>
        <w:rPr>
          <w:rFonts w:ascii="Times New Roman" w:cs="Times New Roman" w:eastAsia="Times New Roman" w:hAnsi="Times New Roman"/>
          <w:sz w:val="20"/>
          <w:szCs w:val="20"/>
          <w:b w:val="1"/>
          <w:bCs w:val="1"/>
          <w:i w:val="1"/>
          <w:iCs w:val="1"/>
          <w:color w:val="auto"/>
        </w:rPr>
        <w:t>[check all that apply*]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400" w:hanging="392"/>
        <w:spacing w:after="0"/>
        <w:tabs>
          <w:tab w:leader="none" w:pos="400" w:val="left"/>
        </w:tabs>
        <w:numPr>
          <w:ilvl w:val="0"/>
          <w:numId w:val="30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Check for US$_____________, payable to “</w:t>
      </w:r>
      <w:r>
        <w:rPr>
          <w:rFonts w:ascii="Times New Roman" w:cs="Times New Roman" w:eastAsia="Times New Roman" w:hAnsi="Times New Roman"/>
          <w:sz w:val="20"/>
          <w:szCs w:val="20"/>
          <w:b w:val="1"/>
          <w:bCs w:val="1"/>
          <w:i w:val="1"/>
          <w:iCs w:val="1"/>
          <w:color w:val="auto"/>
        </w:rPr>
        <w:t>Navan, Inc.</w:t>
      </w:r>
      <w:r>
        <w:rPr>
          <w:rFonts w:ascii="Times New Roman" w:cs="Times New Roman" w:eastAsia="Times New Roman" w:hAnsi="Times New Roman"/>
          <w:sz w:val="20"/>
          <w:szCs w:val="20"/>
          <w:color w:val="auto"/>
        </w:rPr>
        <w:t>”</w:t>
      </w:r>
    </w:p>
    <w:p>
      <w:pPr>
        <w:spacing w:after="0" w:line="233" w:lineRule="exact"/>
        <w:rPr>
          <w:rFonts w:ascii="Wingdings" w:cs="Wingdings" w:eastAsia="Wingdings" w:hAnsi="Wingdings"/>
          <w:sz w:val="20"/>
          <w:szCs w:val="20"/>
          <w:b w:val="1"/>
          <w:bCs w:val="1"/>
          <w:color w:val="auto"/>
        </w:rPr>
      </w:pPr>
    </w:p>
    <w:p>
      <w:pPr>
        <w:ind w:left="340" w:hanging="332"/>
        <w:spacing w:after="0" w:line="283" w:lineRule="auto"/>
        <w:tabs>
          <w:tab w:leader="none" w:pos="412" w:val="left"/>
        </w:tabs>
        <w:numPr>
          <w:ilvl w:val="0"/>
          <w:numId w:val="30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 xml:space="preserve">Certificate(s) for _________________ shares of Common Stock of the Company. These shares will be valued as of the date this notice is received by the Company. </w:t>
      </w:r>
      <w:r>
        <w:rPr>
          <w:rFonts w:ascii="Times New Roman" w:cs="Times New Roman" w:eastAsia="Times New Roman" w:hAnsi="Times New Roman"/>
          <w:sz w:val="20"/>
          <w:szCs w:val="20"/>
          <w:b w:val="1"/>
          <w:bCs w:val="1"/>
          <w:i w:val="1"/>
          <w:iCs w:val="1"/>
          <w:color w:val="auto"/>
        </w:rPr>
        <w:t>[Requires Company consent.]</w:t>
      </w:r>
    </w:p>
    <w:p>
      <w:pPr>
        <w:spacing w:after="0" w:line="146" w:lineRule="exact"/>
        <w:rPr>
          <w:rFonts w:ascii="Wingdings" w:cs="Wingdings" w:eastAsia="Wingdings" w:hAnsi="Wingdings"/>
          <w:sz w:val="20"/>
          <w:szCs w:val="20"/>
          <w:b w:val="1"/>
          <w:bCs w:val="1"/>
          <w:color w:val="auto"/>
        </w:rPr>
      </w:pPr>
    </w:p>
    <w:p>
      <w:pPr>
        <w:ind w:left="400" w:hanging="392"/>
        <w:spacing w:after="0"/>
        <w:tabs>
          <w:tab w:leader="none" w:pos="400" w:val="left"/>
        </w:tabs>
        <w:numPr>
          <w:ilvl w:val="0"/>
          <w:numId w:val="30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ACH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are a non-U.S. Optionee, please see the Company for permitted forms of payment.</w:t>
      </w:r>
    </w:p>
    <w:p>
      <w:pPr>
        <w:spacing w:after="0" w:line="21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AGREEMENTS, REPRESENTATIONS AND ACKNOWLEDGMENTS OF OPTIONEE: </w:t>
      </w:r>
      <w:r>
        <w:rPr>
          <w:rFonts w:ascii="Times New Roman" w:cs="Times New Roman" w:eastAsia="Times New Roman" w:hAnsi="Times New Roman"/>
          <w:sz w:val="20"/>
          <w:szCs w:val="20"/>
          <w:color w:val="auto"/>
        </w:rPr>
        <w:t>By signing this Stock Option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and Agreement, Optionee hereby agrees with, and represents to, the Company as follows:</w:t>
      </w:r>
    </w:p>
    <w:p>
      <w:pPr>
        <w:sectPr>
          <w:pgSz w:w="11900" w:h="16838" w:orient="portrait"/>
          <w:cols w:equalWidth="0" w:num="1">
            <w:col w:w="11060"/>
          </w:cols>
          <w:pgMar w:left="320" w:top="1409" w:right="519" w:bottom="1440" w:gutter="0" w:footer="0" w:header="0"/>
        </w:sectPr>
      </w:pPr>
    </w:p>
    <w:bookmarkStart w:id="402" w:name="page403"/>
    <w:bookmarkEnd w:id="402"/>
    <w:p>
      <w:pPr>
        <w:ind w:left="332" w:right="300" w:hanging="332"/>
        <w:spacing w:after="0" w:line="263" w:lineRule="auto"/>
        <w:tabs>
          <w:tab w:leader="none" w:pos="332" w:val="left"/>
        </w:tabs>
        <w:numPr>
          <w:ilvl w:val="0"/>
          <w:numId w:val="3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Terms Governing. </w:t>
      </w:r>
      <w:r>
        <w:rPr>
          <w:rFonts w:ascii="Times New Roman" w:cs="Times New Roman" w:eastAsia="Times New Roman" w:hAnsi="Times New Roman"/>
          <w:sz w:val="20"/>
          <w:szCs w:val="20"/>
          <w:color w:val="auto"/>
        </w:rPr>
        <w:t>I acknowledge and agree with the Company that I am acquiring the Purchased Shares by exercise of this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all other terms and conditions of the Notice of Stock Option Grant and the Stock Option Agreement that govern the Option, including without limitation the terms of the Company’s 2015 Equity Incentive Plan, as it may be amended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b w:val="1"/>
          <w:bCs w:val="1"/>
          <w:color w:val="auto"/>
        </w:rPr>
      </w:pPr>
    </w:p>
    <w:p>
      <w:pPr>
        <w:ind w:left="332" w:right="220" w:hanging="332"/>
        <w:spacing w:after="0" w:line="267" w:lineRule="auto"/>
        <w:tabs>
          <w:tab w:leader="none" w:pos="332" w:val="left"/>
        </w:tabs>
        <w:numPr>
          <w:ilvl w:val="0"/>
          <w:numId w:val="3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Investment Intent; Securities Law Restrictions. </w:t>
      </w:r>
      <w:r>
        <w:rPr>
          <w:rFonts w:ascii="Times New Roman" w:cs="Times New Roman" w:eastAsia="Times New Roman" w:hAnsi="Times New Roman"/>
          <w:sz w:val="19"/>
          <w:szCs w:val="19"/>
          <w:color w:val="auto"/>
        </w:rPr>
        <w:t>I represent and warrant to the Company that I am acquiring and will hold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Purchased Shares for investment for my account only, and not with a view to, or for resale in connection with, any “distribution” of the Purchased Shares within the meaning of the Securities Act of 1933, as amended (the “</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175" w:lineRule="exact"/>
        <w:rPr>
          <w:rFonts w:ascii="Times New Roman" w:cs="Times New Roman" w:eastAsia="Times New Roman" w:hAnsi="Times New Roman"/>
          <w:sz w:val="19"/>
          <w:szCs w:val="19"/>
          <w:b w:val="1"/>
          <w:bCs w:val="1"/>
          <w:color w:val="auto"/>
        </w:rPr>
      </w:pPr>
    </w:p>
    <w:p>
      <w:pPr>
        <w:ind w:left="332" w:hanging="332"/>
        <w:spacing w:after="0" w:line="265" w:lineRule="auto"/>
        <w:tabs>
          <w:tab w:leader="none" w:pos="332" w:val="left"/>
        </w:tabs>
        <w:numPr>
          <w:ilvl w:val="0"/>
          <w:numId w:val="3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Restrictions on Transfer: Rule 144. </w:t>
      </w:r>
      <w:r>
        <w:rPr>
          <w:rFonts w:ascii="Times New Roman" w:cs="Times New Roman" w:eastAsia="Times New Roman" w:hAnsi="Times New Roman"/>
          <w:sz w:val="19"/>
          <w:szCs w:val="19"/>
          <w:color w:val="auto"/>
        </w:rPr>
        <w:t>I will not sell, transfer or otherwise dispose of the Purchased Shares in violation of the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 the 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w:t>
      </w:r>
    </w:p>
    <w:p>
      <w:pPr>
        <w:spacing w:after="0" w:line="1" w:lineRule="exact"/>
        <w:rPr>
          <w:rFonts w:ascii="Times New Roman" w:cs="Times New Roman" w:eastAsia="Times New Roman" w:hAnsi="Times New Roman"/>
          <w:sz w:val="19"/>
          <w:szCs w:val="19"/>
          <w:b w:val="1"/>
          <w:bCs w:val="1"/>
          <w:color w:val="auto"/>
        </w:rPr>
      </w:pPr>
    </w:p>
    <w:p>
      <w:pPr>
        <w:ind w:left="332" w:right="180"/>
        <w:spacing w:after="0" w:line="253"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184" w:lineRule="exact"/>
        <w:rPr>
          <w:rFonts w:ascii="Times New Roman" w:cs="Times New Roman" w:eastAsia="Times New Roman" w:hAnsi="Times New Roman"/>
          <w:sz w:val="19"/>
          <w:szCs w:val="19"/>
          <w:b w:val="1"/>
          <w:bCs w:val="1"/>
          <w:color w:val="auto"/>
        </w:rPr>
      </w:pPr>
    </w:p>
    <w:p>
      <w:pPr>
        <w:ind w:left="332" w:right="20" w:hanging="332"/>
        <w:spacing w:after="0" w:line="254" w:lineRule="auto"/>
        <w:tabs>
          <w:tab w:leader="none" w:pos="332" w:val="left"/>
        </w:tabs>
        <w:numPr>
          <w:ilvl w:val="0"/>
          <w:numId w:val="3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Access to Information; Understanding of Risk in Investment. </w:t>
      </w:r>
      <w:r>
        <w:rPr>
          <w:rFonts w:ascii="Times New Roman" w:cs="Times New Roman" w:eastAsia="Times New Roman" w:hAnsi="Times New Roman"/>
          <w:sz w:val="20"/>
          <w:szCs w:val="20"/>
          <w:color w:val="auto"/>
        </w:rPr>
        <w:t>I acknowledge that I have received and had access to such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I 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173" w:lineRule="exact"/>
        <w:rPr>
          <w:rFonts w:ascii="Times New Roman" w:cs="Times New Roman" w:eastAsia="Times New Roman" w:hAnsi="Times New Roman"/>
          <w:sz w:val="20"/>
          <w:szCs w:val="20"/>
          <w:b w:val="1"/>
          <w:bCs w:val="1"/>
          <w:color w:val="auto"/>
        </w:rPr>
      </w:pPr>
    </w:p>
    <w:p>
      <w:pPr>
        <w:ind w:left="332" w:right="300" w:hanging="332"/>
        <w:spacing w:after="0" w:line="263" w:lineRule="auto"/>
        <w:tabs>
          <w:tab w:leader="none" w:pos="332" w:val="left"/>
        </w:tabs>
        <w:numPr>
          <w:ilvl w:val="0"/>
          <w:numId w:val="3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of First Refusal; Market Stand-off. </w:t>
      </w:r>
      <w:r>
        <w:rPr>
          <w:rFonts w:ascii="Times New Roman" w:cs="Times New Roman" w:eastAsia="Times New Roman" w:hAnsi="Times New Roman"/>
          <w:sz w:val="20"/>
          <w:szCs w:val="20"/>
          <w:color w:val="auto"/>
        </w:rPr>
        <w:t>I acknowledge that the Purchased Shares remain subject to the Company’s Right of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Refusal and the market stand-off covenants (sometimes referred to as the “lock-up”), all in accordance with the applicable Notice of Stock Option Grant and the Stock Option Agreement that govern the Option.</w:t>
      </w:r>
    </w:p>
    <w:p>
      <w:pPr>
        <w:spacing w:after="0" w:line="175" w:lineRule="exact"/>
        <w:rPr>
          <w:rFonts w:ascii="Times New Roman" w:cs="Times New Roman" w:eastAsia="Times New Roman" w:hAnsi="Times New Roman"/>
          <w:sz w:val="20"/>
          <w:szCs w:val="20"/>
          <w:b w:val="1"/>
          <w:bCs w:val="1"/>
          <w:color w:val="auto"/>
        </w:rPr>
      </w:pPr>
    </w:p>
    <w:p>
      <w:pPr>
        <w:ind w:left="332" w:right="20" w:hanging="332"/>
        <w:spacing w:after="0" w:line="254" w:lineRule="auto"/>
        <w:tabs>
          <w:tab w:leader="none" w:pos="332" w:val="left"/>
        </w:tabs>
        <w:numPr>
          <w:ilvl w:val="0"/>
          <w:numId w:val="3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Form of Ownership. </w:t>
      </w:r>
      <w:r>
        <w:rPr>
          <w:rFonts w:ascii="Times New Roman" w:cs="Times New Roman" w:eastAsia="Times New Roman" w:hAnsi="Times New Roman"/>
          <w:sz w:val="20"/>
          <w:szCs w:val="20"/>
          <w:color w:val="auto"/>
        </w:rPr>
        <w:t>I acknowledge that the Company has encouraged me to consult my own adviser to determine the form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ownership of the 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ectPr>
          <w:pgSz w:w="11900" w:h="16838" w:orient="portrait"/>
          <w:cols w:equalWidth="0" w:num="1">
            <w:col w:w="11232"/>
          </w:cols>
          <w:pgMar w:left="328" w:top="1409" w:right="339" w:bottom="1440" w:gutter="0" w:footer="0" w:header="0"/>
        </w:sectPr>
      </w:pPr>
    </w:p>
    <w:bookmarkStart w:id="403" w:name="page404"/>
    <w:bookmarkEnd w:id="403"/>
    <w:p>
      <w:pPr>
        <w:ind w:left="332" w:right="240" w:hanging="332"/>
        <w:spacing w:after="0" w:line="287" w:lineRule="auto"/>
        <w:tabs>
          <w:tab w:leader="none" w:pos="332" w:val="left"/>
        </w:tabs>
        <w:numPr>
          <w:ilvl w:val="0"/>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Investigation of Tax Consequences. </w:t>
      </w:r>
      <w:r>
        <w:rPr>
          <w:rFonts w:ascii="Times New Roman" w:cs="Times New Roman" w:eastAsia="Times New Roman" w:hAnsi="Times New Roman"/>
          <w:sz w:val="20"/>
          <w:szCs w:val="20"/>
          <w:color w:val="auto"/>
        </w:rPr>
        <w:t>I acknowledge that the Company has encouraged me to consult my own adviser to determine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 consequences of acquiring the Purchased Shares at this time.</w:t>
      </w:r>
    </w:p>
    <w:p>
      <w:pPr>
        <w:spacing w:after="0" w:line="138" w:lineRule="exact"/>
        <w:rPr>
          <w:rFonts w:ascii="Times New Roman" w:cs="Times New Roman" w:eastAsia="Times New Roman" w:hAnsi="Times New Roman"/>
          <w:sz w:val="20"/>
          <w:szCs w:val="20"/>
          <w:b w:val="1"/>
          <w:bCs w:val="1"/>
          <w:color w:val="auto"/>
        </w:rPr>
      </w:pPr>
    </w:p>
    <w:p>
      <w:pPr>
        <w:ind w:left="332" w:right="100" w:hanging="332"/>
        <w:spacing w:after="0" w:line="252" w:lineRule="auto"/>
        <w:tabs>
          <w:tab w:leader="none" w:pos="332" w:val="left"/>
        </w:tabs>
        <w:numPr>
          <w:ilvl w:val="0"/>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Other Tax Matters. </w:t>
      </w:r>
      <w:r>
        <w:rPr>
          <w:rFonts w:ascii="Times New Roman" w:cs="Times New Roman" w:eastAsia="Times New Roman" w:hAnsi="Times New Roman"/>
          <w:sz w:val="20"/>
          <w:szCs w:val="20"/>
          <w:color w:val="auto"/>
        </w:rPr>
        <w:t>I agree that the Company does not have a duty to design or administer the Plan or its other compensation programs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 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189" w:lineRule="exact"/>
        <w:rPr>
          <w:rFonts w:ascii="Times New Roman" w:cs="Times New Roman" w:eastAsia="Times New Roman" w:hAnsi="Times New Roman"/>
          <w:sz w:val="20"/>
          <w:szCs w:val="20"/>
          <w:b w:val="1"/>
          <w:bCs w:val="1"/>
          <w:color w:val="auto"/>
        </w:rPr>
      </w:pPr>
    </w:p>
    <w:p>
      <w:pPr>
        <w:ind w:left="332" w:hanging="332"/>
        <w:spacing w:after="0"/>
        <w:tabs>
          <w:tab w:leader="none" w:pos="332" w:val="left"/>
        </w:tabs>
        <w:numPr>
          <w:ilvl w:val="0"/>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Spouse Consent. </w:t>
      </w:r>
      <w:r>
        <w:rPr>
          <w:rFonts w:ascii="Times New Roman" w:cs="Times New Roman" w:eastAsia="Times New Roman" w:hAnsi="Times New Roman"/>
          <w:sz w:val="20"/>
          <w:szCs w:val="20"/>
          <w:color w:val="auto"/>
        </w:rPr>
        <w:t>I agree to seek the consent of my spouse to the extent required by the Company to enforce the foregoing.</w:t>
      </w:r>
    </w:p>
    <w:p>
      <w:pPr>
        <w:spacing w:after="0" w:line="215" w:lineRule="exact"/>
        <w:rPr>
          <w:rFonts w:ascii="Times New Roman" w:cs="Times New Roman" w:eastAsia="Times New Roman" w:hAnsi="Times New Roman"/>
          <w:sz w:val="20"/>
          <w:szCs w:val="20"/>
          <w:b w:val="1"/>
          <w:bCs w:val="1"/>
          <w:color w:val="auto"/>
        </w:rPr>
      </w:pPr>
    </w:p>
    <w:p>
      <w:pPr>
        <w:ind w:left="332" w:right="40" w:hanging="332"/>
        <w:spacing w:after="0" w:line="260" w:lineRule="auto"/>
        <w:tabs>
          <w:tab w:leader="none" w:pos="323" w:val="left"/>
        </w:tabs>
        <w:numPr>
          <w:ilvl w:val="0"/>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Tax Withholding. </w:t>
      </w:r>
      <w:r>
        <w:rPr>
          <w:rFonts w:ascii="Times New Roman" w:cs="Times New Roman" w:eastAsia="Times New Roman" w:hAnsi="Times New Roman"/>
          <w:sz w:val="20"/>
          <w:szCs w:val="20"/>
          <w:color w:val="auto"/>
        </w:rPr>
        <w:t>As a condition of exercising this Option, I agree to make adequate provision for for all applicable foreign, federal,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and local income tax, social insurance, payroll tax, fringe benefits tax, payment on account, withholding and other tax-related items, if any, which arise upon the grant, vesting or exercise of this Option, or disposition of the Purchased Shares, whether by withholding, direct payment to the Company, or otherwise.</w:t>
      </w:r>
    </w:p>
    <w:p>
      <w:pPr>
        <w:spacing w:after="0" w:line="177" w:lineRule="exact"/>
        <w:rPr>
          <w:rFonts w:ascii="Times New Roman" w:cs="Times New Roman" w:eastAsia="Times New Roman" w:hAnsi="Times New Roman"/>
          <w:sz w:val="20"/>
          <w:szCs w:val="20"/>
          <w:b w:val="1"/>
          <w:bCs w:val="1"/>
          <w:color w:val="auto"/>
        </w:rPr>
      </w:pPr>
    </w:p>
    <w:p>
      <w:pPr>
        <w:ind w:left="332" w:right="540" w:hanging="332"/>
        <w:spacing w:after="0" w:line="273" w:lineRule="auto"/>
        <w:tabs>
          <w:tab w:leader="none" w:pos="312" w:val="left"/>
        </w:tabs>
        <w:numPr>
          <w:ilvl w:val="0"/>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Regulation S. </w:t>
      </w:r>
      <w:r>
        <w:rPr>
          <w:rFonts w:ascii="Times New Roman" w:cs="Times New Roman" w:eastAsia="Times New Roman" w:hAnsi="Times New Roman"/>
          <w:sz w:val="20"/>
          <w:szCs w:val="20"/>
          <w:color w:val="auto"/>
        </w:rPr>
        <w:t>If Optionee’s address is an address located outside of the United States, Optionee will make the following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warranties and agreements:</w:t>
      </w:r>
    </w:p>
    <w:p>
      <w:pPr>
        <w:spacing w:after="0" w:line="169" w:lineRule="exact"/>
        <w:rPr>
          <w:rFonts w:ascii="Times New Roman" w:cs="Times New Roman" w:eastAsia="Times New Roman" w:hAnsi="Times New Roman"/>
          <w:sz w:val="20"/>
          <w:szCs w:val="20"/>
          <w:b w:val="1"/>
          <w:bCs w:val="1"/>
          <w:color w:val="auto"/>
        </w:rPr>
      </w:pPr>
    </w:p>
    <w:p>
      <w:pPr>
        <w:ind w:left="652" w:right="180" w:hanging="328"/>
        <w:spacing w:after="0" w:line="254" w:lineRule="auto"/>
        <w:tabs>
          <w:tab w:leader="none" w:pos="740"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Non-U.S. Person</w:t>
      </w:r>
      <w:r>
        <w:rPr>
          <w:rFonts w:ascii="Times New Roman" w:cs="Times New Roman" w:eastAsia="Times New Roman" w:hAnsi="Times New Roman"/>
          <w:sz w:val="20"/>
          <w:szCs w:val="20"/>
          <w:color w:val="auto"/>
        </w:rPr>
        <w:t xml:space="preserve">. I am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a U.S. Person as defined in Rule 902(k) of Regulation S under the Securities Act. The offer and sale of the Purchased Shares to me was made in an offshore transaction (as defined in Rule 902(h) of Regulation S), no directed selling efforts (as defined in Rule 902(c) of Regulation S) were made in the United States, and I am not acquiring the Purchased Shares for the account or benefit of any U.S. Person.</w:t>
      </w:r>
    </w:p>
    <w:p>
      <w:pPr>
        <w:spacing w:after="0" w:line="187" w:lineRule="exact"/>
        <w:rPr>
          <w:rFonts w:ascii="Times New Roman" w:cs="Times New Roman" w:eastAsia="Times New Roman" w:hAnsi="Times New Roman"/>
          <w:sz w:val="20"/>
          <w:szCs w:val="20"/>
          <w:color w:val="auto"/>
        </w:rPr>
      </w:pPr>
    </w:p>
    <w:p>
      <w:pPr>
        <w:ind w:left="652" w:right="80" w:hanging="328"/>
        <w:spacing w:after="0" w:line="258" w:lineRule="auto"/>
        <w:tabs>
          <w:tab w:leader="none" w:pos="751"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Offer or Sale</w:t>
      </w:r>
      <w:r>
        <w:rPr>
          <w:rFonts w:ascii="Times New Roman" w:cs="Times New Roman" w:eastAsia="Times New Roman" w:hAnsi="Times New Roman"/>
          <w:sz w:val="20"/>
          <w:szCs w:val="20"/>
          <w:color w:val="auto"/>
        </w:rPr>
        <w:t>. I will not, during the Restricted Period applicable to the Purchased Shares set forth in the legend set forth below (the “</w:t>
      </w:r>
      <w:r>
        <w:rPr>
          <w:rFonts w:ascii="Times New Roman" w:cs="Times New Roman" w:eastAsia="Times New Roman" w:hAnsi="Times New Roman"/>
          <w:sz w:val="20"/>
          <w:szCs w:val="20"/>
          <w:b w:val="1"/>
          <w:bCs w:val="1"/>
          <w:i w:val="1"/>
          <w:iCs w:val="1"/>
          <w:color w:val="auto"/>
        </w:rPr>
        <w:t>Restricted Period</w:t>
      </w:r>
      <w:r>
        <w:rPr>
          <w:rFonts w:ascii="Times New Roman" w:cs="Times New Roman" w:eastAsia="Times New Roman" w:hAnsi="Times New Roman"/>
          <w:sz w:val="20"/>
          <w:szCs w:val="20"/>
          <w:color w:val="auto"/>
        </w:rPr>
        <w:t>”) and to any certificate representing the Purchased Shares, offer or sell any of the foregoing securities (or create or maintain any derivative position equivalent thereto) in the United States, to or for the account or benefit of a U.S. Person or other than in accordance with Regulation S.</w:t>
      </w:r>
    </w:p>
    <w:p>
      <w:pPr>
        <w:spacing w:after="0" w:line="172" w:lineRule="exact"/>
        <w:rPr>
          <w:rFonts w:ascii="Times New Roman" w:cs="Times New Roman" w:eastAsia="Times New Roman" w:hAnsi="Times New Roman"/>
          <w:sz w:val="20"/>
          <w:szCs w:val="20"/>
          <w:color w:val="auto"/>
        </w:rPr>
      </w:pPr>
    </w:p>
    <w:p>
      <w:pPr>
        <w:ind w:left="652" w:right="40" w:hanging="328"/>
        <w:spacing w:after="0" w:line="268" w:lineRule="auto"/>
        <w:tabs>
          <w:tab w:leader="none" w:pos="740"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or Exemption</w:t>
      </w:r>
      <w:r>
        <w:rPr>
          <w:rFonts w:ascii="Times New Roman" w:cs="Times New Roman" w:eastAsia="Times New Roman" w:hAnsi="Times New Roman"/>
          <w:sz w:val="20"/>
          <w:szCs w:val="20"/>
          <w:color w:val="auto"/>
        </w:rPr>
        <w:t>. I will, after the expiration of the applicable Restricted Period, offer, sell, pledge or otherwise transfer the Purchased Shares (or create or maintain any derivative position equivalent thereto) only pursuant to registration under the Securities Act or any available exemption therefrom and, in any case, in accordance with applicable state securities laws.</w:t>
      </w:r>
    </w:p>
    <w:p>
      <w:pPr>
        <w:spacing w:after="0" w:line="161" w:lineRule="exact"/>
        <w:rPr>
          <w:rFonts w:ascii="Times New Roman" w:cs="Times New Roman" w:eastAsia="Times New Roman" w:hAnsi="Times New Roman"/>
          <w:sz w:val="20"/>
          <w:szCs w:val="20"/>
          <w:color w:val="auto"/>
        </w:rPr>
      </w:pPr>
    </w:p>
    <w:p>
      <w:pPr>
        <w:ind w:left="652" w:hanging="328"/>
        <w:spacing w:after="0" w:line="258" w:lineRule="auto"/>
        <w:tabs>
          <w:tab w:leader="none" w:pos="751"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Transfer in Violation of Restrictions; Legend</w:t>
      </w:r>
      <w:r>
        <w:rPr>
          <w:rFonts w:ascii="Times New Roman" w:cs="Times New Roman" w:eastAsia="Times New Roman" w:hAnsi="Times New Roman"/>
          <w:sz w:val="20"/>
          <w:szCs w:val="20"/>
          <w:color w:val="auto"/>
        </w:rPr>
        <w:t>. I acknowledge and agree that the Company shall not register the transfer of the Purchased Shares in violation of these restrictions. I acknowledge and agree that the certificates evidencing the Purchased Shares will bear the legend set forth below (in addition to any other legend required by applicable federal, state or foreign securities laws or provided in any other agreement with the Company:</w:t>
      </w:r>
    </w:p>
    <w:p>
      <w:pPr>
        <w:sectPr>
          <w:pgSz w:w="11900" w:h="16838" w:orient="portrait"/>
          <w:cols w:equalWidth="0" w:num="1">
            <w:col w:w="11232"/>
          </w:cols>
          <w:pgMar w:left="328" w:top="1409" w:right="339" w:bottom="1440" w:gutter="0" w:footer="0" w:header="0"/>
        </w:sectPr>
      </w:pPr>
    </w:p>
    <w:bookmarkStart w:id="404" w:name="page405"/>
    <w:bookmarkEnd w:id="404"/>
    <w:p>
      <w:pPr>
        <w:jc w:val="both"/>
        <w:ind w:left="640"/>
        <w:spacing w:after="0" w:line="264" w:lineRule="auto"/>
        <w:rPr>
          <w:sz w:val="20"/>
          <w:szCs w:val="20"/>
          <w:color w:val="auto"/>
        </w:rPr>
      </w:pPr>
      <w:r>
        <w:rPr>
          <w:rFonts w:ascii="Times New Roman" w:cs="Times New Roman" w:eastAsia="Times New Roman" w:hAnsi="Times New Roman"/>
          <w:sz w:val="19"/>
          <w:szCs w:val="19"/>
          <w:color w:val="auto"/>
        </w:rPr>
        <w:t>THE SHARES REPRESENTED BY THIS CERTIFICATE HAVE NOT BEEN REGIS- TERED UNDER THE SECURITIES ACT OF 1933, AS AMENDED (THE “ACT”) WITH THE UNITED STATES SECURITIES AND EXCHANGE COMMISSION, AND THE COMPANY DOES NOT INTEND TO REGISTER THEM. PRIOR TO A DATE THAT IS ONE-YEAR STARTING FROM THE DATE OF SALE OF THE STOCK, THE SHARES MAY NOT BE OFFERED OR SOLD (INCLUDING OPENING A SHORT POSITION IN SUCH SECURITIES) IN THE UNITED STATES OR TO U.S. PERSONS AS DEFINED BY RULE 902(k)</w:t>
      </w:r>
    </w:p>
    <w:p>
      <w:pPr>
        <w:spacing w:after="0" w:line="2"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0"/>
          <w:szCs w:val="20"/>
          <w:color w:val="auto"/>
        </w:rPr>
        <w:t>ADOPTED UNDER THE ACT, OTHER THAN TO DISTRIBUTORS, UNLESS THE SHARES ARE REGISTERED UNDER THE ACT, OR AN EXEMPTION FROM THE REGISTRATION REQUIREMENTS OF THE ACT IS AVAILABLE. PARTICIPANTS OF SHARES PRIOR TO ONE-YEAR STARTING FROM THE DATE OF SALE OF THE STOCK, MAY RESELL SUCH SECURITIES ONLY PURSUANT TO AN EXEMPTION FROM REGISTRATION UNDER THE ACT OR OTHERWISE IN ACCORDANCE WITH THE PROVISIONS OF REGULATION S OF THE ACT, OR IN TRANSACTIONS EFFECTED OUTSIDE OF THE UNITED STATES PROVIDED THEY DO NOT SOLICIT (AND NO ONE ACTING ON THEIR BEHALF SOLICITS) PARTICIPANTS IN THE UNITED STATES OR OTHERWISE ENGAGE(S) IN SELLING EFFORTS IN THE UNITED STATES AND PROVIDED THAT HEDGING TRANSACTIONS INVOLVING THESE SECURITIES MAY NOT BE CONDUCTED UNLESS IN COMPLIANCE WITH THE ACT. A HOLDER OF THE SECURITIES WHO IS A DISTRIBUTOR, DEALER, SUB-UNDERWRITER OR OTHER SECURITIES PROFESSIONAL, IN ADDITION, CANNOT PRIOR TO ONE-YEAR STARTING FROM THE DATE OF SALE OF THE STOCK RESELL THE SECURITIES TO A U.S. PERSON AS DEFINED BY RULE 902(k) OF REGULATION S UNLESS THE SECURITIES ARE REGISTERED UNDER THE ACT OR AN EXEMPTION FROM REGISTRATION UNDER THE ACT IS AVAILABLE.</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undersigned hereby executes and delivers this Stock Option Exercise Notice and Agreement and agrees to be bound by its terms</w:t>
      </w:r>
    </w:p>
    <w:p>
      <w:pPr>
        <w:spacing w:after="0" w:line="264" w:lineRule="exact"/>
        <w:rPr>
          <w:sz w:val="20"/>
          <w:szCs w:val="20"/>
          <w:color w:val="auto"/>
        </w:rPr>
      </w:pPr>
    </w:p>
    <w:p>
      <w:pPr>
        <w:spacing w:after="0"/>
        <w:tabs>
          <w:tab w:leader="none" w:pos="6820" w:val="left"/>
        </w:tabs>
        <w:rPr>
          <w:sz w:val="20"/>
          <w:szCs w:val="20"/>
          <w:color w:val="auto"/>
        </w:rPr>
      </w:pPr>
      <w:r>
        <w:rPr>
          <w:rFonts w:ascii="Times New Roman" w:cs="Times New Roman" w:eastAsia="Times New Roman" w:hAnsi="Times New Roman"/>
          <w:sz w:val="20"/>
          <w:szCs w:val="20"/>
          <w:b w:val="1"/>
          <w:bCs w:val="1"/>
          <w:color w:val="auto"/>
        </w:rPr>
        <w:t>SIGNATURE OF OPTIONEE:</w:t>
      </w:r>
      <w:r>
        <w:rPr>
          <w:sz w:val="20"/>
          <w:szCs w:val="20"/>
          <w:color w:val="auto"/>
        </w:rPr>
        <w:tab/>
      </w:r>
      <w:r>
        <w:rPr>
          <w:rFonts w:ascii="Times New Roman" w:cs="Times New Roman" w:eastAsia="Times New Roman" w:hAnsi="Times New Roman"/>
          <w:sz w:val="19"/>
          <w:szCs w:val="1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Optionee's Name:</w:t>
      </w:r>
    </w:p>
    <w:p>
      <w:pPr>
        <w:spacing w:after="0" w:line="297" w:lineRule="exact"/>
        <w:rPr>
          <w:sz w:val="20"/>
          <w:szCs w:val="20"/>
          <w:color w:val="auto"/>
        </w:rPr>
      </w:pPr>
    </w:p>
    <w:p>
      <w:pPr>
        <w:spacing w:after="0"/>
        <w:tabs>
          <w:tab w:leader="none" w:pos="6820" w:val="left"/>
        </w:tabs>
        <w:rPr>
          <w:sz w:val="20"/>
          <w:szCs w:val="20"/>
          <w:color w:val="auto"/>
        </w:rPr>
      </w:pPr>
      <w:r>
        <w:rPr>
          <w:rFonts w:ascii="Times New Roman" w:cs="Times New Roman" w:eastAsia="Times New Roman" w:hAnsi="Times New Roman"/>
          <w:sz w:val="20"/>
          <w:szCs w:val="20"/>
          <w:b w:val="1"/>
          <w:bCs w:val="1"/>
          <w:color w:val="auto"/>
        </w:rPr>
        <w:t>SIGNATURE FOR COMPANY:</w:t>
      </w:r>
      <w:r>
        <w:rPr>
          <w:sz w:val="20"/>
          <w:szCs w:val="20"/>
          <w:color w:val="auto"/>
        </w:rPr>
        <w:tab/>
      </w:r>
      <w:r>
        <w:rPr>
          <w:rFonts w:ascii="Times New Roman" w:cs="Times New Roman" w:eastAsia="Times New Roman" w:hAnsi="Times New Roman"/>
          <w:sz w:val="19"/>
          <w:szCs w:val="1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 Title:</w:t>
      </w: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[Signature Page to Stock Option Exercise Notice and Agreement]</w:t>
      </w: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FDE8AF6"/>
    <w:multiLevelType w:val="hybridMultilevel"/>
    <w:lvl w:ilvl="0">
      <w:lvlJc w:val="left"/>
      <w:lvlText w:val="(%1)"/>
      <w:numFmt w:val="decimal"/>
      <w:start w:val="1"/>
    </w:lvl>
  </w:abstractNum>
  <w:abstractNum w:abstractNumId="1">
    <w:nsid w:val="3FC32E20"/>
    <w:multiLevelType w:val="hybridMultilevel"/>
    <w:lvl w:ilvl="0">
      <w:lvlJc w:val="left"/>
      <w:lvlText w:val="•"/>
      <w:numFmt w:val="bullet"/>
      <w:start w:val="1"/>
    </w:lvl>
  </w:abstractNum>
  <w:abstractNum w:abstractNumId="2">
    <w:nsid w:val="49C0E823"/>
    <w:multiLevelType w:val="hybridMultilevel"/>
    <w:lvl w:ilvl="0">
      <w:lvlJc w:val="left"/>
      <w:lvlText w:val="•"/>
      <w:numFmt w:val="bullet"/>
      <w:start w:val="1"/>
    </w:lvl>
  </w:abstractNum>
  <w:abstractNum w:abstractNumId="3">
    <w:nsid w:val="14D53685"/>
    <w:multiLevelType w:val="hybridMultilevel"/>
    <w:lvl w:ilvl="0">
      <w:lvlJc w:val="left"/>
      <w:lvlText w:val="•"/>
      <w:numFmt w:val="bullet"/>
      <w:start w:val="1"/>
    </w:lvl>
  </w:abstractNum>
  <w:abstractNum w:abstractNumId="4">
    <w:nsid w:val="230F856C"/>
    <w:multiLevelType w:val="hybridMultilevel"/>
    <w:lvl w:ilvl="0">
      <w:lvlJc w:val="left"/>
      <w:lvlText w:val="•"/>
      <w:numFmt w:val="bullet"/>
      <w:start w:val="1"/>
    </w:lvl>
  </w:abstractNum>
  <w:abstractNum w:abstractNumId="5">
    <w:nsid w:val="6EAA85FB"/>
    <w:multiLevelType w:val="hybridMultilevel"/>
    <w:lvl w:ilvl="0">
      <w:lvlJc w:val="left"/>
      <w:lvlText w:val="•"/>
      <w:numFmt w:val="bullet"/>
      <w:start w:val="1"/>
    </w:lvl>
  </w:abstractNum>
  <w:abstractNum w:abstractNumId="6">
    <w:nsid w:val="3F06ECB2"/>
    <w:multiLevelType w:val="hybridMultilevel"/>
    <w:lvl w:ilvl="0">
      <w:lvlJc w:val="left"/>
      <w:lvlText w:val="•"/>
      <w:numFmt w:val="bullet"/>
      <w:start w:val="1"/>
    </w:lvl>
    <w:lvl w:ilvl="1">
      <w:lvlJc w:val="left"/>
      <w:lvlText w:val="•"/>
      <w:numFmt w:val="bullet"/>
      <w:start w:val="1"/>
    </w:lvl>
  </w:abstractNum>
  <w:abstractNum w:abstractNumId="7">
    <w:nsid w:val="3B594807"/>
    <w:multiLevelType w:val="hybridMultilevel"/>
    <w:lvl w:ilvl="0">
      <w:lvlJc w:val="left"/>
      <w:lvlText w:val="•"/>
      <w:numFmt w:val="bullet"/>
      <w:start w:val="1"/>
    </w:lvl>
  </w:abstractNum>
  <w:abstractNum w:abstractNumId="8">
    <w:nsid w:val="6CAA2304"/>
    <w:multiLevelType w:val="hybridMultilevel"/>
    <w:lvl w:ilvl="0">
      <w:lvlJc w:val="left"/>
      <w:lvlText w:val="•"/>
      <w:numFmt w:val="bullet"/>
      <w:start w:val="1"/>
    </w:lvl>
  </w:abstractNum>
  <w:abstractNum w:abstractNumId="9">
    <w:nsid w:val="3F7C2FF4"/>
    <w:multiLevelType w:val="hybridMultilevel"/>
    <w:lvl w:ilvl="0">
      <w:lvlJc w:val="left"/>
      <w:lvlText w:val="•"/>
      <w:numFmt w:val="bullet"/>
      <w:start w:val="1"/>
    </w:lvl>
  </w:abstractNum>
  <w:abstractNum w:abstractNumId="10">
    <w:nsid w:val="25413BEC"/>
    <w:multiLevelType w:val="hybridMultilevel"/>
    <w:lvl w:ilvl="0">
      <w:lvlJc w:val="left"/>
      <w:lvlText w:val="•"/>
      <w:numFmt w:val="bullet"/>
      <w:start w:val="1"/>
    </w:lvl>
  </w:abstractNum>
  <w:abstractNum w:abstractNumId="11">
    <w:nsid w:val="17180B0B"/>
    <w:multiLevelType w:val="hybridMultilevel"/>
    <w:lvl w:ilvl="0">
      <w:lvlJc w:val="left"/>
      <w:lvlText w:val="•"/>
      <w:numFmt w:val="bullet"/>
      <w:start w:val="1"/>
    </w:lvl>
  </w:abstractNum>
  <w:abstractNum w:abstractNumId="12">
    <w:nsid w:val="579328B9"/>
    <w:multiLevelType w:val="hybridMultilevel"/>
    <w:lvl w:ilvl="0">
      <w:lvlJc w:val="left"/>
      <w:lvlText w:val="•"/>
      <w:numFmt w:val="bullet"/>
      <w:start w:val="1"/>
    </w:lvl>
  </w:abstractNum>
  <w:abstractNum w:abstractNumId="13">
    <w:nsid w:val="5D205E20"/>
    <w:multiLevelType w:val="hybridMultilevel"/>
    <w:lvl w:ilvl="0">
      <w:lvlJc w:val="left"/>
      <w:lvlText w:val="•"/>
      <w:numFmt w:val="bullet"/>
      <w:start w:val="1"/>
    </w:lvl>
  </w:abstractNum>
  <w:abstractNum w:abstractNumId="14">
    <w:nsid w:val="11CCA8BA"/>
    <w:multiLevelType w:val="hybridMultilevel"/>
    <w:lvl w:ilvl="0">
      <w:lvlJc w:val="left"/>
      <w:lvlText w:val="•"/>
      <w:numFmt w:val="bullet"/>
      <w:start w:val="1"/>
    </w:lvl>
  </w:abstractNum>
  <w:abstractNum w:abstractNumId="15">
    <w:nsid w:val="4D32AB86"/>
    <w:multiLevelType w:val="hybridMultilevel"/>
    <w:lvl w:ilvl="0">
      <w:lvlJc w:val="left"/>
      <w:lvlText w:val="•"/>
      <w:numFmt w:val="bullet"/>
      <w:start w:val="1"/>
    </w:lvl>
  </w:abstractNum>
  <w:abstractNum w:abstractNumId="16">
    <w:nsid w:val="3F07ACC3"/>
    <w:multiLevelType w:val="hybridMultilevel"/>
    <w:lvl w:ilvl="0">
      <w:lvlJc w:val="left"/>
      <w:lvlText w:val="$"/>
      <w:numFmt w:val="bullet"/>
      <w:start w:val="1"/>
    </w:lvl>
  </w:abstractNum>
  <w:abstractNum w:abstractNumId="17">
    <w:nsid w:val="6B47F63E"/>
    <w:multiLevelType w:val="hybridMultilevel"/>
    <w:lvl w:ilvl="0">
      <w:lvlJc w:val="left"/>
      <w:lvlText w:val="•"/>
      <w:numFmt w:val="bullet"/>
      <w:start w:val="1"/>
    </w:lvl>
  </w:abstractNum>
  <w:abstractNum w:abstractNumId="18">
    <w:nsid w:val="5CB44A05"/>
    <w:multiLevelType w:val="hybridMultilevel"/>
    <w:lvl w:ilvl="0">
      <w:lvlJc w:val="left"/>
      <w:lvlText w:val="(%1)"/>
      <w:numFmt w:val="decimal"/>
      <w:start w:val="2"/>
    </w:lvl>
  </w:abstractNum>
  <w:abstractNum w:abstractNumId="19">
    <w:nsid w:val="16CF80F1"/>
    <w:multiLevelType w:val="hybridMultilevel"/>
    <w:lvl w:ilvl="0">
      <w:lvlJc w:val="left"/>
      <w:lvlText w:val="$"/>
      <w:numFmt w:val="bullet"/>
      <w:start w:val="1"/>
    </w:lvl>
  </w:abstractNum>
  <w:abstractNum w:abstractNumId="20">
    <w:nsid w:val="1C695DEC"/>
    <w:multiLevelType w:val="hybridMultilevel"/>
    <w:lvl w:ilvl="0">
      <w:lvlJc w:val="left"/>
      <w:lvlText w:val="(%1)"/>
      <w:numFmt w:val="decimal"/>
      <w:start w:val="1"/>
    </w:lvl>
  </w:abstractNum>
  <w:abstractNum w:abstractNumId="21">
    <w:nsid w:val="3FCFAED9"/>
    <w:multiLevelType w:val="hybridMultilevel"/>
    <w:lvl w:ilvl="0">
      <w:lvlJc w:val="left"/>
      <w:lvlText w:val="(%1)"/>
      <w:numFmt w:val="decimal"/>
      <w:start w:val="4"/>
    </w:lvl>
  </w:abstractNum>
  <w:abstractNum w:abstractNumId="22">
    <w:nsid w:val="F856867"/>
    <w:multiLevelType w:val="hybridMultilevel"/>
    <w:lvl w:ilvl="0">
      <w:lvlJc w:val="left"/>
      <w:lvlText w:val="(%1)"/>
      <w:numFmt w:val="decimal"/>
      <w:start w:val="1"/>
    </w:lvl>
  </w:abstractNum>
  <w:abstractNum w:abstractNumId="23">
    <w:nsid w:val="11B1CC33"/>
    <w:multiLevelType w:val="hybridMultilevel"/>
    <w:lvl w:ilvl="0">
      <w:lvlJc w:val="left"/>
      <w:lvlText w:val="•"/>
      <w:numFmt w:val="bullet"/>
      <w:start w:val="1"/>
    </w:lvl>
  </w:abstractNum>
  <w:abstractNum w:abstractNumId="24">
    <w:nsid w:val="2E22FBB7"/>
    <w:multiLevelType w:val="hybridMultilevel"/>
    <w:lvl w:ilvl="0">
      <w:lvlJc w:val="left"/>
      <w:lvlText w:val="•"/>
      <w:numFmt w:val="bullet"/>
      <w:start w:val="1"/>
    </w:lvl>
  </w:abstractNum>
  <w:abstractNum w:abstractNumId="25">
    <w:nsid w:val="29934699"/>
    <w:multiLevelType w:val="hybridMultilevel"/>
    <w:lvl w:ilvl="0">
      <w:lvlJc w:val="left"/>
      <w:lvlText w:val="•"/>
      <w:numFmt w:val="bullet"/>
      <w:start w:val="1"/>
    </w:lvl>
  </w:abstractNum>
  <w:abstractNum w:abstractNumId="26">
    <w:nsid w:val="77485850"/>
    <w:multiLevelType w:val="hybridMultilevel"/>
    <w:lvl w:ilvl="0">
      <w:lvlJc w:val="left"/>
      <w:lvlText w:val="•"/>
      <w:numFmt w:val="bullet"/>
      <w:start w:val="1"/>
    </w:lvl>
  </w:abstractNum>
  <w:abstractNum w:abstractNumId="27">
    <w:nsid w:val="744939A3"/>
    <w:multiLevelType w:val="hybridMultilevel"/>
    <w:lvl w:ilvl="0">
      <w:lvlJc w:val="left"/>
      <w:lvlText w:val="•"/>
      <w:numFmt w:val="bullet"/>
      <w:start w:val="1"/>
    </w:lvl>
  </w:abstractNum>
  <w:abstractNum w:abstractNumId="28">
    <w:nsid w:val="4FA0D2E3"/>
    <w:multiLevelType w:val="hybridMultilevel"/>
    <w:lvl w:ilvl="0">
      <w:lvlJc w:val="left"/>
      <w:lvlText w:val="•"/>
      <w:numFmt w:val="bullet"/>
      <w:start w:val="1"/>
    </w:lvl>
  </w:abstractNum>
  <w:abstractNum w:abstractNumId="29">
    <w:nsid w:val="6B1D2C14"/>
    <w:multiLevelType w:val="hybridMultilevel"/>
    <w:lvl w:ilvl="0">
      <w:lvlJc w:val="left"/>
      <w:lvlText w:val="•"/>
      <w:numFmt w:val="bullet"/>
      <w:start w:val="1"/>
    </w:lvl>
  </w:abstractNum>
  <w:abstractNum w:abstractNumId="30">
    <w:nsid w:val="68B867D3"/>
    <w:multiLevelType w:val="hybridMultilevel"/>
    <w:lvl w:ilvl="0">
      <w:lvlJc w:val="left"/>
      <w:lvlText w:val="•"/>
      <w:numFmt w:val="bullet"/>
      <w:start w:val="1"/>
    </w:lvl>
  </w:abstractNum>
  <w:abstractNum w:abstractNumId="31">
    <w:nsid w:val="3F7F5DD9"/>
    <w:multiLevelType w:val="hybridMultilevel"/>
    <w:lvl w:ilvl="0">
      <w:lvlJc w:val="left"/>
      <w:lvlText w:val="•"/>
      <w:numFmt w:val="bullet"/>
      <w:start w:val="1"/>
    </w:lvl>
  </w:abstractNum>
  <w:abstractNum w:abstractNumId="32">
    <w:nsid w:val="2AE05A34"/>
    <w:multiLevelType w:val="hybridMultilevel"/>
    <w:lvl w:ilvl="0">
      <w:lvlJc w:val="left"/>
      <w:lvlText w:val="•"/>
      <w:numFmt w:val="bullet"/>
      <w:start w:val="1"/>
    </w:lvl>
  </w:abstractNum>
  <w:abstractNum w:abstractNumId="33">
    <w:nsid w:val="32794FF7"/>
    <w:multiLevelType w:val="hybridMultilevel"/>
    <w:lvl w:ilvl="0">
      <w:lvlJc w:val="left"/>
      <w:lvlText w:val="•"/>
      <w:numFmt w:val="bullet"/>
      <w:start w:val="1"/>
    </w:lvl>
  </w:abstractNum>
  <w:abstractNum w:abstractNumId="34">
    <w:nsid w:val="5454945E"/>
    <w:multiLevelType w:val="hybridMultilevel"/>
    <w:lvl w:ilvl="0">
      <w:lvlJc w:val="left"/>
      <w:lvlText w:val="•"/>
      <w:numFmt w:val="bullet"/>
      <w:start w:val="1"/>
    </w:lvl>
  </w:abstractNum>
  <w:abstractNum w:abstractNumId="35">
    <w:nsid w:val="4DEFDFA0"/>
    <w:multiLevelType w:val="hybridMultilevel"/>
    <w:lvl w:ilvl="0">
      <w:lvlJc w:val="left"/>
      <w:lvlText w:val="•"/>
      <w:numFmt w:val="bullet"/>
      <w:start w:val="1"/>
    </w:lvl>
  </w:abstractNum>
  <w:abstractNum w:abstractNumId="36">
    <w:nsid w:val="2123D5F2"/>
    <w:multiLevelType w:val="hybridMultilevel"/>
    <w:lvl w:ilvl="0">
      <w:lvlJc w:val="left"/>
      <w:lvlText w:val="•"/>
      <w:numFmt w:val="bullet"/>
      <w:start w:val="1"/>
    </w:lvl>
  </w:abstractNum>
  <w:abstractNum w:abstractNumId="37">
    <w:nsid w:val="135B8110"/>
    <w:multiLevelType w:val="hybridMultilevel"/>
    <w:lvl w:ilvl="0">
      <w:lvlJc w:val="left"/>
      <w:lvlText w:val="•"/>
      <w:numFmt w:val="bullet"/>
      <w:start w:val="1"/>
    </w:lvl>
  </w:abstractNum>
  <w:abstractNum w:abstractNumId="38">
    <w:nsid w:val="94927A8"/>
    <w:multiLevelType w:val="hybridMultilevel"/>
    <w:lvl w:ilvl="0">
      <w:lvlJc w:val="left"/>
      <w:lvlText w:val=","/>
      <w:numFmt w:val="bullet"/>
      <w:start w:val="1"/>
    </w:lvl>
  </w:abstractNum>
  <w:abstractNum w:abstractNumId="39">
    <w:nsid w:val="DCDF8F6"/>
    <w:multiLevelType w:val="hybridMultilevel"/>
    <w:lvl w:ilvl="0">
      <w:lvlJc w:val="left"/>
      <w:lvlText w:val="•"/>
      <w:numFmt w:val="bullet"/>
      <w:start w:val="1"/>
    </w:lvl>
  </w:abstractNum>
  <w:abstractNum w:abstractNumId="40">
    <w:nsid w:val="52D7B105"/>
    <w:multiLevelType w:val="hybridMultilevel"/>
    <w:lvl w:ilvl="0">
      <w:lvlJc w:val="left"/>
      <w:lvlText w:val="•"/>
      <w:numFmt w:val="bullet"/>
      <w:start w:val="1"/>
    </w:lvl>
  </w:abstractNum>
  <w:abstractNum w:abstractNumId="41">
    <w:nsid w:val="2E8A6394"/>
    <w:multiLevelType w:val="hybridMultilevel"/>
    <w:lvl w:ilvl="0">
      <w:lvlJc w:val="left"/>
      <w:lvlText w:val="•"/>
      <w:numFmt w:val="bullet"/>
      <w:start w:val="1"/>
    </w:lvl>
  </w:abstractNum>
  <w:abstractNum w:abstractNumId="42">
    <w:nsid w:val="24E60401"/>
    <w:multiLevelType w:val="hybridMultilevel"/>
    <w:lvl w:ilvl="0">
      <w:lvlJc w:val="left"/>
      <w:lvlText w:val="•"/>
      <w:numFmt w:val="bullet"/>
      <w:start w:val="1"/>
    </w:lvl>
  </w:abstractNum>
  <w:abstractNum w:abstractNumId="43">
    <w:nsid w:val="2A6AD9BE"/>
    <w:multiLevelType w:val="hybridMultilevel"/>
    <w:lvl w:ilvl="0">
      <w:lvlJc w:val="left"/>
      <w:lvlText w:val="•"/>
      <w:numFmt w:val="bullet"/>
      <w:start w:val="1"/>
    </w:lvl>
  </w:abstractNum>
  <w:abstractNum w:abstractNumId="44">
    <w:nsid w:val="BAAC1B4"/>
    <w:multiLevelType w:val="hybridMultilevel"/>
    <w:lvl w:ilvl="0">
      <w:lvlJc w:val="left"/>
      <w:lvlText w:val="$"/>
      <w:numFmt w:val="bullet"/>
      <w:start w:val="1"/>
    </w:lvl>
  </w:abstractNum>
  <w:abstractNum w:abstractNumId="45">
    <w:nsid w:val="36B2ACBC"/>
    <w:multiLevelType w:val="hybridMultilevel"/>
    <w:lvl w:ilvl="0">
      <w:lvlJc w:val="left"/>
      <w:lvlText w:val="•"/>
      <w:numFmt w:val="bullet"/>
      <w:start w:val="1"/>
    </w:lvl>
  </w:abstractNum>
  <w:abstractNum w:abstractNumId="46">
    <w:nsid w:val="779D8544"/>
    <w:multiLevelType w:val="hybridMultilevel"/>
    <w:lvl w:ilvl="0">
      <w:lvlJc w:val="left"/>
      <w:lvlText w:val="$"/>
      <w:numFmt w:val="bullet"/>
      <w:start w:val="1"/>
    </w:lvl>
  </w:abstractNum>
  <w:abstractNum w:abstractNumId="47">
    <w:nsid w:val="4AB26E78"/>
    <w:multiLevelType w:val="hybridMultilevel"/>
    <w:lvl w:ilvl="0">
      <w:lvlJc w:val="left"/>
      <w:lvlText w:val="•"/>
      <w:numFmt w:val="bullet"/>
      <w:start w:val="1"/>
    </w:lvl>
  </w:abstractNum>
  <w:abstractNum w:abstractNumId="48">
    <w:nsid w:val="21FAA2FA"/>
    <w:multiLevelType w:val="hybridMultilevel"/>
    <w:lvl w:ilvl="0">
      <w:lvlJc w:val="left"/>
      <w:lvlText w:val="•"/>
      <w:numFmt w:val="bullet"/>
      <w:start w:val="1"/>
    </w:lvl>
  </w:abstractNum>
  <w:abstractNum w:abstractNumId="49">
    <w:nsid w:val="5451CF49"/>
    <w:multiLevelType w:val="hybridMultilevel"/>
    <w:lvl w:ilvl="0">
      <w:lvlJc w:val="left"/>
      <w:lvlText w:val="$"/>
      <w:numFmt w:val="bullet"/>
      <w:start w:val="1"/>
    </w:lvl>
  </w:abstractNum>
  <w:abstractNum w:abstractNumId="50">
    <w:nsid w:val="6181EF69"/>
    <w:multiLevelType w:val="hybridMultilevel"/>
    <w:lvl w:ilvl="0">
      <w:lvlJc w:val="left"/>
      <w:lvlText w:val="$"/>
      <w:numFmt w:val="bullet"/>
      <w:start w:val="1"/>
    </w:lvl>
  </w:abstractNum>
  <w:abstractNum w:abstractNumId="51">
    <w:nsid w:val="3E6400E6"/>
    <w:multiLevelType w:val="hybridMultilevel"/>
    <w:lvl w:ilvl="0">
      <w:lvlJc w:val="left"/>
      <w:lvlText w:val="•"/>
      <w:numFmt w:val="bullet"/>
      <w:start w:val="1"/>
    </w:lvl>
  </w:abstractNum>
  <w:abstractNum w:abstractNumId="52">
    <w:nsid w:val="14217E23"/>
    <w:multiLevelType w:val="hybridMultilevel"/>
    <w:lvl w:ilvl="0">
      <w:lvlJc w:val="left"/>
      <w:lvlText w:val="•"/>
      <w:numFmt w:val="bullet"/>
      <w:start w:val="1"/>
    </w:lvl>
  </w:abstractNum>
  <w:abstractNum w:abstractNumId="53">
    <w:nsid w:val="710757D0"/>
    <w:multiLevelType w:val="hybridMultilevel"/>
    <w:lvl w:ilvl="0">
      <w:lvlJc w:val="left"/>
      <w:lvlText w:val="%"/>
      <w:numFmt w:val="bullet"/>
      <w:start w:val="1"/>
    </w:lvl>
  </w:abstractNum>
  <w:abstractNum w:abstractNumId="54">
    <w:nsid w:val="5015CD1A"/>
    <w:multiLevelType w:val="hybridMultilevel"/>
    <w:lvl w:ilvl="0">
      <w:lvlJc w:val="left"/>
      <w:lvlText w:val="•"/>
      <w:numFmt w:val="bullet"/>
      <w:start w:val="1"/>
    </w:lvl>
  </w:abstractNum>
  <w:abstractNum w:abstractNumId="55">
    <w:nsid w:val="424479DA"/>
    <w:multiLevelType w:val="hybridMultilevel"/>
    <w:lvl w:ilvl="0">
      <w:lvlJc w:val="left"/>
      <w:lvlText w:val="•"/>
      <w:numFmt w:val="bullet"/>
      <w:start w:val="1"/>
    </w:lvl>
  </w:abstractNum>
  <w:abstractNum w:abstractNumId="56">
    <w:nsid w:val="1A9A9E69"/>
    <w:multiLevelType w:val="hybridMultilevel"/>
    <w:lvl w:ilvl="0">
      <w:lvlJc w:val="left"/>
      <w:lvlText w:val="•"/>
      <w:numFmt w:val="bullet"/>
      <w:start w:val="1"/>
    </w:lvl>
  </w:abstractNum>
  <w:abstractNum w:abstractNumId="57">
    <w:nsid w:val="475E256A"/>
    <w:multiLevelType w:val="hybridMultilevel"/>
    <w:lvl w:ilvl="0">
      <w:lvlJc w:val="left"/>
      <w:lvlText w:val="•"/>
      <w:numFmt w:val="bullet"/>
      <w:start w:val="1"/>
    </w:lvl>
  </w:abstractNum>
  <w:abstractNum w:abstractNumId="58">
    <w:nsid w:val="368DB37E"/>
    <w:multiLevelType w:val="hybridMultilevel"/>
    <w:lvl w:ilvl="0">
      <w:lvlJc w:val="left"/>
      <w:lvlText w:val="•"/>
      <w:numFmt w:val="bullet"/>
      <w:start w:val="1"/>
    </w:lvl>
  </w:abstractNum>
  <w:abstractNum w:abstractNumId="59">
    <w:nsid w:val="6A3B714C"/>
    <w:multiLevelType w:val="hybridMultilevel"/>
    <w:lvl w:ilvl="0">
      <w:lvlJc w:val="left"/>
      <w:lvlText w:val="$"/>
      <w:numFmt w:val="bullet"/>
      <w:start w:val="1"/>
    </w:lvl>
  </w:abstractNum>
  <w:abstractNum w:abstractNumId="60">
    <w:nsid w:val="327B517E"/>
    <w:multiLevelType w:val="hybridMultilevel"/>
    <w:lvl w:ilvl="0">
      <w:lvlJc w:val="left"/>
      <w:lvlText w:val="•"/>
      <w:numFmt w:val="bullet"/>
      <w:start w:val="1"/>
    </w:lvl>
    <w:lvl w:ilvl="1">
      <w:lvlJc w:val="left"/>
      <w:lvlText w:val="◦"/>
      <w:numFmt w:val="bullet"/>
      <w:start w:val="1"/>
    </w:lvl>
  </w:abstractNum>
  <w:abstractNum w:abstractNumId="61">
    <w:nsid w:val="1F461B51"/>
    <w:multiLevelType w:val="hybridMultilevel"/>
    <w:lvl w:ilvl="0">
      <w:lvlJc w:val="left"/>
      <w:lvlText w:val="•"/>
      <w:numFmt w:val="bullet"/>
      <w:start w:val="1"/>
    </w:lvl>
    <w:lvl w:ilvl="1">
      <w:lvlJc w:val="left"/>
      <w:lvlText w:val="◦"/>
      <w:numFmt w:val="bullet"/>
      <w:start w:val="1"/>
    </w:lvl>
  </w:abstractNum>
  <w:abstractNum w:abstractNumId="62">
    <w:nsid w:val="29BACF25"/>
    <w:multiLevelType w:val="hybridMultilevel"/>
    <w:lvl w:ilvl="0">
      <w:lvlJc w:val="left"/>
      <w:lvlText w:val="•"/>
      <w:numFmt w:val="bullet"/>
      <w:start w:val="1"/>
    </w:lvl>
    <w:lvl w:ilvl="1">
      <w:lvlJc w:val="left"/>
      <w:lvlText w:val="◦"/>
      <w:numFmt w:val="bullet"/>
      <w:start w:val="1"/>
    </w:lvl>
  </w:abstractNum>
  <w:abstractNum w:abstractNumId="63">
    <w:nsid w:val="5D5BABB3"/>
    <w:multiLevelType w:val="hybridMultilevel"/>
    <w:lvl w:ilvl="0">
      <w:lvlJc w:val="left"/>
      <w:lvlText w:val="•"/>
      <w:numFmt w:val="bullet"/>
      <w:start w:val="1"/>
    </w:lvl>
    <w:lvl w:ilvl="1">
      <w:lvlJc w:val="left"/>
      <w:lvlText w:val="◦"/>
      <w:numFmt w:val="bullet"/>
      <w:start w:val="1"/>
    </w:lvl>
  </w:abstractNum>
  <w:abstractNum w:abstractNumId="64">
    <w:nsid w:val="51BF6B48"/>
    <w:multiLevelType w:val="hybridMultilevel"/>
    <w:lvl w:ilvl="0">
      <w:lvlJc w:val="left"/>
      <w:lvlText w:val="•"/>
      <w:numFmt w:val="bullet"/>
      <w:start w:val="1"/>
    </w:lvl>
  </w:abstractNum>
  <w:abstractNum w:abstractNumId="65">
    <w:nsid w:val="7E0F6384"/>
    <w:multiLevelType w:val="hybridMultilevel"/>
    <w:lvl w:ilvl="0">
      <w:lvlJc w:val="left"/>
      <w:lvlText w:val="•"/>
      <w:numFmt w:val="bullet"/>
      <w:start w:val="1"/>
    </w:lvl>
  </w:abstractNum>
  <w:abstractNum w:abstractNumId="66">
    <w:nsid w:val="2B4B8B53"/>
    <w:multiLevelType w:val="hybridMultilevel"/>
    <w:lvl w:ilvl="0">
      <w:lvlJc w:val="left"/>
      <w:lvlText w:val="•"/>
      <w:numFmt w:val="bullet"/>
      <w:start w:val="1"/>
    </w:lvl>
  </w:abstractNum>
  <w:abstractNum w:abstractNumId="67">
    <w:nsid w:val="72E3413A"/>
    <w:multiLevelType w:val="hybridMultilevel"/>
    <w:lvl w:ilvl="0">
      <w:lvlJc w:val="left"/>
      <w:lvlText w:val="•"/>
      <w:numFmt w:val="bullet"/>
      <w:start w:val="1"/>
    </w:lvl>
  </w:abstractNum>
  <w:abstractNum w:abstractNumId="68">
    <w:nsid w:val="116AE494"/>
    <w:multiLevelType w:val="hybridMultilevel"/>
    <w:lvl w:ilvl="0">
      <w:lvlJc w:val="left"/>
      <w:lvlText w:val="•"/>
      <w:numFmt w:val="bullet"/>
      <w:start w:val="1"/>
    </w:lvl>
  </w:abstractNum>
  <w:abstractNum w:abstractNumId="69">
    <w:nsid w:val="3494B2FB"/>
    <w:multiLevelType w:val="hybridMultilevel"/>
    <w:lvl w:ilvl="0">
      <w:lvlJc w:val="left"/>
      <w:lvlText w:val="•"/>
      <w:numFmt w:val="bullet"/>
      <w:start w:val="1"/>
    </w:lvl>
  </w:abstractNum>
  <w:abstractNum w:abstractNumId="70">
    <w:nsid w:val="B13A31"/>
    <w:multiLevelType w:val="hybridMultilevel"/>
    <w:lvl w:ilvl="0">
      <w:lvlJc w:val="left"/>
      <w:lvlText w:val="•"/>
      <w:numFmt w:val="bullet"/>
      <w:start w:val="1"/>
    </w:lvl>
  </w:abstractNum>
  <w:abstractNum w:abstractNumId="71">
    <w:nsid w:val="64429599"/>
    <w:multiLevelType w:val="hybridMultilevel"/>
    <w:lvl w:ilvl="0">
      <w:lvlJc w:val="left"/>
      <w:lvlText w:val="•"/>
      <w:numFmt w:val="bullet"/>
      <w:start w:val="1"/>
    </w:lvl>
  </w:abstractNum>
  <w:abstractNum w:abstractNumId="72">
    <w:nsid w:val="631F1690"/>
    <w:multiLevelType w:val="hybridMultilevel"/>
    <w:lvl w:ilvl="0">
      <w:lvlJc w:val="left"/>
      <w:lvlText w:val="•"/>
      <w:numFmt w:val="bullet"/>
      <w:start w:val="1"/>
    </w:lvl>
  </w:abstractNum>
  <w:abstractNum w:abstractNumId="73">
    <w:nsid w:val="25973E32"/>
    <w:multiLevelType w:val="hybridMultilevel"/>
    <w:lvl w:ilvl="0">
      <w:lvlJc w:val="left"/>
      <w:lvlText w:val="•"/>
      <w:numFmt w:val="bullet"/>
      <w:start w:val="1"/>
    </w:lvl>
  </w:abstractNum>
  <w:abstractNum w:abstractNumId="74">
    <w:nsid w:val="EAD6F57"/>
    <w:multiLevelType w:val="hybridMultilevel"/>
    <w:lvl w:ilvl="0">
      <w:lvlJc w:val="left"/>
      <w:lvlText w:val="•"/>
      <w:numFmt w:val="bullet"/>
      <w:start w:val="1"/>
    </w:lvl>
    <w:lvl w:ilvl="1">
      <w:lvlJc w:val="left"/>
      <w:lvlText w:val="◦"/>
      <w:numFmt w:val="bullet"/>
      <w:start w:val="1"/>
    </w:lvl>
  </w:abstractNum>
  <w:abstractNum w:abstractNumId="75">
    <w:nsid w:val="6EC9D844"/>
    <w:multiLevelType w:val="hybridMultilevel"/>
    <w:lvl w:ilvl="0">
      <w:lvlJc w:val="left"/>
      <w:lvlText w:val="•"/>
      <w:numFmt w:val="bullet"/>
      <w:start w:val="1"/>
    </w:lvl>
  </w:abstractNum>
  <w:abstractNum w:abstractNumId="76">
    <w:nsid w:val="5C49EAEE"/>
    <w:multiLevelType w:val="hybridMultilevel"/>
    <w:lvl w:ilvl="0">
      <w:lvlJc w:val="left"/>
      <w:lvlText w:val="•"/>
      <w:numFmt w:val="bullet"/>
      <w:start w:val="1"/>
    </w:lvl>
  </w:abstractNum>
  <w:abstractNum w:abstractNumId="77">
    <w:nsid w:val="64AF49B"/>
    <w:multiLevelType w:val="hybridMultilevel"/>
    <w:lvl w:ilvl="0">
      <w:lvlJc w:val="left"/>
      <w:lvlText w:val="•"/>
      <w:numFmt w:val="bullet"/>
      <w:start w:val="1"/>
    </w:lvl>
  </w:abstractNum>
  <w:abstractNum w:abstractNumId="78">
    <w:nsid w:val="397C46BC"/>
    <w:multiLevelType w:val="hybridMultilevel"/>
    <w:lvl w:ilvl="0">
      <w:lvlJc w:val="left"/>
      <w:lvlText w:val="•"/>
      <w:numFmt w:val="bullet"/>
      <w:start w:val="1"/>
    </w:lvl>
  </w:abstractNum>
  <w:abstractNum w:abstractNumId="79">
    <w:nsid w:val="7E448DE9"/>
    <w:multiLevelType w:val="hybridMultilevel"/>
    <w:lvl w:ilvl="0">
      <w:lvlJc w:val="left"/>
      <w:lvlText w:val="•"/>
      <w:numFmt w:val="bullet"/>
      <w:start w:val="1"/>
    </w:lvl>
  </w:abstractNum>
  <w:abstractNum w:abstractNumId="80">
    <w:nsid w:val="5A9CC3E5"/>
    <w:multiLevelType w:val="hybridMultilevel"/>
    <w:lvl w:ilvl="0">
      <w:lvlJc w:val="left"/>
      <w:lvlText w:val="•"/>
      <w:numFmt w:val="bullet"/>
      <w:start w:val="1"/>
    </w:lvl>
  </w:abstractNum>
  <w:abstractNum w:abstractNumId="81">
    <w:nsid w:val="1AFE3625"/>
    <w:multiLevelType w:val="hybridMultilevel"/>
    <w:lvl w:ilvl="0">
      <w:lvlJc w:val="left"/>
      <w:lvlText w:val="•"/>
      <w:numFmt w:val="bullet"/>
      <w:start w:val="1"/>
    </w:lvl>
  </w:abstractNum>
  <w:abstractNum w:abstractNumId="82">
    <w:nsid w:val="3CA88ECF"/>
    <w:multiLevelType w:val="hybridMultilevel"/>
    <w:lvl w:ilvl="0">
      <w:lvlJc w:val="left"/>
      <w:lvlText w:val="•"/>
      <w:numFmt w:val="bullet"/>
      <w:start w:val="1"/>
    </w:lvl>
  </w:abstractNum>
  <w:abstractNum w:abstractNumId="83">
    <w:nsid w:val="6EBE4208"/>
    <w:multiLevelType w:val="hybridMultilevel"/>
    <w:lvl w:ilvl="0">
      <w:lvlJc w:val="left"/>
      <w:lvlText w:val="•"/>
      <w:numFmt w:val="bullet"/>
      <w:start w:val="1"/>
    </w:lvl>
    <w:lvl w:ilvl="1">
      <w:lvlJc w:val="left"/>
      <w:lvlText w:val="◦"/>
      <w:numFmt w:val="bullet"/>
      <w:start w:val="1"/>
    </w:lvl>
  </w:abstractNum>
  <w:abstractNum w:abstractNumId="84">
    <w:nsid w:val="C058DF5"/>
    <w:multiLevelType w:val="hybridMultilevel"/>
    <w:lvl w:ilvl="0">
      <w:lvlJc w:val="left"/>
      <w:lvlText w:val="•"/>
      <w:numFmt w:val="bullet"/>
      <w:start w:val="1"/>
    </w:lvl>
    <w:lvl w:ilvl="1">
      <w:lvlJc w:val="left"/>
      <w:lvlText w:val="◦"/>
      <w:numFmt w:val="bullet"/>
      <w:start w:val="1"/>
    </w:lvl>
  </w:abstractNum>
  <w:abstractNum w:abstractNumId="85">
    <w:nsid w:val="CBE5BE9"/>
    <w:multiLevelType w:val="hybridMultilevel"/>
    <w:lvl w:ilvl="0">
      <w:lvlJc w:val="left"/>
      <w:lvlText w:val="•"/>
      <w:numFmt w:val="bullet"/>
      <w:start w:val="1"/>
    </w:lvl>
  </w:abstractNum>
  <w:abstractNum w:abstractNumId="86">
    <w:nsid w:val="3102BBE2"/>
    <w:multiLevelType w:val="hybridMultilevel"/>
    <w:lvl w:ilvl="0">
      <w:lvlJc w:val="left"/>
      <w:lvlText w:val="(%1)"/>
      <w:numFmt w:val="decimal"/>
      <w:start w:val="1"/>
    </w:lvl>
  </w:abstractNum>
  <w:abstractNum w:abstractNumId="87">
    <w:nsid w:val="26A02C5E"/>
    <w:multiLevelType w:val="hybridMultilevel"/>
    <w:lvl w:ilvl="0">
      <w:lvlJc w:val="left"/>
      <w:lvlText w:val="•"/>
      <w:numFmt w:val="bullet"/>
      <w:start w:val="1"/>
    </w:lvl>
  </w:abstractNum>
  <w:abstractNum w:abstractNumId="88">
    <w:nsid w:val="541C8153"/>
    <w:multiLevelType w:val="hybridMultilevel"/>
    <w:lvl w:ilvl="0">
      <w:lvlJc w:val="left"/>
      <w:lvlText w:val="•"/>
      <w:numFmt w:val="bullet"/>
      <w:start w:val="1"/>
    </w:lvl>
  </w:abstractNum>
  <w:abstractNum w:abstractNumId="89">
    <w:nsid w:val="67906F60"/>
    <w:multiLevelType w:val="hybridMultilevel"/>
    <w:lvl w:ilvl="0">
      <w:lvlJc w:val="left"/>
      <w:lvlText w:val="•"/>
      <w:numFmt w:val="bullet"/>
      <w:start w:val="1"/>
    </w:lvl>
  </w:abstractNum>
  <w:abstractNum w:abstractNumId="90">
    <w:nsid w:val="10DB9DAA"/>
    <w:multiLevelType w:val="hybridMultilevel"/>
    <w:lvl w:ilvl="0">
      <w:lvlJc w:val="left"/>
      <w:lvlText w:val="•"/>
      <w:numFmt w:val="bullet"/>
      <w:start w:val="1"/>
    </w:lvl>
  </w:abstractNum>
  <w:abstractNum w:abstractNumId="91">
    <w:nsid w:val="697D2D2"/>
    <w:multiLevelType w:val="hybridMultilevel"/>
    <w:lvl w:ilvl="0">
      <w:lvlJc w:val="left"/>
      <w:lvlText w:val="•"/>
      <w:numFmt w:val="bullet"/>
      <w:start w:val="1"/>
    </w:lvl>
  </w:abstractNum>
  <w:abstractNum w:abstractNumId="92">
    <w:nsid w:val="6D68AB2"/>
    <w:multiLevelType w:val="hybridMultilevel"/>
    <w:lvl w:ilvl="0">
      <w:lvlJc w:val="left"/>
      <w:lvlText w:val="•"/>
      <w:numFmt w:val="bullet"/>
      <w:start w:val="1"/>
    </w:lvl>
  </w:abstractNum>
  <w:abstractNum w:abstractNumId="93">
    <w:nsid w:val="3A966CD0"/>
    <w:multiLevelType w:val="hybridMultilevel"/>
    <w:lvl w:ilvl="0">
      <w:lvlJc w:val="left"/>
      <w:lvlText w:val="(%1)"/>
      <w:numFmt w:val="decimal"/>
      <w:start w:val="1"/>
    </w:lvl>
  </w:abstractNum>
  <w:abstractNum w:abstractNumId="94">
    <w:nsid w:val="63F37E85"/>
    <w:multiLevelType w:val="hybridMultilevel"/>
    <w:lvl w:ilvl="0">
      <w:lvlJc w:val="left"/>
      <w:lvlText w:val="•"/>
      <w:numFmt w:val="bullet"/>
      <w:start w:val="1"/>
    </w:lvl>
  </w:abstractNum>
  <w:abstractNum w:abstractNumId="95">
    <w:nsid w:val="5895F5FA"/>
    <w:multiLevelType w:val="hybridMultilevel"/>
    <w:lvl w:ilvl="0">
      <w:lvlJc w:val="left"/>
      <w:lvlText w:val="(%1)"/>
      <w:numFmt w:val="decimal"/>
      <w:start w:val="1"/>
    </w:lvl>
  </w:abstractNum>
  <w:abstractNum w:abstractNumId="96">
    <w:nsid w:val="38A5D054"/>
    <w:multiLevelType w:val="hybridMultilevel"/>
    <w:lvl w:ilvl="0">
      <w:lvlJc w:val="left"/>
      <w:lvlText w:val="(%1)"/>
      <w:numFmt w:val="decimal"/>
      <w:start w:val="3"/>
    </w:lvl>
  </w:abstractNum>
  <w:abstractNum w:abstractNumId="97">
    <w:nsid w:val="F3F09D8"/>
    <w:multiLevelType w:val="hybridMultilevel"/>
    <w:lvl w:ilvl="0">
      <w:lvlJc w:val="left"/>
      <w:lvlText w:val="(%1)"/>
      <w:numFmt w:val="decimal"/>
      <w:start w:val="1"/>
    </w:lvl>
  </w:abstractNum>
  <w:abstractNum w:abstractNumId="98">
    <w:nsid w:val="4B793735"/>
    <w:multiLevelType w:val="hybridMultilevel"/>
    <w:lvl w:ilvl="0">
      <w:lvlJc w:val="left"/>
      <w:lvlText w:val="(%1)"/>
      <w:numFmt w:val="decimal"/>
      <w:start w:val="2"/>
    </w:lvl>
  </w:abstractNum>
  <w:abstractNum w:abstractNumId="99">
    <w:nsid w:val="4A10B4E8"/>
    <w:multiLevelType w:val="hybridMultilevel"/>
    <w:lvl w:ilvl="0">
      <w:lvlJc w:val="left"/>
      <w:lvlText w:val="•"/>
      <w:numFmt w:val="bullet"/>
      <w:start w:val="1"/>
    </w:lvl>
  </w:abstractNum>
  <w:abstractNum w:abstractNumId="100">
    <w:nsid w:val="43D3BCD4"/>
    <w:multiLevelType w:val="hybridMultilevel"/>
    <w:lvl w:ilvl="0">
      <w:lvlJc w:val="left"/>
      <w:lvlText w:val="•"/>
      <w:numFmt w:val="bullet"/>
      <w:start w:val="1"/>
    </w:lvl>
  </w:abstractNum>
  <w:abstractNum w:abstractNumId="101">
    <w:nsid w:val="4C2A7166"/>
    <w:multiLevelType w:val="hybridMultilevel"/>
    <w:lvl w:ilvl="0">
      <w:lvlJc w:val="left"/>
      <w:lvlText w:val="•"/>
      <w:numFmt w:val="bullet"/>
      <w:start w:val="1"/>
    </w:lvl>
  </w:abstractNum>
  <w:abstractNum w:abstractNumId="102">
    <w:nsid w:val="2E534A82"/>
    <w:multiLevelType w:val="hybridMultilevel"/>
    <w:lvl w:ilvl="0">
      <w:lvlJc w:val="left"/>
      <w:lvlText w:val="(%1)"/>
      <w:numFmt w:val="lowerRoman"/>
      <w:start w:val="6"/>
    </w:lvl>
  </w:abstractNum>
  <w:abstractNum w:abstractNumId="103">
    <w:nsid w:val="26F2D364"/>
    <w:multiLevelType w:val="hybridMultilevel"/>
    <w:lvl w:ilvl="0">
      <w:lvlJc w:val="left"/>
      <w:lvlText w:val="(%1)"/>
      <w:numFmt w:val="lowerRoman"/>
      <w:start w:val="4"/>
    </w:lvl>
  </w:abstractNum>
  <w:abstractNum w:abstractNumId="104">
    <w:nsid w:val="71C1AF98"/>
    <w:multiLevelType w:val="hybridMultilevel"/>
    <w:lvl w:ilvl="0">
      <w:lvlJc w:val="left"/>
      <w:lvlText w:val="(%1)"/>
      <w:numFmt w:val="lowerRoman"/>
      <w:start w:val="11"/>
    </w:lvl>
  </w:abstractNum>
  <w:abstractNum w:abstractNumId="105">
    <w:nsid w:val="3D00B9D9"/>
    <w:multiLevelType w:val="hybridMultilevel"/>
    <w:lvl w:ilvl="0">
      <w:lvlJc w:val="left"/>
      <w:lvlText w:val="•"/>
      <w:numFmt w:val="bullet"/>
      <w:start w:val="1"/>
    </w:lvl>
  </w:abstractNum>
  <w:abstractNum w:abstractNumId="106">
    <w:nsid w:val="15BCABA8"/>
    <w:multiLevelType w:val="hybridMultilevel"/>
    <w:lvl w:ilvl="0">
      <w:lvlJc w:val="left"/>
      <w:lvlText w:val="(%1)"/>
      <w:numFmt w:val="decimal"/>
      <w:start w:val="1"/>
    </w:lvl>
  </w:abstractNum>
  <w:abstractNum w:abstractNumId="107">
    <w:nsid w:val="4E0B9A87"/>
    <w:multiLevelType w:val="hybridMultilevel"/>
    <w:lvl w:ilvl="0">
      <w:lvlJc w:val="left"/>
      <w:lvlText w:val="(%1)"/>
      <w:numFmt w:val="decimal"/>
      <w:start w:val="3"/>
    </w:lvl>
  </w:abstractNum>
  <w:abstractNum w:abstractNumId="108">
    <w:nsid w:val="434BAE75"/>
    <w:multiLevelType w:val="hybridMultilevel"/>
    <w:lvl w:ilvl="0">
      <w:lvlJc w:val="left"/>
      <w:lvlText w:val="•"/>
      <w:numFmt w:val="bullet"/>
      <w:start w:val="1"/>
    </w:lvl>
  </w:abstractNum>
  <w:abstractNum w:abstractNumId="109">
    <w:nsid w:val="4F38F265"/>
    <w:multiLevelType w:val="hybridMultilevel"/>
    <w:lvl w:ilvl="0">
      <w:lvlJc w:val="left"/>
      <w:lvlText w:val="•"/>
      <w:numFmt w:val="bullet"/>
      <w:start w:val="1"/>
    </w:lvl>
  </w:abstractNum>
  <w:abstractNum w:abstractNumId="110">
    <w:nsid w:val="4C502870"/>
    <w:multiLevelType w:val="hybridMultilevel"/>
    <w:lvl w:ilvl="0">
      <w:lvlJc w:val="left"/>
      <w:lvlText w:val="*"/>
      <w:numFmt w:val="bullet"/>
      <w:start w:val="1"/>
    </w:lvl>
  </w:abstractNum>
  <w:abstractNum w:abstractNumId="111">
    <w:nsid w:val="1DE8725A"/>
    <w:multiLevelType w:val="hybridMultilevel"/>
    <w:lvl w:ilvl="0">
      <w:lvlJc w:val="left"/>
      <w:lvlText w:val="**"/>
      <w:numFmt w:val="bullet"/>
      <w:start w:val="1"/>
    </w:lvl>
  </w:abstractNum>
  <w:abstractNum w:abstractNumId="112">
    <w:nsid w:val="6A37288A"/>
    <w:multiLevelType w:val="hybridMultilevel"/>
    <w:lvl w:ilvl="0">
      <w:lvlJc w:val="left"/>
      <w:lvlText w:val="(%1)"/>
      <w:numFmt w:val="decimal"/>
      <w:start w:val="9"/>
    </w:lvl>
  </w:abstractNum>
  <w:abstractNum w:abstractNumId="113">
    <w:nsid w:val="8F8B73F"/>
    <w:multiLevelType w:val="hybridMultilevel"/>
    <w:lvl w:ilvl="0">
      <w:lvlJc w:val="left"/>
      <w:lvlText w:val="(%1)"/>
      <w:numFmt w:val="decimal"/>
      <w:start w:val="11"/>
    </w:lvl>
  </w:abstractNum>
  <w:abstractNum w:abstractNumId="114">
    <w:nsid w:val="CA6B462"/>
    <w:multiLevelType w:val="hybridMultilevel"/>
    <w:lvl w:ilvl="0">
      <w:lvlJc w:val="left"/>
      <w:lvlText w:val="%1"/>
      <w:numFmt w:val="upperLetter"/>
      <w:start w:val="35"/>
    </w:lvl>
  </w:abstractNum>
  <w:abstractNum w:abstractNumId="115">
    <w:nsid w:val="763CB680"/>
    <w:multiLevelType w:val="hybridMultilevel"/>
    <w:lvl w:ilvl="0">
      <w:lvlJc w:val="left"/>
      <w:lvlText w:val="•"/>
      <w:numFmt w:val="bullet"/>
      <w:start w:val="1"/>
    </w:lvl>
  </w:abstractNum>
  <w:abstractNum w:abstractNumId="116">
    <w:nsid w:val="15B71329"/>
    <w:multiLevelType w:val="hybridMultilevel"/>
    <w:lvl w:ilvl="0">
      <w:lvlJc w:val="left"/>
      <w:lvlText w:val="•"/>
      <w:numFmt w:val="bullet"/>
      <w:start w:val="1"/>
    </w:lvl>
  </w:abstractNum>
  <w:abstractNum w:abstractNumId="117">
    <w:nsid w:val="3DA97044"/>
    <w:multiLevelType w:val="hybridMultilevel"/>
    <w:lvl w:ilvl="0">
      <w:lvlJc w:val="left"/>
      <w:lvlText w:val="•"/>
      <w:numFmt w:val="bullet"/>
      <w:start w:val="1"/>
    </w:lvl>
  </w:abstractNum>
  <w:abstractNum w:abstractNumId="118">
    <w:nsid w:val="1CDCE2DE"/>
    <w:multiLevelType w:val="hybridMultilevel"/>
    <w:lvl w:ilvl="0">
      <w:lvlJc w:val="left"/>
      <w:lvlText w:val="•"/>
      <w:numFmt w:val="bullet"/>
      <w:start w:val="1"/>
    </w:lvl>
  </w:abstractNum>
  <w:abstractNum w:abstractNumId="119">
    <w:nsid w:val="69D3947C"/>
    <w:multiLevelType w:val="hybridMultilevel"/>
    <w:lvl w:ilvl="0">
      <w:lvlJc w:val="left"/>
      <w:lvlText w:val="$"/>
      <w:numFmt w:val="bullet"/>
      <w:start w:val="1"/>
    </w:lvl>
  </w:abstractNum>
  <w:abstractNum w:abstractNumId="120">
    <w:nsid w:val="2539DFA5"/>
    <w:multiLevelType w:val="hybridMultilevel"/>
    <w:lvl w:ilvl="0">
      <w:lvlJc w:val="left"/>
      <w:lvlText w:val="•"/>
      <w:numFmt w:val="bullet"/>
      <w:start w:val="1"/>
    </w:lvl>
  </w:abstractNum>
  <w:abstractNum w:abstractNumId="121">
    <w:nsid w:val="2DB88089"/>
    <w:multiLevelType w:val="hybridMultilevel"/>
    <w:lvl w:ilvl="0">
      <w:lvlJc w:val="left"/>
      <w:lvlText w:val="•"/>
      <w:numFmt w:val="bullet"/>
      <w:start w:val="1"/>
    </w:lvl>
  </w:abstractNum>
  <w:abstractNum w:abstractNumId="122">
    <w:nsid w:val="706B674E"/>
    <w:multiLevelType w:val="hybridMultilevel"/>
    <w:lvl w:ilvl="0">
      <w:lvlJc w:val="left"/>
      <w:lvlText w:val="•"/>
      <w:numFmt w:val="bullet"/>
      <w:start w:val="1"/>
    </w:lvl>
  </w:abstractNum>
  <w:abstractNum w:abstractNumId="123">
    <w:nsid w:val="2C106A57"/>
    <w:multiLevelType w:val="hybridMultilevel"/>
    <w:lvl w:ilvl="0">
      <w:lvlJc w:val="left"/>
      <w:lvlText w:val="•"/>
      <w:numFmt w:val="bullet"/>
      <w:start w:val="1"/>
    </w:lvl>
  </w:abstractNum>
  <w:abstractNum w:abstractNumId="124">
    <w:nsid w:val="684EED59"/>
    <w:multiLevelType w:val="hybridMultilevel"/>
    <w:lvl w:ilvl="0">
      <w:lvlJc w:val="left"/>
      <w:lvlText w:val="•"/>
      <w:numFmt w:val="bullet"/>
      <w:start w:val="1"/>
    </w:lvl>
  </w:abstractNum>
  <w:abstractNum w:abstractNumId="125">
    <w:nsid w:val="545EE5D3"/>
    <w:multiLevelType w:val="hybridMultilevel"/>
    <w:lvl w:ilvl="0">
      <w:lvlJc w:val="left"/>
      <w:lvlText w:val="•"/>
      <w:numFmt w:val="bullet"/>
      <w:start w:val="1"/>
    </w:lvl>
  </w:abstractNum>
  <w:abstractNum w:abstractNumId="126">
    <w:nsid w:val="4A66051"/>
    <w:multiLevelType w:val="hybridMultilevel"/>
    <w:lvl w:ilvl="0">
      <w:lvlJc w:val="left"/>
      <w:lvlText w:val="•"/>
      <w:numFmt w:val="bullet"/>
      <w:start w:val="1"/>
    </w:lvl>
  </w:abstractNum>
  <w:abstractNum w:abstractNumId="127">
    <w:nsid w:val="20F4BDAD"/>
    <w:multiLevelType w:val="hybridMultilevel"/>
    <w:lvl w:ilvl="0">
      <w:lvlJc w:val="left"/>
      <w:lvlText w:val="%1."/>
      <w:numFmt w:val="decimal"/>
      <w:start w:val="144"/>
    </w:lvl>
  </w:abstractNum>
  <w:abstractNum w:abstractNumId="128">
    <w:nsid w:val="639DEFAC"/>
    <w:multiLevelType w:val="hybridMultilevel"/>
    <w:lvl w:ilvl="0">
      <w:lvlJc w:val="left"/>
      <w:lvlText w:val="•"/>
      <w:numFmt w:val="bullet"/>
      <w:start w:val="1"/>
    </w:lvl>
  </w:abstractNum>
  <w:abstractNum w:abstractNumId="129">
    <w:nsid w:val="501F9786"/>
    <w:multiLevelType w:val="hybridMultilevel"/>
    <w:lvl w:ilvl="0">
      <w:lvlJc w:val="left"/>
      <w:lvlText w:val="%1)"/>
      <w:numFmt w:val="lowerLetter"/>
      <w:start w:val="1"/>
    </w:lvl>
  </w:abstractNum>
  <w:abstractNum w:abstractNumId="130">
    <w:nsid w:val="6B057295"/>
    <w:multiLevelType w:val="hybridMultilevel"/>
    <w:lvl w:ilvl="0">
      <w:lvlJc w:val="left"/>
      <w:lvlText w:val="%1)"/>
      <w:numFmt w:val="lowerLetter"/>
      <w:start w:val="1"/>
    </w:lvl>
  </w:abstractNum>
  <w:abstractNum w:abstractNumId="131">
    <w:nsid w:val="2771AC80"/>
    <w:multiLevelType w:val="hybridMultilevel"/>
    <w:lvl w:ilvl="0">
      <w:lvlJc w:val="left"/>
      <w:lvlText w:val="%1)"/>
      <w:numFmt w:val="lowerLetter"/>
      <w:start w:val="2"/>
    </w:lvl>
  </w:abstractNum>
  <w:abstractNum w:abstractNumId="132">
    <w:nsid w:val="1C4A08EC"/>
    <w:multiLevelType w:val="hybridMultilevel"/>
    <w:lvl w:ilvl="0">
      <w:lvlJc w:val="left"/>
      <w:lvlText w:val="%1)"/>
      <w:numFmt w:val="lowerLetter"/>
      <w:start w:val="1"/>
    </w:lvl>
  </w:abstractNum>
  <w:abstractNum w:abstractNumId="133">
    <w:nsid w:val="1958BD17"/>
    <w:multiLevelType w:val="hybridMultilevel"/>
    <w:lvl w:ilvl="0">
      <w:lvlJc w:val="left"/>
      <w:lvlText w:val="(%1)"/>
      <w:numFmt w:val="decimal"/>
      <w:start w:val="1"/>
    </w:lvl>
  </w:abstractNum>
  <w:abstractNum w:abstractNumId="134">
    <w:nsid w:val="4E647FE4"/>
    <w:multiLevelType w:val="hybridMultilevel"/>
    <w:lvl w:ilvl="0">
      <w:lvlJc w:val="left"/>
      <w:lvlText w:val="(%1)"/>
      <w:numFmt w:val="decimal"/>
      <w:start w:val="1"/>
    </w:lvl>
  </w:abstractNum>
  <w:abstractNum w:abstractNumId="135">
    <w:nsid w:val="E0BB885"/>
    <w:multiLevelType w:val="hybridMultilevel"/>
    <w:lvl w:ilvl="0">
      <w:lvlJc w:val="left"/>
      <w:lvlText w:val="(%1)"/>
      <w:numFmt w:val="decimal"/>
      <w:start w:val="1"/>
    </w:lvl>
  </w:abstractNum>
  <w:abstractNum w:abstractNumId="136">
    <w:nsid w:val="565976F1"/>
    <w:multiLevelType w:val="hybridMultilevel"/>
    <w:lvl w:ilvl="0">
      <w:lvlJc w:val="left"/>
      <w:lvlText w:val="(%1)"/>
      <w:numFmt w:val="decimal"/>
      <w:start w:val="1"/>
    </w:lvl>
  </w:abstractNum>
  <w:abstractNum w:abstractNumId="137">
    <w:nsid w:val="64212B8C"/>
    <w:multiLevelType w:val="hybridMultilevel"/>
    <w:lvl w:ilvl="0">
      <w:lvlJc w:val="left"/>
      <w:lvlText w:val="$"/>
      <w:numFmt w:val="bullet"/>
      <w:start w:val="1"/>
    </w:lvl>
  </w:abstractNum>
  <w:abstractNum w:abstractNumId="138">
    <w:nsid w:val="5C17530C"/>
    <w:multiLevelType w:val="hybridMultilevel"/>
    <w:lvl w:ilvl="0">
      <w:lvlJc w:val="left"/>
      <w:lvlText w:val="$"/>
      <w:numFmt w:val="bullet"/>
      <w:start w:val="1"/>
    </w:lvl>
  </w:abstractNum>
  <w:abstractNum w:abstractNumId="139">
    <w:nsid w:val="19A52566"/>
    <w:multiLevelType w:val="hybridMultilevel"/>
    <w:lvl w:ilvl="0">
      <w:lvlJc w:val="left"/>
      <w:lvlText w:val="$"/>
      <w:numFmt w:val="bullet"/>
      <w:start w:val="1"/>
    </w:lvl>
  </w:abstractNum>
  <w:abstractNum w:abstractNumId="140">
    <w:nsid w:val="335A1DF1"/>
    <w:multiLevelType w:val="hybridMultilevel"/>
    <w:lvl w:ilvl="0">
      <w:lvlJc w:val="left"/>
      <w:lvlText w:val="$"/>
      <w:numFmt w:val="bullet"/>
      <w:start w:val="1"/>
    </w:lvl>
  </w:abstractNum>
  <w:abstractNum w:abstractNumId="141">
    <w:nsid w:val="28677B7C"/>
    <w:multiLevelType w:val="hybridMultilevel"/>
    <w:lvl w:ilvl="0">
      <w:lvlJc w:val="left"/>
      <w:lvlText w:val="$"/>
      <w:numFmt w:val="bullet"/>
      <w:start w:val="1"/>
    </w:lvl>
  </w:abstractNum>
  <w:abstractNum w:abstractNumId="142">
    <w:nsid w:val="378D97C0"/>
    <w:multiLevelType w:val="hybridMultilevel"/>
    <w:lvl w:ilvl="0">
      <w:lvlJc w:val="left"/>
      <w:lvlText w:val="\emdash "/>
      <w:numFmt w:val="bullet"/>
      <w:start w:val="1"/>
    </w:lvl>
  </w:abstractNum>
  <w:abstractNum w:abstractNumId="143">
    <w:nsid w:val="1D91467C"/>
    <w:multiLevelType w:val="hybridMultilevel"/>
    <w:lvl w:ilvl="0">
      <w:lvlJc w:val="left"/>
      <w:lvlText w:val="(%1)"/>
      <w:numFmt w:val="decimal"/>
      <w:start w:val="1"/>
    </w:lvl>
  </w:abstractNum>
  <w:abstractNum w:abstractNumId="144">
    <w:nsid w:val="316032BB"/>
    <w:multiLevelType w:val="hybridMultilevel"/>
    <w:lvl w:ilvl="0">
      <w:lvlJc w:val="left"/>
      <w:lvlText w:val="•"/>
      <w:numFmt w:val="bullet"/>
      <w:start w:val="1"/>
    </w:lvl>
  </w:abstractNum>
  <w:abstractNum w:abstractNumId="145">
    <w:nsid w:val="44344C22"/>
    <w:multiLevelType w:val="hybridMultilevel"/>
    <w:lvl w:ilvl="0">
      <w:lvlJc w:val="left"/>
      <w:lvlText w:val="•"/>
      <w:numFmt w:val="bullet"/>
      <w:start w:val="1"/>
    </w:lvl>
  </w:abstractNum>
  <w:abstractNum w:abstractNumId="146">
    <w:nsid w:val="13CDFCFC"/>
    <w:multiLevelType w:val="hybridMultilevel"/>
    <w:lvl w:ilvl="0">
      <w:lvlJc w:val="left"/>
      <w:lvlText w:val="•"/>
      <w:numFmt w:val="bullet"/>
      <w:start w:val="1"/>
    </w:lvl>
  </w:abstractNum>
  <w:abstractNum w:abstractNumId="147">
    <w:nsid w:val="471745E4"/>
    <w:multiLevelType w:val="hybridMultilevel"/>
    <w:lvl w:ilvl="0">
      <w:lvlJc w:val="left"/>
      <w:lvlText w:val="•"/>
      <w:numFmt w:val="bullet"/>
      <w:start w:val="1"/>
    </w:lvl>
  </w:abstractNum>
  <w:abstractNum w:abstractNumId="148">
    <w:nsid w:val="1DDBC66"/>
    <w:multiLevelType w:val="hybridMultilevel"/>
    <w:lvl w:ilvl="0">
      <w:lvlJc w:val="left"/>
      <w:lvlText w:val="•"/>
      <w:numFmt w:val="bullet"/>
      <w:start w:val="1"/>
    </w:lvl>
  </w:abstractNum>
  <w:abstractNum w:abstractNumId="149">
    <w:nsid w:val="30AADFDA"/>
    <w:multiLevelType w:val="hybridMultilevel"/>
    <w:lvl w:ilvl="0">
      <w:lvlJc w:val="left"/>
      <w:lvlText w:val="*"/>
      <w:numFmt w:val="bullet"/>
      <w:start w:val="1"/>
    </w:lvl>
    <w:lvl w:ilvl="1">
      <w:lvlJc w:val="left"/>
      <w:lvlText w:val="(%2)"/>
      <w:numFmt w:val="lowerLetter"/>
      <w:start w:val="2"/>
    </w:lvl>
  </w:abstractNum>
  <w:abstractNum w:abstractNumId="150">
    <w:nsid w:val="30EADA61"/>
    <w:multiLevelType w:val="hybridMultilevel"/>
    <w:lvl w:ilvl="0">
      <w:lvlJc w:val="left"/>
      <w:lvlText w:val="(%1)"/>
      <w:numFmt w:val="lowerLetter"/>
      <w:start w:val="1"/>
    </w:lvl>
  </w:abstractNum>
  <w:abstractNum w:abstractNumId="151">
    <w:nsid w:val="27179C0B"/>
    <w:multiLevelType w:val="hybridMultilevel"/>
    <w:lvl w:ilvl="0">
      <w:lvlJc w:val="left"/>
      <w:lvlText w:val=","/>
      <w:numFmt w:val="bullet"/>
      <w:start w:val="1"/>
    </w:lvl>
  </w:abstractNum>
  <w:abstractNum w:abstractNumId="152">
    <w:nsid w:val="5E636063"/>
    <w:multiLevelType w:val="hybridMultilevel"/>
    <w:lvl w:ilvl="0">
      <w:lvlJc w:val="left"/>
      <w:lvlText w:val="%1."/>
      <w:numFmt w:val="decimal"/>
      <w:start w:val="1"/>
    </w:lvl>
  </w:abstractNum>
  <w:abstractNum w:abstractNumId="153">
    <w:nsid w:val="215641AF"/>
    <w:multiLevelType w:val="hybridMultilevel"/>
    <w:lvl w:ilvl="0">
      <w:lvlJc w:val="left"/>
      <w:lvlText w:val="%1."/>
      <w:numFmt w:val="decimal"/>
      <w:start w:val="3"/>
    </w:lvl>
  </w:abstractNum>
  <w:abstractNum w:abstractNumId="154">
    <w:nsid w:val="53280662"/>
    <w:multiLevelType w:val="hybridMultilevel"/>
    <w:lvl w:ilvl="0">
      <w:lvlJc w:val="left"/>
      <w:lvlText w:val="%1."/>
      <w:numFmt w:val="decimal"/>
      <w:start w:val="4"/>
    </w:lvl>
  </w:abstractNum>
  <w:abstractNum w:abstractNumId="155">
    <w:nsid w:val="46B24DBC"/>
    <w:multiLevelType w:val="hybridMultilevel"/>
    <w:lvl w:ilvl="0">
      <w:lvlJc w:val="left"/>
      <w:lvlText w:val="%1."/>
      <w:numFmt w:val="decimal"/>
      <w:start w:val="5"/>
    </w:lvl>
  </w:abstractNum>
  <w:abstractNum w:abstractNumId="156">
    <w:nsid w:val="75B52783"/>
    <w:multiLevelType w:val="hybridMultilevel"/>
    <w:lvl w:ilvl="0">
      <w:lvlJc w:val="left"/>
      <w:lvlText w:val="%1."/>
      <w:numFmt w:val="decimal"/>
      <w:start w:val="6"/>
    </w:lvl>
  </w:abstractNum>
  <w:abstractNum w:abstractNumId="157">
    <w:nsid w:val="57CE66B4"/>
    <w:multiLevelType w:val="hybridMultilevel"/>
    <w:lvl w:ilvl="0">
      <w:lvlJc w:val="left"/>
      <w:lvlText w:val="%1."/>
      <w:numFmt w:val="decimal"/>
      <w:start w:val="7"/>
    </w:lvl>
  </w:abstractNum>
  <w:abstractNum w:abstractNumId="158">
    <w:nsid w:val="67A70B69"/>
    <w:multiLevelType w:val="hybridMultilevel"/>
    <w:lvl w:ilvl="0">
      <w:lvlJc w:val="left"/>
      <w:lvlText w:val="%1."/>
      <w:numFmt w:val="decimal"/>
      <w:start w:val="8"/>
    </w:lvl>
  </w:abstractNum>
  <w:abstractNum w:abstractNumId="159">
    <w:nsid w:val="5953172F"/>
    <w:multiLevelType w:val="hybridMultilevel"/>
    <w:lvl w:ilvl="0">
      <w:lvlJc w:val="left"/>
      <w:lvlText w:val="(%1)"/>
      <w:numFmt w:val="lowerLetter"/>
      <w:start w:val="1"/>
    </w:lvl>
  </w:abstractNum>
  <w:abstractNum w:abstractNumId="160">
    <w:nsid w:val="27EDFE3A"/>
    <w:multiLevelType w:val="hybridMultilevel"/>
    <w:lvl w:ilvl="0">
      <w:lvlJc w:val="left"/>
      <w:lvlText w:val="%1."/>
      <w:numFmt w:val="decimal"/>
      <w:start w:val="9"/>
    </w:lvl>
  </w:abstractNum>
  <w:abstractNum w:abstractNumId="161">
    <w:nsid w:val="52AC7DFF"/>
    <w:multiLevelType w:val="hybridMultilevel"/>
    <w:lvl w:ilvl="0">
      <w:lvlJc w:val="left"/>
      <w:lvlText w:val="%1."/>
      <w:numFmt w:val="decimal"/>
      <w:start w:val="10"/>
    </w:lvl>
  </w:abstractNum>
  <w:abstractNum w:abstractNumId="162">
    <w:nsid w:val="C4C3AF"/>
    <w:multiLevelType w:val="hybridMultilevel"/>
    <w:lvl w:ilvl="0">
      <w:lvlJc w:val="left"/>
      <w:lvlText w:val="%1."/>
      <w:numFmt w:val="decimal"/>
      <w:start w:val="11"/>
    </w:lvl>
  </w:abstractNum>
  <w:abstractNum w:abstractNumId="163">
    <w:nsid w:val="44380727"/>
    <w:multiLevelType w:val="hybridMultilevel"/>
    <w:lvl w:ilvl="0">
      <w:lvlJc w:val="left"/>
      <w:lvlText w:val="(%1)"/>
      <w:numFmt w:val="lowerLetter"/>
      <w:start w:val="1"/>
    </w:lvl>
  </w:abstractNum>
  <w:abstractNum w:abstractNumId="164">
    <w:nsid w:val="6C053B16"/>
    <w:multiLevelType w:val="hybridMultilevel"/>
    <w:lvl w:ilvl="0">
      <w:lvlJc w:val="left"/>
      <w:lvlText w:val="(%1)"/>
      <w:numFmt w:val="lowerLetter"/>
      <w:start w:val="6"/>
    </w:lvl>
  </w:abstractNum>
  <w:abstractNum w:abstractNumId="165">
    <w:nsid w:val="4F294393"/>
    <w:multiLevelType w:val="hybridMultilevel"/>
    <w:lvl w:ilvl="0">
      <w:lvlJc w:val="left"/>
      <w:lvlText w:val="%1."/>
      <w:numFmt w:val="decimal"/>
      <w:start w:val="12"/>
    </w:lvl>
  </w:abstractNum>
  <w:abstractNum w:abstractNumId="166">
    <w:nsid w:val="5243BFAC"/>
    <w:multiLevelType w:val="hybridMultilevel"/>
    <w:lvl w:ilvl="0">
      <w:lvlJc w:val="left"/>
      <w:lvlText w:val="(%1)"/>
      <w:numFmt w:val="lowerLetter"/>
      <w:start w:val="1"/>
    </w:lvl>
  </w:abstractNum>
  <w:abstractNum w:abstractNumId="167">
    <w:nsid w:val="425EB207"/>
    <w:multiLevelType w:val="hybridMultilevel"/>
    <w:lvl w:ilvl="0">
      <w:lvlJc w:val="left"/>
      <w:lvlText w:val="(%1)"/>
      <w:numFmt w:val="lowerLetter"/>
      <w:start w:val="2"/>
    </w:lvl>
  </w:abstractNum>
  <w:abstractNum w:abstractNumId="168">
    <w:nsid w:val="334A6F1F"/>
    <w:multiLevelType w:val="hybridMultilevel"/>
    <w:lvl w:ilvl="0">
      <w:lvlJc w:val="left"/>
      <w:lvlText w:val="(%1)"/>
      <w:numFmt w:val="lowerLetter"/>
      <w:start w:val="6"/>
    </w:lvl>
  </w:abstractNum>
  <w:abstractNum w:abstractNumId="169">
    <w:nsid w:val="2E5B12B8"/>
    <w:multiLevelType w:val="hybridMultilevel"/>
    <w:lvl w:ilvl="0">
      <w:lvlJc w:val="left"/>
      <w:lvlText w:val="%1."/>
      <w:numFmt w:val="decimal"/>
      <w:start w:val="13"/>
    </w:lvl>
  </w:abstractNum>
  <w:abstractNum w:abstractNumId="170">
    <w:nsid w:val="5C03D76D"/>
    <w:multiLevelType w:val="hybridMultilevel"/>
    <w:lvl w:ilvl="0">
      <w:lvlJc w:val="left"/>
      <w:lvlText w:val="%1."/>
      <w:numFmt w:val="decimal"/>
      <w:start w:val="14"/>
    </w:lvl>
    <w:lvl w:ilvl="1">
      <w:lvlJc w:val="left"/>
      <w:lvlText w:val="(%2)"/>
      <w:numFmt w:val="lowerLetter"/>
      <w:start w:val="1"/>
    </w:lvl>
  </w:abstractNum>
  <w:abstractNum w:abstractNumId="171">
    <w:nsid w:val="66A48D11"/>
    <w:multiLevelType w:val="hybridMultilevel"/>
    <w:lvl w:ilvl="0">
      <w:lvlJc w:val="left"/>
      <w:lvlText w:val="(%1)"/>
      <w:numFmt w:val="lowerLetter"/>
      <w:start w:val="1"/>
    </w:lvl>
  </w:abstractNum>
  <w:abstractNum w:abstractNumId="172">
    <w:nsid w:val="56C28E34"/>
    <w:multiLevelType w:val="hybridMultilevel"/>
    <w:lvl w:ilvl="0">
      <w:lvlJc w:val="left"/>
      <w:lvlText w:val="(%1)"/>
      <w:numFmt w:val="lowerLetter"/>
      <w:start w:val="1"/>
    </w:lvl>
    <w:lvl w:ilvl="1">
      <w:lvlJc w:val="left"/>
      <w:lvlText w:val="(%2)"/>
      <w:numFmt w:val="lowerRoman"/>
    </w:lvl>
    <w:lvl w:ilvl="2">
      <w:lvlJc w:val="left"/>
      <w:lvlText w:val="(%3)"/>
      <w:numFmt w:val="lowerRoman"/>
      <w:start w:val="1"/>
    </w:lvl>
  </w:abstractNum>
  <w:abstractNum w:abstractNumId="173">
    <w:nsid w:val="13916F2D"/>
    <w:multiLevelType w:val="hybridMultilevel"/>
    <w:lvl w:ilvl="0">
      <w:lvlJc w:val="left"/>
      <w:lvlText w:val="(%1)"/>
      <w:numFmt w:val="lowerLetter"/>
      <w:start w:val="2"/>
    </w:lvl>
  </w:abstractNum>
  <w:abstractNum w:abstractNumId="174">
    <w:nsid w:val="435D38D"/>
    <w:multiLevelType w:val="hybridMultilevel"/>
    <w:lvl w:ilvl="0">
      <w:lvlJc w:val="left"/>
      <w:lvlText w:val="%1."/>
      <w:numFmt w:val="decimal"/>
      <w:start w:val="1"/>
    </w:lvl>
    <w:lvl w:ilvl="1">
      <w:lvlJc w:val="left"/>
      <w:lvlText w:val="(%2)"/>
      <w:numFmt w:val="lowerLetter"/>
      <w:start w:val="1"/>
    </w:lvl>
  </w:abstractNum>
  <w:abstractNum w:abstractNumId="175">
    <w:nsid w:val="822C0EF"/>
    <w:multiLevelType w:val="hybridMultilevel"/>
    <w:lvl w:ilvl="0">
      <w:lvlJc w:val="left"/>
      <w:lvlText w:val="%1."/>
      <w:numFmt w:val="decimal"/>
      <w:start w:val="5"/>
    </w:lvl>
    <w:lvl w:ilvl="1">
      <w:lvlJc w:val="left"/>
      <w:lvlText w:val="(%2)"/>
      <w:numFmt w:val="lowerLetter"/>
      <w:start w:val="1"/>
    </w:lvl>
  </w:abstractNum>
  <w:abstractNum w:abstractNumId="176">
    <w:nsid w:val="57C5BB4F"/>
    <w:multiLevelType w:val="hybridMultilevel"/>
    <w:lvl w:ilvl="0">
      <w:lvlJc w:val="left"/>
      <w:lvlText w:val="(%1)"/>
      <w:numFmt w:val="lowerLetter"/>
      <w:start w:val="2"/>
    </w:lvl>
  </w:abstractNum>
  <w:abstractNum w:abstractNumId="177">
    <w:nsid w:val="1803D089"/>
    <w:multiLevelType w:val="hybridMultilevel"/>
    <w:lvl w:ilvl="0">
      <w:lvlJc w:val="left"/>
      <w:lvlText w:val="%1."/>
      <w:numFmt w:val="decimal"/>
      <w:start w:val="9"/>
    </w:lvl>
    <w:lvl w:ilvl="1">
      <w:lvlJc w:val="left"/>
      <w:lvlText w:val="(%2)"/>
      <w:numFmt w:val="lowerLetter"/>
      <w:start w:val="1"/>
    </w:lvl>
  </w:abstractNum>
  <w:abstractNum w:abstractNumId="178">
    <w:nsid w:val="4F3A06D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9">
    <w:nsid w:val="59A377B6"/>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80">
    <w:nsid w:val="48AEB063"/>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81">
    <w:nsid w:val="24E13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2">
    <w:nsid w:val="BB13C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3">
    <w:nsid w:val="271210C7"/>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84">
    <w:nsid w:val="217B22E4"/>
    <w:multiLevelType w:val="hybridMultilevel"/>
    <w:lvl w:ilvl="0">
      <w:lvlJc w:val="left"/>
      <w:lvlText w:val="%1."/>
      <w:numFmt w:val="decimal"/>
      <w:start w:val="16"/>
    </w:lvl>
    <w:lvl w:ilvl="1">
      <w:lvlJc w:val="left"/>
      <w:lvlText w:val="(%2)"/>
      <w:numFmt w:val="lowerLetter"/>
      <w:start w:val="1"/>
    </w:lvl>
  </w:abstractNum>
  <w:abstractNum w:abstractNumId="185">
    <w:nsid w:val="53E31A24"/>
    <w:multiLevelType w:val="hybridMultilevel"/>
    <w:lvl w:ilvl="0">
      <w:lvlJc w:val="left"/>
      <w:lvlText w:val="(%1)"/>
      <w:numFmt w:val="lowerLetter"/>
      <w:start w:val="2"/>
    </w:lvl>
    <w:lvl w:ilvl="1">
      <w:lvlJc w:val="left"/>
      <w:lvlText w:val="*"/>
      <w:numFmt w:val="bullet"/>
      <w:start w:val="1"/>
    </w:lvl>
  </w:abstractNum>
  <w:abstractNum w:abstractNumId="186">
    <w:nsid w:val="6DC45E83"/>
    <w:multiLevelType w:val="hybridMultilevel"/>
    <w:lvl w:ilvl="0">
      <w:lvlJc w:val="left"/>
      <w:lvlText w:val="%1."/>
      <w:numFmt w:val="decimal"/>
      <w:start w:val="1"/>
    </w:lvl>
  </w:abstractNum>
  <w:abstractNum w:abstractNumId="187">
    <w:nsid w:val="17304A67"/>
    <w:multiLevelType w:val="hybridMultilevel"/>
    <w:lvl w:ilvl="0">
      <w:lvlJc w:val="left"/>
      <w:lvlText w:val="(%1)"/>
      <w:numFmt w:val="lowerLetter"/>
      <w:start w:val="1"/>
    </w:lvl>
    <w:lvl w:ilvl="1">
      <w:lvlJc w:val="left"/>
      <w:lvlText w:val="(%2)"/>
      <w:numFmt w:val="lowerRoman"/>
      <w:start w:val="1"/>
    </w:lvl>
  </w:abstractNum>
  <w:abstractNum w:abstractNumId="188">
    <w:nsid w:val="2BB180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89">
    <w:nsid w:val="556B69E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0">
    <w:nsid w:val="7083619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91">
    <w:nsid w:val="539F7F12"/>
    <w:multiLevelType w:val="hybridMultilevel"/>
    <w:lvl w:ilvl="0">
      <w:lvlJc w:val="left"/>
      <w:lvlText w:val="%1."/>
      <w:numFmt w:val="decimal"/>
      <w:start w:val="3"/>
    </w:lvl>
  </w:abstractNum>
  <w:abstractNum w:abstractNumId="192">
    <w:nsid w:val="2817E7EC"/>
    <w:multiLevelType w:val="hybridMultilevel"/>
    <w:lvl w:ilvl="0">
      <w:lvlJc w:val="left"/>
      <w:lvlText w:val="%1."/>
      <w:numFmt w:val="decimal"/>
      <w:start w:val="7"/>
    </w:lvl>
  </w:abstractNum>
  <w:abstractNum w:abstractNumId="193">
    <w:nsid w:val="71482545"/>
    <w:multiLevelType w:val="hybridMultilevel"/>
    <w:lvl w:ilvl="0">
      <w:lvlJc w:val="left"/>
      <w:lvlText w:val="(%1)"/>
      <w:numFmt w:val="lowerLetter"/>
      <w:start w:val="1"/>
    </w:lvl>
    <w:lvl w:ilvl="1">
      <w:lvlJc w:val="left"/>
      <w:lvlText w:val="%2."/>
      <w:numFmt w:val="upperLetter"/>
      <w:start w:val="12"/>
    </w:lvl>
  </w:abstractNum>
  <w:abstractNum w:abstractNumId="194">
    <w:nsid w:val="17D78639"/>
    <w:multiLevelType w:val="hybridMultilevel"/>
    <w:lvl w:ilvl="0">
      <w:lvlJc w:val="left"/>
      <w:lvlText w:val="%1."/>
      <w:numFmt w:val="decimal"/>
      <w:start w:val="1"/>
    </w:lvl>
  </w:abstractNum>
  <w:abstractNum w:abstractNumId="195">
    <w:nsid w:val="141D2302"/>
    <w:multiLevelType w:val="hybridMultilevel"/>
    <w:lvl w:ilvl="0">
      <w:lvlJc w:val="left"/>
      <w:lvlText w:val="%1."/>
      <w:numFmt w:val="decimal"/>
      <w:start w:val="2"/>
    </w:lvl>
  </w:abstractNum>
  <w:abstractNum w:abstractNumId="196">
    <w:nsid w:val="407168D8"/>
    <w:multiLevelType w:val="hybridMultilevel"/>
    <w:lvl w:ilvl="0">
      <w:lvlJc w:val="left"/>
      <w:lvlText w:val="%1."/>
      <w:numFmt w:val="decimal"/>
      <w:start w:val="3"/>
    </w:lvl>
  </w:abstractNum>
  <w:abstractNum w:abstractNumId="197">
    <w:nsid w:val="6A1B45E5"/>
    <w:multiLevelType w:val="hybridMultilevel"/>
    <w:lvl w:ilvl="0">
      <w:lvlJc w:val="left"/>
      <w:lvlText w:val="%1."/>
      <w:numFmt w:val="decimal"/>
      <w:start w:val="4"/>
    </w:lvl>
  </w:abstractNum>
  <w:abstractNum w:abstractNumId="198">
    <w:nsid w:val="567BD50A"/>
    <w:multiLevelType w:val="hybridMultilevel"/>
    <w:lvl w:ilvl="0">
      <w:lvlJc w:val="left"/>
      <w:lvlText w:val="%1."/>
      <w:numFmt w:val="decimal"/>
      <w:start w:val="5"/>
    </w:lvl>
  </w:abstractNum>
  <w:abstractNum w:abstractNumId="199">
    <w:nsid w:val="73BBD7F8"/>
    <w:multiLevelType w:val="hybridMultilevel"/>
    <w:lvl w:ilvl="0">
      <w:lvlJc w:val="left"/>
      <w:lvlText w:val="•"/>
      <w:numFmt w:val="bullet"/>
      <w:start w:val="1"/>
    </w:lvl>
  </w:abstractNum>
  <w:abstractNum w:abstractNumId="200">
    <w:nsid w:val="1876589D"/>
    <w:multiLevelType w:val="hybridMultilevel"/>
    <w:lvl w:ilvl="0">
      <w:lvlJc w:val="left"/>
      <w:lvlText w:val="•"/>
      <w:numFmt w:val="bullet"/>
      <w:start w:val="1"/>
    </w:lvl>
  </w:abstractNum>
  <w:abstractNum w:abstractNumId="201">
    <w:nsid w:val="327FAC77"/>
    <w:multiLevelType w:val="hybridMultilevel"/>
    <w:lvl w:ilvl="0">
      <w:lvlJc w:val="left"/>
      <w:lvlText w:val="%1."/>
      <w:numFmt w:val="decimal"/>
      <w:start w:val="1"/>
    </w:lvl>
  </w:abstractNum>
  <w:abstractNum w:abstractNumId="202">
    <w:nsid w:val="5A606509"/>
    <w:multiLevelType w:val="hybridMultilevel"/>
    <w:lvl w:ilvl="0">
      <w:lvlJc w:val="left"/>
      <w:lvlText w:val="(%1)"/>
      <w:numFmt w:val="lowerLetter"/>
      <w:start w:val="1"/>
    </w:lvl>
  </w:abstractNum>
  <w:abstractNum w:abstractNumId="203">
    <w:nsid w:val="6F38E6D1"/>
    <w:multiLevelType w:val="hybridMultilevel"/>
    <w:lvl w:ilvl="0">
      <w:lvlJc w:val="left"/>
      <w:lvlText w:val="%1"/>
      <w:numFmt w:val="decimal"/>
      <w:start w:val="1"/>
    </w:lvl>
    <w:lvl w:ilvl="1">
      <w:lvlJc w:val="left"/>
      <w:lvlText w:val="(%2)"/>
      <w:numFmt w:val="lowerLetter"/>
      <w:start w:val="2"/>
    </w:lvl>
  </w:abstractNum>
  <w:abstractNum w:abstractNumId="204">
    <w:nsid w:val="46111BA5"/>
    <w:multiLevelType w:val="hybridMultilevel"/>
    <w:lvl w:ilvl="0">
      <w:lvlJc w:val="left"/>
      <w:lvlText w:val="%1."/>
      <w:numFmt w:val="decimal"/>
      <w:start w:val="2"/>
    </w:lvl>
    <w:lvl w:ilvl="1">
      <w:lvlJc w:val="left"/>
      <w:lvlText w:val="%2"/>
      <w:numFmt w:val="lowerLetter"/>
      <w:start w:val="1"/>
    </w:lvl>
  </w:abstractNum>
  <w:abstractNum w:abstractNumId="205">
    <w:nsid w:val="5E963896"/>
    <w:multiLevelType w:val="hybridMultilevel"/>
    <w:lvl w:ilvl="0">
      <w:lvlJc w:val="left"/>
      <w:lvlText w:val="(%1)"/>
      <w:numFmt w:val="lowerLetter"/>
      <w:start w:val="1"/>
    </w:lvl>
    <w:lvl w:ilvl="1">
      <w:lvlJc w:val="left"/>
      <w:lvlText w:val="(%2)"/>
      <w:numFmt w:val="lowerRoman"/>
      <w:start w:val="1"/>
    </w:lvl>
  </w:abstractNum>
  <w:abstractNum w:abstractNumId="206">
    <w:nsid w:val="775BA7C1"/>
    <w:multiLevelType w:val="hybridMultilevel"/>
    <w:lvl w:ilvl="0">
      <w:lvlJc w:val="left"/>
      <w:lvlText w:val="%1."/>
      <w:numFmt w:val="decimal"/>
      <w:start w:val="3"/>
    </w:lvl>
  </w:abstractNum>
  <w:abstractNum w:abstractNumId="207">
    <w:nsid w:val="1DD6D6F4"/>
    <w:multiLevelType w:val="hybridMultilevel"/>
    <w:lvl w:ilvl="0">
      <w:lvlJc w:val="left"/>
      <w:lvlText w:val="%1."/>
      <w:numFmt w:val="decimal"/>
      <w:start w:val="4"/>
    </w:lvl>
  </w:abstractNum>
  <w:abstractNum w:abstractNumId="208">
    <w:nsid w:val="769A091F"/>
    <w:multiLevelType w:val="hybridMultilevel"/>
    <w:lvl w:ilvl="0">
      <w:lvlJc w:val="left"/>
      <w:lvlText w:val="(%1)"/>
      <w:numFmt w:val="lowerLetter"/>
      <w:start w:val="1"/>
    </w:lvl>
  </w:abstractNum>
  <w:abstractNum w:abstractNumId="209">
    <w:nsid w:val="4695AE95"/>
    <w:multiLevelType w:val="hybridMultilevel"/>
    <w:lvl w:ilvl="0">
      <w:lvlJc w:val="left"/>
      <w:lvlText w:val="(%1)"/>
      <w:numFmt w:val="lowerLetter"/>
      <w:start w:val="2"/>
    </w:lvl>
  </w:abstractNum>
  <w:abstractNum w:abstractNumId="210">
    <w:nsid w:val="777A4EAA"/>
    <w:multiLevelType w:val="hybridMultilevel"/>
    <w:lvl w:ilvl="0">
      <w:lvlJc w:val="left"/>
      <w:lvlText w:val="%1."/>
      <w:numFmt w:val="decimal"/>
      <w:start w:val="5"/>
    </w:lvl>
  </w:abstractNum>
  <w:abstractNum w:abstractNumId="211">
    <w:nsid w:val="3F48B982"/>
    <w:multiLevelType w:val="hybridMultilevel"/>
    <w:lvl w:ilvl="0">
      <w:lvlJc w:val="left"/>
      <w:lvlText w:val="(%1)"/>
      <w:numFmt w:val="lowerLetter"/>
      <w:start w:val="1"/>
    </w:lvl>
  </w:abstractNum>
  <w:abstractNum w:abstractNumId="212">
    <w:nsid w:val="46BA8FCA"/>
    <w:multiLevelType w:val="hybridMultilevel"/>
    <w:lvl w:ilvl="0">
      <w:lvlJc w:val="left"/>
      <w:lvlText w:val="%1."/>
      <w:numFmt w:val="decimal"/>
      <w:start w:val="1"/>
    </w:lvl>
  </w:abstractNum>
  <w:abstractNum w:abstractNumId="213">
    <w:nsid w:val="7835626C"/>
    <w:multiLevelType w:val="hybridMultilevel"/>
    <w:lvl w:ilvl="0">
      <w:lvlJc w:val="left"/>
      <w:lvlText w:val="(%1)"/>
      <w:numFmt w:val="lowerRoman"/>
      <w:start w:val="4"/>
    </w:lvl>
  </w:abstractNum>
  <w:abstractNum w:abstractNumId="214">
    <w:nsid w:val="665ACA49"/>
    <w:multiLevelType w:val="hybridMultilevel"/>
    <w:lvl w:ilvl="0">
      <w:lvlJc w:val="left"/>
      <w:lvlText w:val="%1"/>
      <w:numFmt w:val="lowerLetter"/>
      <w:start w:val="1"/>
    </w:lvl>
    <w:lvl w:ilvl="1">
      <w:lvlJc w:val="left"/>
      <w:lvlText w:val="(%2)"/>
      <w:numFmt w:val="lowerLetter"/>
      <w:start w:val="1"/>
    </w:lvl>
  </w:abstractNum>
  <w:abstractNum w:abstractNumId="215">
    <w:nsid w:val="6835B2AE"/>
    <w:multiLevelType w:val="hybridMultilevel"/>
    <w:lvl w:ilvl="0">
      <w:lvlJc w:val="left"/>
      <w:lvlText w:val="(%1)"/>
      <w:numFmt w:val="lowerLetter"/>
      <w:start w:val="35"/>
    </w:lvl>
    <w:lvl w:ilvl="1">
      <w:lvlJc w:val="left"/>
      <w:lvlText w:val="(%2)"/>
      <w:numFmt w:val="lowerLetter"/>
      <w:start w:val="3"/>
    </w:lvl>
  </w:abstractNum>
  <w:abstractNum w:abstractNumId="216">
    <w:nsid w:val="4C187C90"/>
    <w:multiLevelType w:val="hybridMultilevel"/>
    <w:lvl w:ilvl="0">
      <w:lvlJc w:val="left"/>
      <w:lvlText w:val="%1."/>
      <w:numFmt w:val="decimal"/>
      <w:start w:val="5"/>
    </w:lvl>
  </w:abstractNum>
  <w:abstractNum w:abstractNumId="217">
    <w:nsid w:val="541F28CD"/>
    <w:multiLevelType w:val="hybridMultilevel"/>
    <w:lvl w:ilvl="0">
      <w:lvlJc w:val="left"/>
      <w:lvlText w:val="%1."/>
      <w:numFmt w:val="decimal"/>
      <w:start w:val="6"/>
    </w:lvl>
  </w:abstractNum>
  <w:abstractNum w:abstractNumId="218">
    <w:nsid w:val="7F65FD16"/>
    <w:multiLevelType w:val="hybridMultilevel"/>
    <w:lvl w:ilvl="0">
      <w:lvlJc w:val="left"/>
      <w:lvlText w:val="(%1)"/>
      <w:numFmt w:val="lowerLetter"/>
      <w:start w:val="1"/>
    </w:lvl>
  </w:abstractNum>
  <w:abstractNum w:abstractNumId="219">
    <w:nsid w:val="77C9FD68"/>
    <w:multiLevelType w:val="hybridMultilevel"/>
    <w:lvl w:ilvl="0">
      <w:lvlJc w:val="left"/>
      <w:lvlText w:val="%1"/>
      <w:numFmt w:val="lowerRoman"/>
      <w:start w:val="1"/>
    </w:lvl>
    <w:lvl w:ilvl="1">
      <w:lvlJc w:val="left"/>
      <w:lvlText w:val="%2."/>
      <w:numFmt w:val="decimal"/>
      <w:start w:val="8"/>
    </w:lvl>
  </w:abstractNum>
  <w:abstractNum w:abstractNumId="220">
    <w:nsid w:val="298A92BA"/>
    <w:multiLevelType w:val="hybridMultilevel"/>
    <w:lvl w:ilvl="0">
      <w:lvlJc w:val="left"/>
      <w:lvlText w:val="(%1)"/>
      <w:numFmt w:val="lowerRoman"/>
      <w:start w:val="2"/>
    </w:lvl>
    <w:lvl w:ilvl="1">
      <w:lvlJc w:val="left"/>
      <w:lvlText w:val="%2"/>
      <w:numFmt w:val="decimal"/>
      <w:start w:val="1"/>
    </w:lvl>
  </w:abstractNum>
  <w:abstractNum w:abstractNumId="221">
    <w:nsid w:val="6FE95EAC"/>
    <w:multiLevelType w:val="hybridMultilevel"/>
    <w:lvl w:ilvl="0">
      <w:lvlJc w:val="left"/>
      <w:lvlText w:val="%1."/>
      <w:numFmt w:val="decimal"/>
      <w:start w:val="9"/>
    </w:lvl>
  </w:abstractNum>
  <w:abstractNum w:abstractNumId="222">
    <w:nsid w:val="4B697C7A"/>
    <w:multiLevelType w:val="hybridMultilevel"/>
    <w:lvl w:ilvl="0">
      <w:lvlJc w:val="left"/>
      <w:lvlText w:val="%1."/>
      <w:numFmt w:val="decimal"/>
      <w:start w:val="10"/>
    </w:lvl>
  </w:abstractNum>
  <w:abstractNum w:abstractNumId="223">
    <w:nsid w:val="51A27AA6"/>
    <w:multiLevelType w:val="hybridMultilevel"/>
    <w:lvl w:ilvl="0">
      <w:lvlJc w:val="left"/>
      <w:lvlText w:val="(%1)"/>
      <w:numFmt w:val="lowerLetter"/>
      <w:start w:val="1"/>
    </w:lvl>
  </w:abstractNum>
  <w:abstractNum w:abstractNumId="224">
    <w:nsid w:val="613183F2"/>
    <w:multiLevelType w:val="hybridMultilevel"/>
    <w:lvl w:ilvl="0">
      <w:lvlJc w:val="left"/>
      <w:lvlText w:val="%1."/>
      <w:numFmt w:val="decimal"/>
      <w:start w:val="13"/>
    </w:lvl>
  </w:abstractNum>
  <w:abstractNum w:abstractNumId="225">
    <w:nsid w:val="634102B4"/>
    <w:multiLevelType w:val="hybridMultilevel"/>
    <w:lvl w:ilvl="0">
      <w:lvlJc w:val="left"/>
      <w:lvlText w:val="(%1)"/>
      <w:numFmt w:val="lowerLetter"/>
      <w:start w:val="1"/>
    </w:lvl>
  </w:abstractNum>
  <w:abstractNum w:abstractNumId="226">
    <w:nsid w:val="65BF9DA8"/>
    <w:multiLevelType w:val="hybridMultilevel"/>
    <w:lvl w:ilvl="0">
      <w:lvlJc w:val="left"/>
      <w:lvlText w:val="%1"/>
      <w:numFmt w:val="lowerRoman"/>
      <w:start w:val="1"/>
    </w:lvl>
    <w:lvl w:ilvl="1">
      <w:lvlJc w:val="left"/>
      <w:lvlText w:val="%2."/>
      <w:numFmt w:val="decimal"/>
      <w:start w:val="15"/>
    </w:lvl>
  </w:abstractNum>
  <w:abstractNum w:abstractNumId="227">
    <w:nsid w:val="21A2ECCA"/>
    <w:multiLevelType w:val="hybridMultilevel"/>
    <w:lvl w:ilvl="0">
      <w:lvlJc w:val="left"/>
      <w:lvlText w:val="(%1)"/>
      <w:numFmt w:val="lowerRoman"/>
      <w:start w:val="1"/>
    </w:lvl>
    <w:lvl w:ilvl="1">
      <w:lvlJc w:val="left"/>
      <w:lvlText w:val="%2"/>
      <w:numFmt w:val="decimal"/>
      <w:start w:val="1"/>
    </w:lvl>
  </w:abstractNum>
  <w:abstractNum w:abstractNumId="228">
    <w:nsid w:val="4D5C4899"/>
    <w:multiLevelType w:val="hybridMultilevel"/>
    <w:lvl w:ilvl="0">
      <w:lvlJc w:val="left"/>
      <w:lvlText w:val="%1."/>
      <w:numFmt w:val="decimal"/>
      <w:start w:val="16"/>
    </w:lvl>
  </w:abstractNum>
  <w:abstractNum w:abstractNumId="229">
    <w:nsid w:val="3C3B72B2"/>
    <w:multiLevelType w:val="hybridMultilevel"/>
    <w:lvl w:ilvl="0">
      <w:lvlJc w:val="left"/>
      <w:lvlText w:val="☐"/>
      <w:numFmt w:val="bullet"/>
      <w:start w:val="1"/>
    </w:lvl>
  </w:abstractNum>
  <w:abstractNum w:abstractNumId="230">
    <w:nsid w:val="155EC4C2"/>
    <w:multiLevelType w:val="hybridMultilevel"/>
    <w:lvl w:ilvl="0">
      <w:lvlJc w:val="left"/>
      <w:lvlText w:val="%1."/>
      <w:numFmt w:val="decimal"/>
      <w:start w:val="1"/>
    </w:lvl>
  </w:abstractNum>
  <w:abstractNum w:abstractNumId="231">
    <w:nsid w:val="65D2A137"/>
    <w:multiLevelType w:val="hybridMultilevel"/>
    <w:lvl w:ilvl="0">
      <w:lvlJc w:val="left"/>
      <w:lvlText w:val="%1."/>
      <w:numFmt w:val="decimal"/>
      <w:start w:val="2"/>
    </w:lvl>
    <w:lvl w:ilvl="1">
      <w:lvlJc w:val="left"/>
      <w:lvlText w:val="(%2)"/>
      <w:numFmt w:val="lowerLetter"/>
      <w:start w:val="3"/>
    </w:lvl>
  </w:abstractNum>
  <w:abstractNum w:abstractNumId="232">
    <w:nsid w:val="6EBB1F2A"/>
    <w:multiLevelType w:val="hybridMultilevel"/>
    <w:lvl w:ilvl="0">
      <w:lvlJc w:val="left"/>
      <w:lvlText w:val="%1."/>
      <w:numFmt w:val="decimal"/>
      <w:start w:val="4"/>
    </w:lvl>
  </w:abstractNum>
  <w:abstractNum w:abstractNumId="233">
    <w:nsid w:val="6FBF29CB"/>
    <w:multiLevelType w:val="hybridMultilevel"/>
    <w:lvl w:ilvl="0">
      <w:lvlJc w:val="left"/>
      <w:lvlText w:val="%1."/>
      <w:numFmt w:val="decimal"/>
      <w:start w:val="9"/>
    </w:lvl>
  </w:abstractNum>
  <w:abstractNum w:abstractNumId="234">
    <w:nsid w:val="550B8808"/>
    <w:multiLevelType w:val="hybridMultilevel"/>
    <w:lvl w:ilvl="0">
      <w:lvlJc w:val="left"/>
      <w:lvlText w:val="%1."/>
      <w:numFmt w:val="decimal"/>
      <w:start w:val="1"/>
    </w:lvl>
  </w:abstractNum>
  <w:abstractNum w:abstractNumId="235">
    <w:nsid w:val="34CC3ACF"/>
    <w:multiLevelType w:val="hybridMultilevel"/>
    <w:lvl w:ilvl="0">
      <w:lvlJc w:val="left"/>
      <w:lvlText w:val="(%1)"/>
      <w:numFmt w:val="lowerRoman"/>
      <w:start w:val="4"/>
    </w:lvl>
  </w:abstractNum>
  <w:abstractNum w:abstractNumId="236">
    <w:nsid w:val="4E556261"/>
    <w:multiLevelType w:val="hybridMultilevel"/>
    <w:lvl w:ilvl="0">
      <w:lvlJc w:val="left"/>
      <w:lvlText w:val="%1"/>
      <w:numFmt w:val="lowerLetter"/>
      <w:start w:val="1"/>
    </w:lvl>
    <w:lvl w:ilvl="1">
      <w:lvlJc w:val="left"/>
      <w:lvlText w:val="(%2)"/>
      <w:numFmt w:val="lowerLetter"/>
      <w:start w:val="1"/>
    </w:lvl>
  </w:abstractNum>
  <w:abstractNum w:abstractNumId="237">
    <w:nsid w:val="4C672FC9"/>
    <w:multiLevelType w:val="hybridMultilevel"/>
    <w:lvl w:ilvl="0">
      <w:lvlJc w:val="left"/>
      <w:lvlText w:val="(%1)"/>
      <w:numFmt w:val="lowerLetter"/>
      <w:start w:val="35"/>
    </w:lvl>
    <w:lvl w:ilvl="1">
      <w:lvlJc w:val="left"/>
      <w:lvlText w:val="(%2)"/>
      <w:numFmt w:val="lowerLetter"/>
      <w:start w:val="3"/>
    </w:lvl>
  </w:abstractNum>
  <w:abstractNum w:abstractNumId="238">
    <w:nsid w:val="52A311C3"/>
    <w:multiLevelType w:val="hybridMultilevel"/>
    <w:lvl w:ilvl="0">
      <w:lvlJc w:val="left"/>
      <w:lvlText w:val="%1."/>
      <w:numFmt w:val="decimal"/>
      <w:start w:val="5"/>
    </w:lvl>
  </w:abstractNum>
  <w:abstractNum w:abstractNumId="239">
    <w:nsid w:val="44EF6B80"/>
    <w:multiLevelType w:val="hybridMultilevel"/>
    <w:lvl w:ilvl="0">
      <w:lvlJc w:val="left"/>
      <w:lvlText w:val="%1."/>
      <w:numFmt w:val="decimal"/>
      <w:start w:val="6"/>
    </w:lvl>
  </w:abstractNum>
  <w:abstractNum w:abstractNumId="240">
    <w:nsid w:val="12FCDE5E"/>
    <w:multiLevelType w:val="hybridMultilevel"/>
    <w:lvl w:ilvl="0">
      <w:lvlJc w:val="left"/>
      <w:lvlText w:val="(%1)"/>
      <w:numFmt w:val="lowerLetter"/>
      <w:start w:val="1"/>
    </w:lvl>
  </w:abstractNum>
  <w:abstractNum w:abstractNumId="241">
    <w:nsid w:val="4A1D606E"/>
    <w:multiLevelType w:val="hybridMultilevel"/>
    <w:lvl w:ilvl="0">
      <w:lvlJc w:val="left"/>
      <w:lvlText w:val="%1."/>
      <w:numFmt w:val="decimal"/>
      <w:start w:val="9"/>
    </w:lvl>
  </w:abstractNum>
  <w:abstractNum w:abstractNumId="242">
    <w:nsid w:val="4382503"/>
    <w:multiLevelType w:val="hybridMultilevel"/>
    <w:lvl w:ilvl="0">
      <w:lvlJc w:val="left"/>
      <w:lvlText w:val="%1."/>
      <w:numFmt w:val="decimal"/>
      <w:start w:val="10"/>
    </w:lvl>
  </w:abstractNum>
  <w:abstractNum w:abstractNumId="243">
    <w:nsid w:val="59B76E28"/>
    <w:multiLevelType w:val="hybridMultilevel"/>
    <w:lvl w:ilvl="0">
      <w:lvlJc w:val="left"/>
      <w:lvlText w:val="%1."/>
      <w:numFmt w:val="decimal"/>
      <w:start w:val="11"/>
    </w:lvl>
  </w:abstractNum>
  <w:abstractNum w:abstractNumId="244">
    <w:nsid w:val="4252C2DA"/>
    <w:multiLevelType w:val="hybridMultilevel"/>
    <w:lvl w:ilvl="0">
      <w:lvlJc w:val="left"/>
      <w:lvlText w:val="(%1)"/>
      <w:numFmt w:val="lowerLetter"/>
      <w:start w:val="1"/>
    </w:lvl>
  </w:abstractNum>
  <w:abstractNum w:abstractNumId="245">
    <w:nsid w:val="6A92EF4C"/>
    <w:multiLevelType w:val="hybridMultilevel"/>
    <w:lvl w:ilvl="0">
      <w:lvlJc w:val="left"/>
      <w:lvlText w:val="%1."/>
      <w:numFmt w:val="decimal"/>
      <w:start w:val="14"/>
    </w:lvl>
  </w:abstractNum>
  <w:abstractNum w:abstractNumId="246">
    <w:nsid w:val="41ED20D7"/>
    <w:multiLevelType w:val="hybridMultilevel"/>
    <w:lvl w:ilvl="0">
      <w:lvlJc w:val="left"/>
      <w:lvlText w:val="(%1)"/>
      <w:numFmt w:val="lowerLetter"/>
      <w:start w:val="1"/>
    </w:lvl>
  </w:abstractNum>
  <w:abstractNum w:abstractNumId="247">
    <w:nsid w:val="E6B3F6A"/>
    <w:multiLevelType w:val="hybridMultilevel"/>
    <w:lvl w:ilvl="0">
      <w:lvlJc w:val="left"/>
      <w:lvlText w:val="%1"/>
      <w:numFmt w:val="lowerRoman"/>
      <w:start w:val="1"/>
    </w:lvl>
    <w:lvl w:ilvl="1">
      <w:lvlJc w:val="left"/>
      <w:lvlText w:val="%2."/>
      <w:numFmt w:val="decimal"/>
      <w:start w:val="16"/>
    </w:lvl>
  </w:abstractNum>
  <w:abstractNum w:abstractNumId="248">
    <w:nsid w:val="3EB21819"/>
    <w:multiLevelType w:val="hybridMultilevel"/>
    <w:lvl w:ilvl="0">
      <w:lvlJc w:val="left"/>
      <w:lvlText w:val="(%1)"/>
      <w:numFmt w:val="lowerRoman"/>
      <w:start w:val="1"/>
    </w:lvl>
    <w:lvl w:ilvl="1">
      <w:lvlJc w:val="left"/>
      <w:lvlText w:val="%2."/>
      <w:numFmt w:val="decimal"/>
      <w:start w:val="17"/>
    </w:lvl>
  </w:abstractNum>
  <w:abstractNum w:abstractNumId="249">
    <w:nsid w:val="41531DED"/>
    <w:multiLevelType w:val="hybridMultilevel"/>
    <w:lvl w:ilvl="0">
      <w:lvlJc w:val="left"/>
      <w:lvlText w:val="%1."/>
      <w:numFmt w:val="decimal"/>
      <w:start w:val="22"/>
    </w:lvl>
    <w:lvl w:ilvl="1">
      <w:lvlJc w:val="left"/>
      <w:lvlText w:val="*"/>
      <w:numFmt w:val="bullet"/>
      <w:start w:val="1"/>
    </w:lvl>
  </w:abstractNum>
  <w:abstractNum w:abstractNumId="250">
    <w:nsid w:val="6353CD2"/>
    <w:multiLevelType w:val="hybridMultilevel"/>
    <w:lvl w:ilvl="0">
      <w:lvlJc w:val="left"/>
      <w:lvlText w:val="☐"/>
      <w:numFmt w:val="bullet"/>
      <w:start w:val="1"/>
    </w:lvl>
  </w:abstractNum>
  <w:abstractNum w:abstractNumId="251">
    <w:nsid w:val="683CAAD3"/>
    <w:multiLevelType w:val="hybridMultilevel"/>
    <w:lvl w:ilvl="0">
      <w:lvlJc w:val="left"/>
      <w:lvlText w:val="%1."/>
      <w:numFmt w:val="decimal"/>
      <w:start w:val="1"/>
    </w:lvl>
  </w:abstractNum>
  <w:abstractNum w:abstractNumId="252">
    <w:nsid w:val="313C7C99"/>
    <w:multiLevelType w:val="hybridMultilevel"/>
    <w:lvl w:ilvl="0">
      <w:lvlJc w:val="left"/>
      <w:lvlText w:val="%1."/>
      <w:numFmt w:val="decimal"/>
      <w:start w:val="2"/>
    </w:lvl>
  </w:abstractNum>
  <w:abstractNum w:abstractNumId="253">
    <w:nsid w:val="519EB94C"/>
    <w:multiLevelType w:val="hybridMultilevel"/>
    <w:lvl w:ilvl="0">
      <w:lvlJc w:val="left"/>
      <w:lvlText w:val="%1"/>
      <w:numFmt w:val="decimal"/>
      <w:start w:val="1"/>
    </w:lvl>
    <w:lvl w:ilvl="1">
      <w:lvlJc w:val="left"/>
      <w:lvlText w:val="(%2)"/>
      <w:numFmt w:val="lowerLetter"/>
      <w:start w:val="3"/>
    </w:lvl>
  </w:abstractNum>
  <w:abstractNum w:abstractNumId="254">
    <w:nsid w:val="39DF2579"/>
    <w:multiLevelType w:val="hybridMultilevel"/>
    <w:lvl w:ilvl="0">
      <w:lvlJc w:val="left"/>
      <w:lvlText w:val="%1."/>
      <w:numFmt w:val="decimal"/>
      <w:start w:val="4"/>
    </w:lvl>
    <w:lvl w:ilvl="1">
      <w:lvlJc w:val="left"/>
      <w:lvlText w:val="%2"/>
      <w:numFmt w:val="lowerLetter"/>
      <w:start w:val="1"/>
    </w:lvl>
  </w:abstractNum>
  <w:abstractNum w:abstractNumId="255">
    <w:nsid w:val="126E008B"/>
    <w:multiLevelType w:val="hybridMultilevel"/>
    <w:lvl w:ilvl="0">
      <w:lvlJc w:val="left"/>
      <w:lvlText w:val="%1."/>
      <w:numFmt w:val="decimal"/>
      <w:start w:val="8"/>
    </w:lvl>
  </w:abstractNum>
  <w:abstractNum w:abstractNumId="256">
    <w:nsid w:val="34DFBC00"/>
    <w:multiLevelType w:val="hybridMultilevel"/>
    <w:lvl w:ilvl="0">
      <w:lvlJc w:val="left"/>
      <w:lvlText w:val="%1."/>
      <w:numFmt w:val="decimal"/>
      <w:start w:val="2"/>
    </w:lvl>
  </w:abstractNum>
  <w:abstractNum w:abstractNumId="257">
    <w:nsid w:val="1F9EC322"/>
    <w:multiLevelType w:val="hybridMultilevel"/>
    <w:lvl w:ilvl="0">
      <w:lvlJc w:val="left"/>
      <w:lvlText w:val="%1."/>
      <w:numFmt w:val="decimal"/>
      <w:start w:val="1"/>
    </w:lvl>
  </w:abstractNum>
  <w:abstractNum w:abstractNumId="258">
    <w:nsid w:val="3410ED56"/>
    <w:multiLevelType w:val="hybridMultilevel"/>
    <w:lvl w:ilvl="0">
      <w:lvlJc w:val="left"/>
      <w:lvlText w:val="(%1)"/>
      <w:numFmt w:val="lowerLetter"/>
      <w:start w:val="2"/>
    </w:lvl>
  </w:abstractNum>
  <w:abstractNum w:abstractNumId="259">
    <w:nsid w:val="23C049A"/>
    <w:multiLevelType w:val="hybridMultilevel"/>
    <w:lvl w:ilvl="0">
      <w:lvlJc w:val="left"/>
      <w:lvlText w:val="(%1)"/>
      <w:numFmt w:val="lowerRoman"/>
      <w:start w:val="4"/>
    </w:lvl>
  </w:abstractNum>
  <w:abstractNum w:abstractNumId="260">
    <w:nsid w:val="5BDA35D4"/>
    <w:multiLevelType w:val="hybridMultilevel"/>
    <w:lvl w:ilvl="0">
      <w:lvlJc w:val="left"/>
      <w:lvlText w:val="%1"/>
      <w:numFmt w:val="lowerLetter"/>
      <w:start w:val="1"/>
    </w:lvl>
    <w:lvl w:ilvl="1">
      <w:lvlJc w:val="left"/>
      <w:lvlText w:val="(%2)"/>
      <w:numFmt w:val="lowerLetter"/>
      <w:start w:val="1"/>
    </w:lvl>
  </w:abstractNum>
  <w:abstractNum w:abstractNumId="261">
    <w:nsid w:val="496FB218"/>
    <w:multiLevelType w:val="hybridMultilevel"/>
    <w:lvl w:ilvl="0">
      <w:lvlJc w:val="left"/>
      <w:lvlText w:val="(%1)"/>
      <w:numFmt w:val="lowerLetter"/>
      <w:start w:val="35"/>
    </w:lvl>
    <w:lvl w:ilvl="1">
      <w:lvlJc w:val="left"/>
      <w:lvlText w:val="(%2)"/>
      <w:numFmt w:val="lowerLetter"/>
      <w:start w:val="3"/>
    </w:lvl>
  </w:abstractNum>
  <w:abstractNum w:abstractNumId="262">
    <w:nsid w:val="680EA5D1"/>
    <w:multiLevelType w:val="hybridMultilevel"/>
    <w:lvl w:ilvl="0">
      <w:lvlJc w:val="left"/>
      <w:lvlText w:val="%1"/>
      <w:numFmt w:val="decimal"/>
      <w:start w:val="1"/>
    </w:lvl>
    <w:lvl w:ilvl="1">
      <w:lvlJc w:val="left"/>
      <w:lvlText w:val="(%2)"/>
      <w:numFmt w:val="lowerLetter"/>
      <w:start w:val="1"/>
    </w:lvl>
  </w:abstractNum>
  <w:abstractNum w:abstractNumId="263">
    <w:nsid w:val="4A9554FE"/>
    <w:multiLevelType w:val="hybridMultilevel"/>
    <w:lvl w:ilvl="0">
      <w:lvlJc w:val="left"/>
      <w:lvlText w:val="%1."/>
      <w:numFmt w:val="decimal"/>
      <w:start w:val="6"/>
    </w:lvl>
    <w:lvl w:ilvl="1">
      <w:lvlJc w:val="left"/>
      <w:lvlText w:val="%2"/>
      <w:numFmt w:val="lowerLetter"/>
      <w:start w:val="1"/>
    </w:lvl>
  </w:abstractNum>
  <w:abstractNum w:abstractNumId="264">
    <w:nsid w:val="392EDBE4"/>
    <w:multiLevelType w:val="hybridMultilevel"/>
    <w:lvl w:ilvl="0">
      <w:lvlJc w:val="left"/>
      <w:lvlText w:val="(%1)"/>
      <w:numFmt w:val="lowerLetter"/>
      <w:start w:val="1"/>
    </w:lvl>
  </w:abstractNum>
  <w:abstractNum w:abstractNumId="265">
    <w:nsid w:val="3D1A2DD9"/>
    <w:multiLevelType w:val="hybridMultilevel"/>
    <w:lvl w:ilvl="0">
      <w:lvlJc w:val="left"/>
      <w:lvlText w:val="%1."/>
      <w:numFmt w:val="decimal"/>
      <w:start w:val="8"/>
    </w:lvl>
  </w:abstractNum>
  <w:abstractNum w:abstractNumId="266">
    <w:nsid w:val="7F618FCD"/>
    <w:multiLevelType w:val="hybridMultilevel"/>
    <w:lvl w:ilvl="0">
      <w:lvlJc w:val="left"/>
      <w:lvlText w:val="(%1)"/>
      <w:numFmt w:val="decimal"/>
      <w:start w:val="2"/>
    </w:lvl>
    <w:lvl w:ilvl="1">
      <w:lvlJc w:val="left"/>
      <w:lvlText w:val="%2."/>
      <w:numFmt w:val="decimal"/>
      <w:start w:val="9"/>
    </w:lvl>
  </w:abstractNum>
  <w:abstractNum w:abstractNumId="267">
    <w:nsid w:val="7843E45"/>
    <w:multiLevelType w:val="hybridMultilevel"/>
    <w:lvl w:ilvl="0">
      <w:lvlJc w:val="left"/>
      <w:lvlText w:val="%1."/>
      <w:numFmt w:val="decimal"/>
      <w:start w:val="10"/>
    </w:lvl>
  </w:abstractNum>
  <w:abstractNum w:abstractNumId="268">
    <w:nsid w:val="9815DA3"/>
    <w:multiLevelType w:val="hybridMultilevel"/>
    <w:lvl w:ilvl="0">
      <w:lvlJc w:val="left"/>
      <w:lvlText w:val="(%1)"/>
      <w:numFmt w:val="lowerLetter"/>
      <w:start w:val="1"/>
    </w:lvl>
  </w:abstractNum>
  <w:abstractNum w:abstractNumId="269">
    <w:nsid w:val="5204A191"/>
    <w:multiLevelType w:val="hybridMultilevel"/>
    <w:lvl w:ilvl="0">
      <w:lvlJc w:val="left"/>
      <w:lvlText w:val="(%1)"/>
      <w:numFmt w:val="lowerLetter"/>
      <w:start w:val="2"/>
    </w:lvl>
  </w:abstractNum>
  <w:abstractNum w:abstractNumId="270">
    <w:nsid w:val="4C73A9C6"/>
    <w:multiLevelType w:val="hybridMultilevel"/>
    <w:lvl w:ilvl="0">
      <w:lvlJc w:val="left"/>
      <w:lvlText w:val="%1."/>
      <w:numFmt w:val="decimal"/>
      <w:start w:val="13"/>
    </w:lvl>
  </w:abstractNum>
  <w:abstractNum w:abstractNumId="271">
    <w:nsid w:val="1C7E3C01"/>
    <w:multiLevelType w:val="hybridMultilevel"/>
    <w:lvl w:ilvl="0">
      <w:lvlJc w:val="left"/>
      <w:lvlText w:val="%1"/>
      <w:numFmt w:val="lowerRoman"/>
      <w:start w:val="1"/>
    </w:lvl>
    <w:lvl w:ilvl="1">
      <w:lvlJc w:val="left"/>
      <w:lvlText w:val="%2."/>
      <w:numFmt w:val="decimal"/>
      <w:start w:val="15"/>
    </w:lvl>
  </w:abstractNum>
  <w:abstractNum w:abstractNumId="272">
    <w:nsid w:val="1C2201FF"/>
    <w:multiLevelType w:val="hybridMultilevel"/>
    <w:lvl w:ilvl="0">
      <w:lvlJc w:val="left"/>
      <w:lvlText w:val="(%1)"/>
      <w:numFmt w:val="lowerRoman"/>
      <w:start w:val="1"/>
    </w:lvl>
    <w:lvl w:ilvl="1">
      <w:lvlJc w:val="left"/>
      <w:lvlText w:val="%2"/>
      <w:numFmt w:val="decimal"/>
      <w:start w:val="1"/>
    </w:lvl>
  </w:abstractNum>
  <w:abstractNum w:abstractNumId="273">
    <w:nsid w:val="50ABCEC9"/>
    <w:multiLevelType w:val="hybridMultilevel"/>
    <w:lvl w:ilvl="0">
      <w:lvlJc w:val="left"/>
      <w:lvlText w:val="%1."/>
      <w:numFmt w:val="decimal"/>
      <w:start w:val="16"/>
    </w:lvl>
  </w:abstractNum>
  <w:abstractNum w:abstractNumId="274">
    <w:nsid w:val="7635AA2A"/>
    <w:multiLevelType w:val="hybridMultilevel"/>
    <w:lvl w:ilvl="0">
      <w:lvlJc w:val="left"/>
      <w:lvlText w:val="%1."/>
      <w:numFmt w:val="decimal"/>
      <w:start w:val="20"/>
    </w:lvl>
  </w:abstractNum>
  <w:abstractNum w:abstractNumId="275">
    <w:nsid w:val="5E74C4D9"/>
    <w:multiLevelType w:val="hybridMultilevel"/>
    <w:lvl w:ilvl="0">
      <w:lvlJc w:val="left"/>
      <w:lvlText w:val="%1."/>
      <w:numFmt w:val="decimal"/>
      <w:start w:val="23"/>
    </w:lvl>
  </w:abstractNum>
  <w:abstractNum w:abstractNumId="276">
    <w:nsid w:val="3B3EBE15"/>
    <w:multiLevelType w:val="hybridMultilevel"/>
    <w:lvl w:ilvl="0">
      <w:lvlJc w:val="left"/>
      <w:lvlText w:val="%1."/>
      <w:numFmt w:val="decimal"/>
      <w:start w:val="1"/>
    </w:lvl>
  </w:abstractNum>
  <w:abstractNum w:abstractNumId="277">
    <w:nsid w:val="3822CB01"/>
    <w:multiLevelType w:val="hybridMultilevel"/>
    <w:lvl w:ilvl="0">
      <w:lvlJc w:val="left"/>
      <w:lvlText w:val="(%1)"/>
      <w:numFmt w:val="lowerLetter"/>
      <w:start w:val="1"/>
    </w:lvl>
  </w:abstractNum>
  <w:abstractNum w:abstractNumId="278">
    <w:nsid w:val="6CE00443"/>
    <w:multiLevelType w:val="hybridMultilevel"/>
    <w:lvl w:ilvl="0">
      <w:lvlJc w:val="left"/>
      <w:lvlText w:val="(%1)"/>
      <w:numFmt w:val="lowerLetter"/>
      <w:start w:val="3"/>
    </w:lvl>
  </w:abstractNum>
  <w:abstractNum w:abstractNumId="279">
    <w:nsid w:val="79F0D62F"/>
    <w:multiLevelType w:val="hybridMultilevel"/>
    <w:lvl w:ilvl="0">
      <w:lvlJc w:val="left"/>
      <w:lvlText w:val="%1."/>
      <w:numFmt w:val="decimal"/>
      <w:start w:val="2"/>
    </w:lvl>
  </w:abstractNum>
  <w:abstractNum w:abstractNumId="280">
    <w:nsid w:val="7975E8EE"/>
    <w:multiLevelType w:val="hybridMultilevel"/>
    <w:lvl w:ilvl="0">
      <w:lvlJc w:val="left"/>
      <w:lvlText w:val="%1."/>
      <w:numFmt w:val="decimal"/>
      <w:start w:val="7"/>
    </w:lvl>
  </w:abstractNum>
  <w:abstractNum w:abstractNumId="281">
    <w:nsid w:val="73154115"/>
    <w:multiLevelType w:val="hybridMultilevel"/>
    <w:lvl w:ilvl="0">
      <w:lvlJc w:val="left"/>
      <w:lvlText w:val="%1)"/>
      <w:numFmt w:val="lowerLetter"/>
      <w:start w:val="1"/>
    </w:lvl>
  </w:abstractNum>
  <w:abstractNum w:abstractNumId="282">
    <w:nsid w:val="622D8102"/>
    <w:multiLevelType w:val="hybridMultilevel"/>
    <w:lvl w:ilvl="0">
      <w:lvlJc w:val="left"/>
      <w:lvlText w:val="%1)"/>
      <w:numFmt w:val="lowerLetter"/>
      <w:start w:val="13"/>
    </w:lvl>
  </w:abstractNum>
  <w:abstractNum w:abstractNumId="283">
    <w:nsid w:val="2AB26587"/>
    <w:multiLevelType w:val="hybridMultilevel"/>
    <w:lvl w:ilvl="0">
      <w:lvlJc w:val="left"/>
      <w:lvlText w:val="(%1)"/>
      <w:numFmt w:val="lowerRoman"/>
      <w:start w:val="1"/>
    </w:lvl>
  </w:abstractNum>
  <w:abstractNum w:abstractNumId="284">
    <w:nsid w:val="44B3FA61"/>
    <w:multiLevelType w:val="hybridMultilevel"/>
    <w:lvl w:ilvl="0">
      <w:lvlJc w:val="left"/>
      <w:lvlText w:val="%1."/>
      <w:numFmt w:val="lowerRoman"/>
      <w:start w:val="1"/>
    </w:lvl>
  </w:abstractNum>
  <w:abstractNum w:abstractNumId="285">
    <w:nsid w:val="1C0CA67C"/>
    <w:multiLevelType w:val="hybridMultilevel"/>
    <w:lvl w:ilvl="0">
      <w:lvlJc w:val="left"/>
      <w:lvlText w:val="%1."/>
      <w:numFmt w:val="decimal"/>
      <w:start w:val="1"/>
    </w:lvl>
  </w:abstractNum>
  <w:abstractNum w:abstractNumId="286">
    <w:nsid w:val="3D206613"/>
    <w:multiLevelType w:val="hybridMultilevel"/>
    <w:lvl w:ilvl="0">
      <w:lvlJc w:val="left"/>
      <w:lvlText w:val="%1."/>
      <w:numFmt w:val="decimal"/>
      <w:start w:val="2"/>
    </w:lvl>
  </w:abstractNum>
  <w:abstractNum w:abstractNumId="287">
    <w:nsid w:val="7993B662"/>
    <w:multiLevelType w:val="hybridMultilevel"/>
    <w:lvl w:ilvl="0">
      <w:lvlJc w:val="left"/>
      <w:lvlText w:val="%1."/>
      <w:numFmt w:val="decimal"/>
      <w:start w:val="3"/>
    </w:lvl>
  </w:abstractNum>
  <w:abstractNum w:abstractNumId="288">
    <w:nsid w:val="3BAB699E"/>
    <w:multiLevelType w:val="hybridMultilevel"/>
    <w:lvl w:ilvl="0">
      <w:lvlJc w:val="left"/>
      <w:lvlText w:val="%1."/>
      <w:numFmt w:val="decimal"/>
      <w:start w:val="4"/>
    </w:lvl>
  </w:abstractNum>
  <w:abstractNum w:abstractNumId="289">
    <w:nsid w:val="71315369"/>
    <w:multiLevelType w:val="hybridMultilevel"/>
    <w:lvl w:ilvl="0">
      <w:lvlJc w:val="left"/>
      <w:lvlText w:val="%1."/>
      <w:numFmt w:val="decimal"/>
      <w:start w:val="5"/>
    </w:lvl>
  </w:abstractNum>
  <w:abstractNum w:abstractNumId="290">
    <w:nsid w:val="7BCFBAFC"/>
    <w:multiLevelType w:val="hybridMultilevel"/>
    <w:lvl w:ilvl="0">
      <w:lvlJc w:val="left"/>
      <w:lvlText w:val="•"/>
      <w:numFmt w:val="bullet"/>
      <w:start w:val="1"/>
    </w:lvl>
  </w:abstractNum>
  <w:abstractNum w:abstractNumId="291">
    <w:nsid w:val="17859F72"/>
    <w:multiLevelType w:val="hybridMultilevel"/>
    <w:lvl w:ilvl="0">
      <w:lvlJc w:val="left"/>
      <w:lvlText w:val="%1."/>
      <w:numFmt w:val="decimal"/>
      <w:start w:val="1"/>
    </w:lvl>
  </w:abstractNum>
  <w:abstractNum w:abstractNumId="292">
    <w:nsid w:val="3AA10581"/>
    <w:multiLevelType w:val="hybridMultilevel"/>
    <w:lvl w:ilvl="0">
      <w:lvlJc w:val="left"/>
      <w:lvlText w:val="(%1)"/>
      <w:numFmt w:val="upperLetter"/>
      <w:start w:val="1"/>
    </w:lvl>
  </w:abstractNum>
  <w:abstractNum w:abstractNumId="293">
    <w:nsid w:val="63DE60CD"/>
    <w:multiLevelType w:val="hybridMultilevel"/>
    <w:lvl w:ilvl="0">
      <w:lvlJc w:val="left"/>
      <w:lvlText w:val="%1."/>
      <w:numFmt w:val="decimal"/>
      <w:start w:val="2"/>
    </w:lvl>
  </w:abstractNum>
  <w:abstractNum w:abstractNumId="294">
    <w:nsid w:val="621AF471"/>
    <w:multiLevelType w:val="hybridMultilevel"/>
    <w:lvl w:ilvl="0">
      <w:lvlJc w:val="left"/>
      <w:lvlText w:val="(%1)"/>
      <w:numFmt w:val="lowerRoman"/>
      <w:start w:val="1"/>
    </w:lvl>
    <w:lvl w:ilvl="1">
      <w:lvlJc w:val="left"/>
      <w:lvlText w:val="(%2)"/>
      <w:numFmt w:val="upperLetter"/>
      <w:start w:val="1"/>
    </w:lvl>
  </w:abstractNum>
  <w:abstractNum w:abstractNumId="295">
    <w:nsid w:val="73CFE165"/>
    <w:multiLevelType w:val="hybridMultilevel"/>
    <w:lvl w:ilvl="0">
      <w:lvlJc w:val="left"/>
      <w:lvlText w:val="%1."/>
      <w:numFmt w:val="decimal"/>
      <w:start w:val="3"/>
    </w:lvl>
  </w:abstractNum>
  <w:abstractNum w:abstractNumId="296">
    <w:nsid w:val="20F88EA6"/>
    <w:multiLevelType w:val="hybridMultilevel"/>
    <w:lvl w:ilvl="0">
      <w:lvlJc w:val="left"/>
      <w:lvlText w:val="%1."/>
      <w:numFmt w:val="decimal"/>
      <w:start w:val="4"/>
    </w:lvl>
  </w:abstractNum>
  <w:abstractNum w:abstractNumId="297">
    <w:nsid w:val="617C843E"/>
    <w:multiLevelType w:val="hybridMultilevel"/>
    <w:lvl w:ilvl="0">
      <w:lvlJc w:val="left"/>
      <w:lvlText w:val="(%1)"/>
      <w:numFmt w:val="lowerRoman"/>
      <w:start w:val="1"/>
    </w:lvl>
  </w:abstractNum>
  <w:abstractNum w:abstractNumId="298">
    <w:nsid w:val="7B541FAB"/>
    <w:multiLevelType w:val="hybridMultilevel"/>
    <w:lvl w:ilvl="0">
      <w:lvlJc w:val="left"/>
      <w:lvlText w:val="%1."/>
      <w:numFmt w:val="decimal"/>
      <w:start w:val="5"/>
    </w:lvl>
  </w:abstractNum>
  <w:abstractNum w:abstractNumId="299">
    <w:nsid w:val="2A79EC49"/>
    <w:multiLevelType w:val="hybridMultilevel"/>
    <w:lvl w:ilvl="0">
      <w:lvlJc w:val="left"/>
      <w:lvlText w:val="(%1)"/>
      <w:numFmt w:val="lowerRoman"/>
      <w:start w:val="1"/>
    </w:lvl>
  </w:abstractNum>
  <w:abstractNum w:abstractNumId="300">
    <w:nsid w:val="338125CF"/>
    <w:multiLevelType w:val="hybridMultilevel"/>
    <w:lvl w:ilvl="0">
      <w:lvlJc w:val="left"/>
      <w:lvlText w:val="o"/>
      <w:numFmt w:val="bullet"/>
      <w:start w:val="1"/>
    </w:lvl>
  </w:abstractNum>
  <w:abstractNum w:abstractNumId="301">
    <w:nsid w:val="47C7C971"/>
    <w:multiLevelType w:val="hybridMultilevel"/>
    <w:lvl w:ilvl="0">
      <w:lvlJc w:val="left"/>
      <w:lvlText w:val="%1."/>
      <w:numFmt w:val="decimal"/>
      <w:start w:val="1"/>
    </w:lvl>
  </w:abstractNum>
  <w:abstractNum w:abstractNumId="302">
    <w:nsid w:val="46F8284B"/>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2025-09-19T23:35:39Z</dcterms:created>
  <dcterms:modified xsi:type="dcterms:W3CDTF">2025-09-19T23:35:39Z</dcterms:modified>
</cp:coreProperties>
</file>