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46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HOROWITZ BENJAMIN A</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gridSpan w:val="2"/>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12/22/2025</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46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46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jc w:val="center"/>
              <w:ind w:left="4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3"/>
              <w:spacing w:after="0"/>
              <w:rPr>
                <w:sz w:val="20"/>
                <w:szCs w:val="20"/>
                <w:color w:val="auto"/>
              </w:rPr>
            </w:pPr>
            <w:r>
              <w:rPr>
                <w:rFonts w:ascii="Times New Roman" w:cs="Times New Roman" w:eastAsia="Times New Roman" w:hAnsi="Times New Roman"/>
                <w:sz w:val="17"/>
                <w:szCs w:val="17"/>
                <w:color w:val="0000FF"/>
              </w:rPr>
              <w:t>12/22/2025</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334,112</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15.9</w:t>
            </w:r>
            <w:r>
              <w:rPr>
                <w:rFonts w:ascii="Times New Roman" w:cs="Times New Roman" w:eastAsia="Times New Roman" w:hAnsi="Times New Roman"/>
                <w:sz w:val="22"/>
                <w:szCs w:val="22"/>
                <w:color w:val="008000"/>
                <w:w w:val="92"/>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6,601,058</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3"/>
              <w:spacing w:after="0"/>
              <w:rPr>
                <w:sz w:val="20"/>
                <w:szCs w:val="20"/>
                <w:color w:val="auto"/>
              </w:rPr>
            </w:pPr>
            <w:r>
              <w:rPr>
                <w:rFonts w:ascii="Times New Roman" w:cs="Times New Roman" w:eastAsia="Times New Roman" w:hAnsi="Times New Roman"/>
                <w:sz w:val="17"/>
                <w:szCs w:val="17"/>
                <w:color w:val="0000FF"/>
              </w:rPr>
              <w:t>12/23/2025</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225,484</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15.84</w:t>
            </w:r>
            <w:r>
              <w:rPr>
                <w:rFonts w:ascii="Times New Roman" w:cs="Times New Roman" w:eastAsia="Times New Roman" w:hAnsi="Times New Roman"/>
                <w:sz w:val="22"/>
                <w:szCs w:val="22"/>
                <w:color w:val="008000"/>
                <w:w w:val="95"/>
                <w:vertAlign w:val="superscript"/>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6,826,542</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3"/>
              <w:spacing w:after="0"/>
              <w:rPr>
                <w:sz w:val="20"/>
                <w:szCs w:val="20"/>
                <w:color w:val="auto"/>
              </w:rPr>
            </w:pPr>
            <w:r>
              <w:rPr>
                <w:rFonts w:ascii="Times New Roman" w:cs="Times New Roman" w:eastAsia="Times New Roman" w:hAnsi="Times New Roman"/>
                <w:sz w:val="17"/>
                <w:szCs w:val="17"/>
                <w:color w:val="0000FF"/>
              </w:rPr>
              <w:t>12/24/2025</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167,519</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15.83</w:t>
            </w:r>
            <w:r>
              <w:rPr>
                <w:rFonts w:ascii="Times New Roman" w:cs="Times New Roman" w:eastAsia="Times New Roman" w:hAnsi="Times New Roman"/>
                <w:sz w:val="22"/>
                <w:szCs w:val="22"/>
                <w:color w:val="008000"/>
                <w:w w:val="95"/>
                <w:vertAlign w:val="superscript"/>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6,994,061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3"/>
              <w:spacing w:after="0"/>
              <w:rPr>
                <w:sz w:val="20"/>
                <w:szCs w:val="20"/>
                <w:color w:val="auto"/>
              </w:rPr>
            </w:pPr>
            <w:r>
              <w:rPr>
                <w:rFonts w:ascii="Times New Roman" w:cs="Times New Roman" w:eastAsia="Times New Roman" w:hAnsi="Times New Roman"/>
                <w:sz w:val="17"/>
                <w:szCs w:val="17"/>
                <w:color w:val="0000FF"/>
              </w:rPr>
              <w:t>12/26/2025</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229,917</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15.57</w:t>
            </w:r>
            <w:r>
              <w:rPr>
                <w:rFonts w:ascii="Times New Roman" w:cs="Times New Roman" w:eastAsia="Times New Roman" w:hAnsi="Times New Roman"/>
                <w:sz w:val="22"/>
                <w:szCs w:val="22"/>
                <w:color w:val="008000"/>
                <w:w w:val="95"/>
                <w:vertAlign w:val="superscript"/>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7,223,978</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3"/>
              <w:spacing w:after="0"/>
              <w:rPr>
                <w:sz w:val="20"/>
                <w:szCs w:val="20"/>
                <w:color w:val="auto"/>
              </w:rPr>
            </w:pPr>
            <w:r>
              <w:rPr>
                <w:rFonts w:ascii="Times New Roman" w:cs="Times New Roman" w:eastAsia="Times New Roman" w:hAnsi="Times New Roman"/>
                <w:sz w:val="17"/>
                <w:szCs w:val="17"/>
                <w:color w:val="0000FF"/>
              </w:rPr>
              <w:t>12/29/2025</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99,502</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16.16</w:t>
            </w:r>
            <w:r>
              <w:rPr>
                <w:rFonts w:ascii="Times New Roman" w:cs="Times New Roman" w:eastAsia="Times New Roman" w:hAnsi="Times New Roman"/>
                <w:sz w:val="22"/>
                <w:szCs w:val="22"/>
                <w:color w:val="008000"/>
                <w:w w:val="95"/>
                <w:vertAlign w:val="superscript"/>
              </w:rPr>
              <w:t>(6)</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7,323,480</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1"/>
        </w:trPr>
        <w:tc>
          <w:tcPr>
            <w:tcW w:w="23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(8)(9)</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463"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582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458216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(12)(13)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$15.65 to $16.23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The Reporting Person and Marc Andreessen are the managing members of AH EP LSV II and may be deemed to have shared voting and dispositive power over the shares held by the AH LSV Fund II Entities. The Reporting Person disclaims the existence of a "group" and disclaims beneficial ownership of the securities held by the AH LSV Fund II Entities and this report shall not be deemed an admission that the Reporting Person is the beneficial owner of such securities, except to the extent of his pecuniary interest therein, if any.</w:t>
      </w:r>
    </w:p>
    <w:p>
      <w:pPr>
        <w:spacing w:after="0" w:line="179"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$15.52 to $16.00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$15.69 to $16.00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$15.48 to $15.85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$15.84 to $16.50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The Reporting Person and Marc Andreessen are the managing members of AH EP LSV I and may be deemed to have shared voting and dispositive power over the shares held by the AH LSV Fund I Entities. The Reporting Person disclaims the existence of a "group" and disclaims beneficial ownership of the securities held by the AH LSV Fund I Entities and this report shall not be deemed an admission that the Reporting Person is the beneficial owner of such securities,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The Reporting Person and Marc Andreessen are the managing members of AH EP LSV III and may be deemed to have shared voting and dispositive power over the shares held by the AH LSV Fund III Entities. The Reporting Person disclaims the existence of a "group" and disclaims beneficial ownership of the securities held by the AH LSV Fund III Entities and this report shall not be deemed an admission that the Reporting Person is the beneficial owner of such securities,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The Reporting Person and Marc Andreessen are the managing members of AH EP V and may be deemed to have shared voting and dispositive power over the shares held by the AH Fund V Entities. The Reporting Person disclaims the existence of a "group" and disclaims beneficial ownership of the securities held by the AH Fund V Entities and this report shall not be deemed an admission that the Reporting Person is the beneficial owner of such securities,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The Reporting Person and Marc Andreessen are the managing members of AH EP V and may be deemed to have shared voting and dispositive power over the shares held by CLF. The Reporting Person disclaims the existence of a "group" and disclaims beneficial ownership of the securities held by CLF and this report shall not be deemed an admission that the Reporting Person is the beneficial owner of such securities, except to the extent of his pecuniary interest therein, if any.</w:t>
      </w:r>
    </w:p>
    <w:p>
      <w:pPr>
        <w:spacing w:after="0" w:line="24" w:lineRule="exact"/>
        <w:rPr>
          <w:rFonts w:ascii="Times New Roman" w:cs="Times New Roman" w:eastAsia="Times New Roman" w:hAnsi="Times New Roman"/>
          <w:sz w:val="13"/>
          <w:szCs w:val="13"/>
          <w:color w:val="008000"/>
        </w:rPr>
      </w:pPr>
    </w:p>
    <w:p>
      <w:pPr>
        <w:jc w:val="both"/>
        <w:ind w:left="40" w:right="80" w:firstLine="7"/>
        <w:spacing w:after="0" w:line="247"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The Reporting Person and Marc Andreessen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12) The Reporting Person disclaims the existence of a "group" and disclaims beneficial ownership of the securities held by the AH Parallel Fund V Entities and this report shall not be deemed an admission that the Reporting Person is the beneficial owner of such securities, except to the extent of his pecuniary interest therein, if any.</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Phil Hathaway,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7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Benjamin</w:t>
      </w:r>
      <w:r>
        <w:rPr>
          <w:sz w:val="20"/>
          <w:szCs w:val="20"/>
          <w:color w:val="auto"/>
        </w:rPr>
        <w:tab/>
      </w: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00"/>
          </w:cols>
          <w:pgMar w:left="460" w:top="191" w:right="43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66586"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2025-12-29T18:09:20Z</dcterms:created>
  <dcterms:modified xsi:type="dcterms:W3CDTF">2025-12-29T18:09:20Z</dcterms:modified>
</cp:coreProperties>
</file>