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265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265795"/>
                    </a:xfrm>
                    <a:prstGeom prst="rect">
                      <a:avLst/>
                    </a:prstGeom>
                    <a:noFill/>
                  </pic:spPr>
                </pic:pic>
              </a:graphicData>
            </a:graphic>
          </wp:anchor>
        </w:drawing>
      </w:r>
    </w:p>
    <w:p>
      <w:pPr>
        <w:spacing w:after="0" w:line="1089" w:lineRule="exact"/>
        <w:rPr>
          <w:sz w:val="24"/>
          <w:szCs w:val="24"/>
          <w:color w:val="auto"/>
        </w:rPr>
      </w:pPr>
    </w:p>
    <w:p>
      <w:pPr>
        <w:sectPr>
          <w:pgSz w:w="11900" w:h="16885" w:orient="portrait"/>
          <w:cols w:equalWidth="0" w:num="2">
            <w:col w:w="2320" w:space="36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Janmohamed Arif</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NAVAN,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3045 PARK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Navan,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NAVN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10/31/2025</w:t>
      </w:r>
    </w:p>
    <w:p>
      <w:pPr>
        <w:spacing w:after="0" w:line="20" w:lineRule="exact"/>
        <w:rPr>
          <w:sz w:val="24"/>
          <w:szCs w:val="24"/>
          <w:color w:val="auto"/>
        </w:rPr>
      </w:pPr>
      <w:r>
        <w:rPr>
          <w:sz w:val="24"/>
          <w:szCs w:val="24"/>
          <w:color w:val="auto"/>
        </w:rPr>
        <w:br w:type="column"/>
      </w:r>
    </w:p>
    <w:p>
      <w:pPr>
        <w:ind w:left="4" w:right="720" w:hanging="4"/>
        <w:spacing w:after="0" w:line="285"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65" w:lineRule="exact"/>
        <w:rPr>
          <w:sz w:val="24"/>
          <w:szCs w:val="24"/>
          <w:color w:val="auto"/>
        </w:rPr>
      </w:pPr>
    </w:p>
    <w:p>
      <w:pPr>
        <w:sectPr>
          <w:pgSz w:w="11900" w:h="16885" w:orient="portrait"/>
          <w:cols w:equalWidth="0" w:num="3">
            <w:col w:w="3180" w:space="720"/>
            <w:col w:w="3116" w:space="720"/>
            <w:col w:w="3344"/>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540" w:type="dxa"/>
            <w:vAlign w:val="bottom"/>
            <w:gridSpan w:val="6"/>
          </w:tcPr>
          <w:p>
            <w:pPr>
              <w:jc w:val="center"/>
              <w:ind w:right="15"/>
              <w:spacing w:after="0"/>
              <w:rPr>
                <w:sz w:val="20"/>
                <w:szCs w:val="20"/>
                <w:color w:val="auto"/>
              </w:rPr>
            </w:pPr>
            <w:r>
              <w:rPr>
                <w:rFonts w:ascii="Arial" w:cs="Arial" w:eastAsia="Arial" w:hAnsi="Arial"/>
                <w:sz w:val="12"/>
                <w:szCs w:val="12"/>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2"/>
                <w:szCs w:val="12"/>
                <w:color w:val="auto"/>
              </w:rPr>
              <w:t>Line)</w:t>
            </w:r>
          </w:p>
        </w:tc>
        <w:tc>
          <w:tcPr>
            <w:tcW w:w="2300" w:type="dxa"/>
            <w:vAlign w:val="bottom"/>
            <w:gridSpan w:val="4"/>
            <w:vMerge w:val="restart"/>
          </w:tcPr>
          <w:p>
            <w:pPr>
              <w:ind w:left="240"/>
              <w:spacing w:after="0"/>
              <w:rPr>
                <w:sz w:val="20"/>
                <w:szCs w:val="20"/>
                <w:color w:val="auto"/>
              </w:rPr>
            </w:pPr>
            <w:r>
              <w:rPr>
                <w:rFonts w:ascii="Arial" w:cs="Arial" w:eastAsia="Arial" w:hAnsi="Arial"/>
                <w:sz w:val="12"/>
                <w:szCs w:val="12"/>
                <w:color w:val="auto"/>
              </w:rPr>
              <w:t>Form filed by One Reporting Person</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PALO ALTO</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94306</w:t>
            </w: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7"/>
            <w:vMerge w:val="restart"/>
          </w:tcPr>
          <w:p>
            <w:pPr>
              <w:jc w:val="center"/>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2"/>
          </w:tcPr>
          <w:p>
            <w:pPr>
              <w:jc w:val="center"/>
              <w:ind w:left="71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6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jc w:val="center"/>
              <w:ind w:righ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Form: Direct</w:t>
            </w:r>
          </w:p>
        </w:tc>
        <w:tc>
          <w:tcPr>
            <w:tcW w:w="1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3"/>
          </w:tcPr>
          <w:p>
            <w:pPr>
              <w:ind w:left="7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jc w:val="center"/>
              <w:ind w:left="222"/>
              <w:spacing w:after="0" w:line="125" w:lineRule="exact"/>
              <w:rPr>
                <w:sz w:val="20"/>
                <w:szCs w:val="20"/>
                <w:color w:val="auto"/>
              </w:rPr>
            </w:pPr>
            <w:r>
              <w:rPr>
                <w:rFonts w:ascii="Arial" w:cs="Arial" w:eastAsia="Arial" w:hAnsi="Arial"/>
                <w:sz w:val="11"/>
                <w:szCs w:val="11"/>
                <w:b w:val="1"/>
                <w:bCs w:val="1"/>
                <w:color w:val="auto"/>
              </w:rPr>
              <w:t>(D) or Indirect</w:t>
            </w:r>
          </w:p>
        </w:tc>
        <w:tc>
          <w:tcPr>
            <w:tcW w:w="1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gridSpan w:val="4"/>
            <w:vMerge w:val="restart"/>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82"/>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5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By</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6"/>
                <w:szCs w:val="16"/>
                <w:color w:val="0000FF"/>
              </w:rPr>
              <w:t>10/31/2025</w:t>
            </w:r>
          </w:p>
        </w:tc>
        <w:tc>
          <w:tcPr>
            <w:tcW w:w="1020" w:type="dxa"/>
            <w:vAlign w:val="bottom"/>
          </w:tcPr>
          <w:p>
            <w:pPr>
              <w:spacing w:after="0"/>
              <w:rPr>
                <w:sz w:val="17"/>
                <w:szCs w:val="17"/>
                <w:color w:val="auto"/>
              </w:rPr>
            </w:pPr>
          </w:p>
        </w:tc>
        <w:tc>
          <w:tcPr>
            <w:tcW w:w="740" w:type="dxa"/>
            <w:vAlign w:val="bottom"/>
            <w:vMerge w:val="restart"/>
          </w:tcPr>
          <w:p>
            <w:pPr>
              <w:jc w:val="center"/>
              <w:ind w:right="245"/>
              <w:spacing w:after="0"/>
              <w:rPr>
                <w:sz w:val="20"/>
                <w:szCs w:val="20"/>
                <w:color w:val="auto"/>
              </w:rPr>
            </w:pPr>
            <w:r>
              <w:rPr>
                <w:rFonts w:ascii="Times New Roman" w:cs="Times New Roman" w:eastAsia="Times New Roman" w:hAnsi="Times New Roman"/>
                <w:sz w:val="12"/>
                <w:szCs w:val="12"/>
                <w:color w:val="0000FF"/>
                <w:w w:val="99"/>
              </w:rPr>
              <w:t>C</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4,478,486</w:t>
            </w: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vMerge w:val="restart"/>
          </w:tcPr>
          <w:p>
            <w:pPr>
              <w:jc w:val="right"/>
              <w:ind w:right="173"/>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7"/>
                <w:szCs w:val="17"/>
                <w:color w:val="auto"/>
              </w:rPr>
            </w:pPr>
          </w:p>
        </w:tc>
        <w:tc>
          <w:tcPr>
            <w:tcW w:w="1520" w:type="dxa"/>
            <w:vAlign w:val="bottom"/>
            <w:gridSpan w:val="2"/>
            <w:vMerge w:val="restart"/>
          </w:tcPr>
          <w:p>
            <w:pPr>
              <w:jc w:val="right"/>
              <w:ind w:right="622"/>
              <w:spacing w:after="0"/>
              <w:rPr>
                <w:sz w:val="20"/>
                <w:szCs w:val="20"/>
                <w:color w:val="auto"/>
              </w:rPr>
            </w:pPr>
            <w:r>
              <w:rPr>
                <w:rFonts w:ascii="Times New Roman" w:cs="Times New Roman" w:eastAsia="Times New Roman" w:hAnsi="Times New Roman"/>
                <w:sz w:val="16"/>
                <w:szCs w:val="16"/>
                <w:color w:val="0000FF"/>
              </w:rPr>
              <w:t>4,780,989</w:t>
            </w:r>
          </w:p>
        </w:tc>
        <w:tc>
          <w:tcPr>
            <w:tcW w:w="500" w:type="dxa"/>
            <w:vAlign w:val="bottom"/>
            <w:vMerge w:val="restart"/>
          </w:tcPr>
          <w:p>
            <w:pPr>
              <w:jc w:val="center"/>
              <w:ind w:right="398"/>
              <w:spacing w:after="0"/>
              <w:rPr>
                <w:sz w:val="20"/>
                <w:szCs w:val="20"/>
                <w:color w:val="auto"/>
              </w:rPr>
            </w:pPr>
            <w:r>
              <w:rPr>
                <w:rFonts w:ascii="Times New Roman" w:cs="Times New Roman" w:eastAsia="Times New Roman" w:hAnsi="Times New Roman"/>
                <w:sz w:val="16"/>
                <w:szCs w:val="16"/>
                <w:color w:val="0000FF"/>
                <w:w w:val="74"/>
              </w:rPr>
              <w:t>I</w:t>
            </w: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Lightspeed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5"/>
            <w:vMerge w:val="continue"/>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rPr>
              <w:t>Opportunity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Fund,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By</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Lightspeed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0000FF"/>
              </w:rPr>
              <w:t>10/31/2025</w:t>
            </w:r>
          </w:p>
        </w:tc>
        <w:tc>
          <w:tcPr>
            <w:tcW w:w="1020" w:type="dxa"/>
            <w:vAlign w:val="bottom"/>
          </w:tcPr>
          <w:p>
            <w:pPr>
              <w:spacing w:after="0"/>
              <w:rPr>
                <w:sz w:val="17"/>
                <w:szCs w:val="17"/>
                <w:color w:val="auto"/>
              </w:rPr>
            </w:pPr>
          </w:p>
        </w:tc>
        <w:tc>
          <w:tcPr>
            <w:tcW w:w="740" w:type="dxa"/>
            <w:vAlign w:val="bottom"/>
          </w:tcPr>
          <w:p>
            <w:pPr>
              <w:jc w:val="center"/>
              <w:ind w:right="245"/>
              <w:spacing w:after="0"/>
              <w:rPr>
                <w:sz w:val="20"/>
                <w:szCs w:val="20"/>
                <w:color w:val="auto"/>
              </w:rPr>
            </w:pPr>
            <w:r>
              <w:rPr>
                <w:rFonts w:ascii="Times New Roman" w:cs="Times New Roman" w:eastAsia="Times New Roman" w:hAnsi="Times New Roman"/>
                <w:sz w:val="12"/>
                <w:szCs w:val="12"/>
                <w:color w:val="0000FF"/>
                <w:w w:val="99"/>
              </w:rPr>
              <w:t>C</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587,965</w:t>
            </w:r>
          </w:p>
        </w:tc>
        <w:tc>
          <w:tcPr>
            <w:tcW w:w="80" w:type="dxa"/>
            <w:vAlign w:val="bottom"/>
          </w:tcPr>
          <w:p>
            <w:pPr>
              <w:spacing w:after="0"/>
              <w:rPr>
                <w:sz w:val="17"/>
                <w:szCs w:val="17"/>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7"/>
                <w:szCs w:val="17"/>
                <w:color w:val="auto"/>
              </w:rPr>
            </w:pPr>
          </w:p>
        </w:tc>
        <w:tc>
          <w:tcPr>
            <w:tcW w:w="1520" w:type="dxa"/>
            <w:vAlign w:val="bottom"/>
            <w:gridSpan w:val="2"/>
          </w:tcPr>
          <w:p>
            <w:pPr>
              <w:jc w:val="right"/>
              <w:ind w:right="682"/>
              <w:spacing w:after="0"/>
              <w:rPr>
                <w:sz w:val="20"/>
                <w:szCs w:val="20"/>
                <w:color w:val="auto"/>
              </w:rPr>
            </w:pPr>
            <w:r>
              <w:rPr>
                <w:rFonts w:ascii="Times New Roman" w:cs="Times New Roman" w:eastAsia="Times New Roman" w:hAnsi="Times New Roman"/>
                <w:sz w:val="16"/>
                <w:szCs w:val="16"/>
                <w:color w:val="0000FF"/>
              </w:rPr>
              <w:t>587,965</w:t>
            </w:r>
          </w:p>
        </w:tc>
        <w:tc>
          <w:tcPr>
            <w:tcW w:w="500" w:type="dxa"/>
            <w:vAlign w:val="bottom"/>
          </w:tcPr>
          <w:p>
            <w:pPr>
              <w:jc w:val="center"/>
              <w:ind w:right="398"/>
              <w:spacing w:after="0"/>
              <w:rPr>
                <w:sz w:val="20"/>
                <w:szCs w:val="20"/>
                <w:color w:val="auto"/>
              </w:rPr>
            </w:pPr>
            <w:r>
              <w:rPr>
                <w:rFonts w:ascii="Times New Roman" w:cs="Times New Roman" w:eastAsia="Times New Roman" w:hAnsi="Times New Roman"/>
                <w:sz w:val="16"/>
                <w:szCs w:val="16"/>
                <w:color w:val="0000FF"/>
                <w:w w:val="74"/>
              </w:rPr>
              <w:t>I</w:t>
            </w: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Strategic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Partners I</w:t>
            </w:r>
          </w:p>
        </w:tc>
        <w:tc>
          <w:tcPr>
            <w:tcW w:w="0" w:type="dxa"/>
            <w:vAlign w:val="bottom"/>
          </w:tcPr>
          <w:p>
            <w:pPr>
              <w:spacing w:after="0"/>
              <w:rPr>
                <w:sz w:val="1"/>
                <w:szCs w:val="1"/>
                <w:color w:val="auto"/>
              </w:rPr>
            </w:pPr>
          </w:p>
        </w:tc>
      </w:tr>
      <w:tr>
        <w:trPr>
          <w:trHeight w:val="307"/>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80" w:type="dxa"/>
            <w:vAlign w:val="bottom"/>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42"/>
              <w:spacing w:after="0" w:line="125"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640" w:type="dxa"/>
            <w:vAlign w:val="bottom"/>
            <w:vMerge w:val="restart"/>
          </w:tcPr>
          <w:p>
            <w:pPr>
              <w:jc w:val="right"/>
              <w:ind w:right="14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6"/>
                <w:szCs w:val="16"/>
                <w:color w:val="0000FF"/>
                <w:w w:val="99"/>
              </w:rPr>
              <w:t>2,432,552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10/31/2025</w:t>
            </w:r>
          </w:p>
        </w:tc>
        <w:tc>
          <w:tcPr>
            <w:tcW w:w="1060" w:type="dxa"/>
            <w:vAlign w:val="bottom"/>
          </w:tcPr>
          <w:p>
            <w:pPr>
              <w:spacing w:after="0"/>
              <w:rPr>
                <w:sz w:val="11"/>
                <w:szCs w:val="11"/>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20" w:type="dxa"/>
            <w:vAlign w:val="bottom"/>
          </w:tcPr>
          <w:p>
            <w:pPr>
              <w:jc w:val="center"/>
              <w:ind w:left="222"/>
              <w:spacing w:after="0"/>
              <w:rPr>
                <w:sz w:val="20"/>
                <w:szCs w:val="20"/>
                <w:color w:val="auto"/>
              </w:rPr>
            </w:pPr>
            <w:r>
              <w:rPr>
                <w:rFonts w:ascii="Times New Roman" w:cs="Times New Roman" w:eastAsia="Times New Roman" w:hAnsi="Times New Roman"/>
                <w:sz w:val="12"/>
                <w:szCs w:val="12"/>
                <w:color w:val="0000FF"/>
              </w:rPr>
              <w:t>7,287,940</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gridSpan w:val="2"/>
          </w:tcPr>
          <w:p>
            <w:pPr>
              <w:jc w:val="center"/>
              <w:ind w:right="35"/>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2"/>
                <w:szCs w:val="12"/>
                <w:color w:val="0000FF"/>
              </w:rPr>
              <w:t>0</w:t>
            </w:r>
          </w:p>
        </w:tc>
        <w:tc>
          <w:tcPr>
            <w:tcW w:w="50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95"/>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right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E</w:t>
            </w:r>
          </w:p>
        </w:tc>
        <w:tc>
          <w:tcPr>
            <w:tcW w:w="640" w:type="dxa"/>
            <w:vAlign w:val="bottom"/>
            <w:vMerge w:val="restart"/>
          </w:tcPr>
          <w:p>
            <w:pPr>
              <w:jc w:val="right"/>
              <w:ind w:right="14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6"/>
                <w:szCs w:val="16"/>
                <w:color w:val="0000FF"/>
                <w:w w:val="99"/>
              </w:rPr>
              <w:t>1,759,626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10/31/2025</w:t>
            </w:r>
          </w:p>
        </w:tc>
        <w:tc>
          <w:tcPr>
            <w:tcW w:w="1060" w:type="dxa"/>
            <w:vAlign w:val="bottom"/>
          </w:tcPr>
          <w:p>
            <w:pPr>
              <w:spacing w:after="0"/>
              <w:rPr>
                <w:sz w:val="11"/>
                <w:szCs w:val="11"/>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20" w:type="dxa"/>
            <w:vAlign w:val="bottom"/>
          </w:tcPr>
          <w:p>
            <w:pPr>
              <w:jc w:val="center"/>
              <w:ind w:left="222"/>
              <w:spacing w:after="0"/>
              <w:rPr>
                <w:sz w:val="20"/>
                <w:szCs w:val="20"/>
                <w:color w:val="auto"/>
              </w:rPr>
            </w:pPr>
            <w:r>
              <w:rPr>
                <w:rFonts w:ascii="Times New Roman" w:cs="Times New Roman" w:eastAsia="Times New Roman" w:hAnsi="Times New Roman"/>
                <w:sz w:val="12"/>
                <w:szCs w:val="12"/>
                <w:color w:val="0000FF"/>
              </w:rPr>
              <w:t>5,249,132</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gridSpan w:val="2"/>
          </w:tcPr>
          <w:p>
            <w:pPr>
              <w:jc w:val="center"/>
              <w:ind w:right="35"/>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2"/>
                <w:szCs w:val="12"/>
                <w:color w:val="0000FF"/>
              </w:rPr>
              <w:t>0</w:t>
            </w:r>
          </w:p>
        </w:tc>
        <w:tc>
          <w:tcPr>
            <w:tcW w:w="50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95"/>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right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385,038</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40" w:type="dxa"/>
            <w:vAlign w:val="bottom"/>
          </w:tcPr>
          <w:p>
            <w:pPr>
              <w:jc w:val="right"/>
              <w:ind w:right="14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10/31/2025</w:t>
            </w:r>
          </w:p>
        </w:tc>
        <w:tc>
          <w:tcPr>
            <w:tcW w:w="1060" w:type="dxa"/>
            <w:vAlign w:val="bottom"/>
          </w:tcPr>
          <w:p>
            <w:pPr>
              <w:spacing w:after="0"/>
              <w:rPr>
                <w:sz w:val="11"/>
                <w:szCs w:val="11"/>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20" w:type="dxa"/>
            <w:vAlign w:val="bottom"/>
          </w:tcPr>
          <w:p>
            <w:pPr>
              <w:jc w:val="center"/>
              <w:ind w:left="222"/>
              <w:spacing w:after="0"/>
              <w:rPr>
                <w:sz w:val="20"/>
                <w:szCs w:val="20"/>
                <w:color w:val="auto"/>
              </w:rPr>
            </w:pPr>
            <w:r>
              <w:rPr>
                <w:rFonts w:ascii="Times New Roman" w:cs="Times New Roman" w:eastAsia="Times New Roman" w:hAnsi="Times New Roman"/>
                <w:sz w:val="12"/>
                <w:szCs w:val="12"/>
                <w:color w:val="0000FF"/>
              </w:rPr>
              <w:t>1,148,606</w:t>
            </w:r>
          </w:p>
        </w:tc>
        <w:tc>
          <w:tcPr>
            <w:tcW w:w="740" w:type="dxa"/>
            <w:vAlign w:val="bottom"/>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gridSpan w:val="2"/>
          </w:tcPr>
          <w:p>
            <w:pPr>
              <w:jc w:val="center"/>
              <w:ind w:right="35"/>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tcPr>
          <w:p>
            <w:pPr>
              <w:ind w:left="380"/>
              <w:spacing w:after="0"/>
              <w:rPr>
                <w:sz w:val="20"/>
                <w:szCs w:val="20"/>
                <w:color w:val="auto"/>
              </w:rPr>
            </w:pPr>
            <w:r>
              <w:rPr>
                <w:rFonts w:ascii="Times New Roman" w:cs="Times New Roman" w:eastAsia="Times New Roman" w:hAnsi="Times New Roman"/>
                <w:sz w:val="12"/>
                <w:szCs w:val="12"/>
                <w:color w:val="0000FF"/>
              </w:rPr>
              <w:t>0</w:t>
            </w:r>
          </w:p>
        </w:tc>
        <w:tc>
          <w:tcPr>
            <w:tcW w:w="50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Strategic</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95"/>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Partners 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right w:val="single" w:sz="8" w:color="2C2C2C"/>
            </w:tcBorders>
            <w:gridSpan w:val="3"/>
          </w:tcPr>
          <w:p>
            <w:pPr>
              <w:ind w:left="60"/>
              <w:spacing w:after="0" w:line="225"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F</w:t>
            </w:r>
          </w:p>
        </w:tc>
        <w:tc>
          <w:tcPr>
            <w:tcW w:w="640" w:type="dxa"/>
            <w:vAlign w:val="bottom"/>
            <w:vMerge w:val="restart"/>
          </w:tcPr>
          <w:p>
            <w:pPr>
              <w:jc w:val="right"/>
              <w:ind w:right="14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218,667</w:t>
            </w:r>
          </w:p>
        </w:tc>
        <w:tc>
          <w:tcPr>
            <w:tcW w:w="6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10/31/2025</w:t>
            </w:r>
          </w:p>
        </w:tc>
        <w:tc>
          <w:tcPr>
            <w:tcW w:w="1060" w:type="dxa"/>
            <w:vAlign w:val="bottom"/>
          </w:tcPr>
          <w:p>
            <w:pPr>
              <w:spacing w:after="0"/>
              <w:rPr>
                <w:sz w:val="11"/>
                <w:szCs w:val="11"/>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20" w:type="dxa"/>
            <w:vAlign w:val="bottom"/>
          </w:tcPr>
          <w:p>
            <w:pPr>
              <w:jc w:val="center"/>
              <w:ind w:left="242"/>
              <w:spacing w:after="0"/>
              <w:rPr>
                <w:sz w:val="20"/>
                <w:szCs w:val="20"/>
                <w:color w:val="auto"/>
              </w:rPr>
            </w:pPr>
            <w:r>
              <w:rPr>
                <w:rFonts w:ascii="Times New Roman" w:cs="Times New Roman" w:eastAsia="Times New Roman" w:hAnsi="Times New Roman"/>
                <w:sz w:val="12"/>
                <w:szCs w:val="12"/>
                <w:color w:val="0000FF"/>
              </w:rPr>
              <w:t>649,200</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gridSpan w:val="2"/>
          </w:tcPr>
          <w:p>
            <w:pPr>
              <w:jc w:val="center"/>
              <w:ind w:right="35"/>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2"/>
                <w:szCs w:val="12"/>
                <w:color w:val="0000FF"/>
              </w:rPr>
              <w:t>0</w:t>
            </w:r>
          </w:p>
        </w:tc>
        <w:tc>
          <w:tcPr>
            <w:tcW w:w="50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95"/>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right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G-1</w:t>
            </w:r>
          </w:p>
        </w:tc>
        <w:tc>
          <w:tcPr>
            <w:tcW w:w="640" w:type="dxa"/>
            <w:vAlign w:val="bottom"/>
            <w:vMerge w:val="restart"/>
          </w:tcPr>
          <w:p>
            <w:pPr>
              <w:jc w:val="right"/>
              <w:ind w:right="14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67,641</w:t>
            </w:r>
          </w:p>
        </w:tc>
        <w:tc>
          <w:tcPr>
            <w:tcW w:w="6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10/31/2025</w:t>
            </w:r>
          </w:p>
        </w:tc>
        <w:tc>
          <w:tcPr>
            <w:tcW w:w="1060" w:type="dxa"/>
            <w:vAlign w:val="bottom"/>
          </w:tcPr>
          <w:p>
            <w:pPr>
              <w:spacing w:after="0"/>
              <w:rPr>
                <w:sz w:val="11"/>
                <w:szCs w:val="11"/>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20" w:type="dxa"/>
            <w:vAlign w:val="bottom"/>
          </w:tcPr>
          <w:p>
            <w:pPr>
              <w:jc w:val="center"/>
              <w:ind w:left="242"/>
              <w:spacing w:after="0"/>
              <w:rPr>
                <w:sz w:val="20"/>
                <w:szCs w:val="20"/>
                <w:color w:val="auto"/>
              </w:rPr>
            </w:pPr>
            <w:r>
              <w:rPr>
                <w:rFonts w:ascii="Times New Roman" w:cs="Times New Roman" w:eastAsia="Times New Roman" w:hAnsi="Times New Roman"/>
                <w:sz w:val="12"/>
                <w:szCs w:val="12"/>
                <w:color w:val="0000FF"/>
              </w:rPr>
              <w:t>200,273</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gridSpan w:val="2"/>
          </w:tcPr>
          <w:p>
            <w:pPr>
              <w:jc w:val="center"/>
              <w:ind w:right="35"/>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2"/>
                <w:szCs w:val="12"/>
                <w:color w:val="0000FF"/>
              </w:rPr>
              <w:t>0</w:t>
            </w:r>
          </w:p>
        </w:tc>
        <w:tc>
          <w:tcPr>
            <w:tcW w:w="50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95"/>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right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G-1</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202,927</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40" w:type="dxa"/>
            <w:vAlign w:val="bottom"/>
          </w:tcPr>
          <w:p>
            <w:pPr>
              <w:jc w:val="right"/>
              <w:ind w:right="14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10/31/2025</w:t>
            </w:r>
          </w:p>
        </w:tc>
        <w:tc>
          <w:tcPr>
            <w:tcW w:w="1060" w:type="dxa"/>
            <w:vAlign w:val="bottom"/>
          </w:tcPr>
          <w:p>
            <w:pPr>
              <w:spacing w:after="0"/>
              <w:rPr>
                <w:sz w:val="11"/>
                <w:szCs w:val="11"/>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20" w:type="dxa"/>
            <w:vAlign w:val="bottom"/>
          </w:tcPr>
          <w:p>
            <w:pPr>
              <w:jc w:val="center"/>
              <w:ind w:left="242"/>
              <w:spacing w:after="0"/>
              <w:rPr>
                <w:sz w:val="20"/>
                <w:szCs w:val="20"/>
                <w:color w:val="auto"/>
              </w:rPr>
            </w:pPr>
            <w:r>
              <w:rPr>
                <w:rFonts w:ascii="Times New Roman" w:cs="Times New Roman" w:eastAsia="Times New Roman" w:hAnsi="Times New Roman"/>
                <w:sz w:val="12"/>
                <w:szCs w:val="12"/>
                <w:color w:val="0000FF"/>
              </w:rPr>
              <w:t>600,821</w:t>
            </w:r>
          </w:p>
        </w:tc>
        <w:tc>
          <w:tcPr>
            <w:tcW w:w="740" w:type="dxa"/>
            <w:vAlign w:val="bottom"/>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gridSpan w:val="2"/>
          </w:tcPr>
          <w:p>
            <w:pPr>
              <w:jc w:val="center"/>
              <w:ind w:right="35"/>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tcPr>
          <w:p>
            <w:pPr>
              <w:ind w:left="380"/>
              <w:spacing w:after="0"/>
              <w:rPr>
                <w:sz w:val="20"/>
                <w:szCs w:val="20"/>
                <w:color w:val="auto"/>
              </w:rPr>
            </w:pPr>
            <w:r>
              <w:rPr>
                <w:rFonts w:ascii="Times New Roman" w:cs="Times New Roman" w:eastAsia="Times New Roman" w:hAnsi="Times New Roman"/>
                <w:sz w:val="12"/>
                <w:szCs w:val="12"/>
                <w:color w:val="0000FF"/>
              </w:rPr>
              <w:t>0</w:t>
            </w:r>
          </w:p>
        </w:tc>
        <w:tc>
          <w:tcPr>
            <w:tcW w:w="50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Strategic</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95"/>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Partners I</w:t>
            </w:r>
          </w:p>
        </w:tc>
        <w:tc>
          <w:tcPr>
            <w:tcW w:w="0" w:type="dxa"/>
            <w:vAlign w:val="bottom"/>
          </w:tcPr>
          <w:p>
            <w:pPr>
              <w:spacing w:after="0"/>
              <w:rPr>
                <w:sz w:val="1"/>
                <w:szCs w:val="1"/>
                <w:color w:val="auto"/>
              </w:rPr>
            </w:pPr>
          </w:p>
        </w:tc>
      </w:tr>
      <w:tr>
        <w:trPr>
          <w:trHeight w:val="230"/>
        </w:trPr>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right w:val="single" w:sz="8" w:color="2C2C2C"/>
            </w:tcBorders>
            <w:gridSpan w:val="3"/>
          </w:tcPr>
          <w:p>
            <w:pPr>
              <w:ind w:left="60"/>
              <w:spacing w:after="0" w:line="225"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-4409440</wp:posOffset>
            </wp:positionV>
            <wp:extent cx="28575" cy="4415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4151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22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D, Series E, Series F and Series G-1 Preferred Stock automatically converted into shares of Class A Common Stock immediately prior to the closing of the Issuer's initial public offering ("IPO") for no additional consideration at a conversion ratio that was dependent upon the initial price per share to the public in the Issuer's IPO.</w:t>
      </w:r>
    </w:p>
    <w:p>
      <w:pPr>
        <w:jc w:val="both"/>
        <w:ind w:left="40" w:right="30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Opportunity Fund, L.P. ("Opportunity"). Lightspeed General Partner Opportunity Fund, L.P. ("LGP Opportunity") is the general partner of Opportunity. Lightspeed Ultimate General Partner Opportunity Fund, Ltd. ("LUGP Opportunity") is the general partner of LGP Opportunity. The Reporting Person is a director of LUGP Opportunity and shares voting and dispositive power with respect to the</w:t>
      </w:r>
    </w:p>
    <w:p>
      <w:pPr>
        <w:sectPr>
          <w:pgSz w:w="11900" w:h="16885" w:orient="portrait"/>
          <w:cols w:equalWidth="0" w:num="1">
            <w:col w:w="11080"/>
          </w:cols>
          <w:pgMar w:left="460" w:top="214" w:right="359" w:bottom="0" w:gutter="0" w:footer="0" w:header="0"/>
          <w:type w:val="continuous"/>
        </w:sectPr>
      </w:pPr>
    </w:p>
    <w:bookmarkStart w:id="1" w:name="page2"/>
    <w:bookmarkEnd w:id="1"/>
    <w:p>
      <w:pPr>
        <w:ind w:left="3"/>
        <w:spacing w:after="0"/>
        <w:rPr>
          <w:sz w:val="20"/>
          <w:szCs w:val="20"/>
          <w:color w:val="auto"/>
        </w:rPr>
      </w:pPr>
      <w:r>
        <w:rPr>
          <w:rFonts w:ascii="Times New Roman" w:cs="Times New Roman" w:eastAsia="Times New Roman" w:hAnsi="Times New Roman"/>
          <w:sz w:val="12"/>
          <w:szCs w:val="12"/>
          <w:color w:val="008000"/>
        </w:rPr>
        <w:t>shares held by Opportunity. The Reporting Person disclaims beneficial ownership of these shares except to the extent of his pecuniary interest therein.</w:t>
      </w:r>
    </w:p>
    <w:p>
      <w:pPr>
        <w:spacing w:after="0" w:line="49" w:lineRule="exact"/>
        <w:rPr>
          <w:sz w:val="20"/>
          <w:szCs w:val="20"/>
          <w:color w:val="auto"/>
        </w:rPr>
      </w:pPr>
    </w:p>
    <w:p>
      <w:pPr>
        <w:ind w:left="3" w:hanging="3"/>
        <w:spacing w:after="0" w:line="260"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Strategic Partners I L.P. ("Strategic"). Lightspeed Strategic Partners General Partner I L.P. ("LGP Strategic") is the general partner of Strategic. Lightspeed Strategic Partners Ultimate General Partner I L.L.C. ("LUGP Strategic") is the general partner of LGP Strategic. The Reporting Person is a manager of LUGP Strategic and shares voting and dispositive power with respect to the shares held by Strategic. The Reporting Person disclaims beneficial ownership of these shares except to the extent of his pecuniary interest therein.</w:t>
      </w:r>
    </w:p>
    <w:p>
      <w:pPr>
        <w:spacing w:after="0" w:line="29" w:lineRule="exact"/>
        <w:rPr>
          <w:sz w:val="20"/>
          <w:szCs w:val="20"/>
          <w:color w:val="auto"/>
        </w:rPr>
      </w:pPr>
    </w:p>
    <w:tbl>
      <w:tblPr>
        <w:tblLayout w:type="fixed"/>
        <w:tblInd w:w="6563"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Arif Janmohamed</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11/04/2025</w:t>
            </w: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20"/>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560" w:hanging="3"/>
        <w:spacing w:after="0" w:line="325"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3"/>
      </w:cols>
      <w:pgMar w:left="497" w:top="12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3938"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2025-11-04T16:20:47Z</dcterms:created>
  <dcterms:modified xsi:type="dcterms:W3CDTF">2025-11-04T16:20:47Z</dcterms:modified>
</cp:coreProperties>
</file>