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-598170</wp:posOffset>
            </wp:positionV>
            <wp:extent cx="56515" cy="61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634365</wp:posOffset>
            </wp:positionV>
            <wp:extent cx="6999605" cy="883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839835"/>
                    </a:xfrm>
                    <a:prstGeom prst="rect">
                      <a:avLst/>
                    </a:prstGeom>
                    <a:noFill/>
                  </pic:spPr>
                </pic:pic>
              </a:graphicData>
            </a:graphic>
          </wp:anchor>
        </w:drawing>
      </w:r>
    </w:p>
    <w:p>
      <w:pPr>
        <w:spacing w:after="0" w:line="1011" w:lineRule="exact"/>
        <w:rPr>
          <w:sz w:val="24"/>
          <w:szCs w:val="24"/>
          <w:color w:val="auto"/>
        </w:rPr>
      </w:pPr>
    </w:p>
    <w:p>
      <w:pPr>
        <w:sectPr>
          <w:pgSz w:w="11900" w:h="16838" w:orient="portrait"/>
          <w:cols w:equalWidth="0" w:num="2">
            <w:col w:w="2280" w:space="420"/>
            <w:col w:w="8380"/>
          </w:cols>
          <w:pgMar w:left="460" w:top="213" w:right="359" w:bottom="66"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00" w:type="dxa"/>
            <w:vAlign w:val="bottom"/>
            <w:gridSpan w:val="6"/>
          </w:tcPr>
          <w:p>
            <w:pPr>
              <w:ind w:left="8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4"/>
            <w:vMerge w:val="restart"/>
          </w:tcPr>
          <w:p>
            <w:pPr>
              <w:spacing w:after="0" w:line="227"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Lightspeed Venture Partners Select II, L.P.</w:t>
              </w:r>
            </w:hyperlink>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gridSpan w:val="6"/>
          </w:tcPr>
          <w:p>
            <w:pPr>
              <w:ind w:left="60"/>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Navan,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gridSpan w:val="4"/>
            <w:vMerge w:val="restart"/>
          </w:tcPr>
          <w:p>
            <w:pPr>
              <w:ind w:left="80"/>
              <w:spacing w:after="0"/>
              <w:rPr>
                <w:sz w:val="20"/>
                <w:szCs w:val="20"/>
                <w:color w:val="auto"/>
              </w:rPr>
            </w:pPr>
            <w:r>
              <w:rPr>
                <w:rFonts w:ascii="Arial" w:cs="Arial" w:eastAsia="Arial" w:hAnsi="Arial"/>
                <w:sz w:val="12"/>
                <w:szCs w:val="12"/>
                <w:color w:val="auto"/>
              </w:rPr>
              <w:t>(Check all applicable)</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0000EE"/>
            </w:tcBorders>
          </w:tcPr>
          <w:p>
            <w:pPr>
              <w:spacing w:after="0"/>
              <w:rPr>
                <w:sz w:val="5"/>
                <w:szCs w:val="5"/>
                <w:color w:val="auto"/>
              </w:rPr>
            </w:pPr>
          </w:p>
        </w:tc>
        <w:tc>
          <w:tcPr>
            <w:tcW w:w="580" w:type="dxa"/>
            <w:vAlign w:val="bottom"/>
            <w:tcBorders>
              <w:bottom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tcBorders>
              <w:bottom w:val="single" w:sz="8" w:color="0000EE"/>
            </w:tcBorders>
            <w:gridSpan w:val="4"/>
            <w:vMerge w:val="continue"/>
          </w:tcPr>
          <w:p>
            <w:pPr>
              <w:spacing w:after="0"/>
              <w:rPr>
                <w:sz w:val="5"/>
                <w:szCs w:val="5"/>
                <w:color w:val="auto"/>
              </w:rPr>
            </w:pPr>
          </w:p>
        </w:tc>
        <w:tc>
          <w:tcPr>
            <w:tcW w:w="60" w:type="dxa"/>
            <w:vAlign w:val="bottom"/>
            <w:gridSpan w:val="2"/>
            <w:vMerge w:val="restart"/>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720" w:type="dxa"/>
            <w:vAlign w:val="bottom"/>
          </w:tcPr>
          <w:p>
            <w:pPr>
              <w:spacing w:after="0"/>
              <w:rPr>
                <w:sz w:val="5"/>
                <w:szCs w:val="5"/>
                <w:color w:val="auto"/>
              </w:rPr>
            </w:pPr>
          </w:p>
        </w:tc>
        <w:tc>
          <w:tcPr>
            <w:tcW w:w="1440" w:type="dxa"/>
            <w:vAlign w:val="bottom"/>
            <w:gridSpan w:val="4"/>
            <w:vMerge w:val="restart"/>
          </w:tcPr>
          <w:p>
            <w:pPr>
              <w:ind w:left="300"/>
              <w:spacing w:after="0"/>
              <w:rPr>
                <w:sz w:val="20"/>
                <w:szCs w:val="20"/>
                <w:color w:val="auto"/>
              </w:rPr>
            </w:pPr>
            <w:r>
              <w:rPr>
                <w:rFonts w:ascii="Arial" w:cs="Arial" w:eastAsia="Arial" w:hAnsi="Arial"/>
                <w:sz w:val="12"/>
                <w:szCs w:val="12"/>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4"/>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440" w:type="dxa"/>
            <w:vAlign w:val="bottom"/>
            <w:gridSpan w:val="4"/>
            <w:vMerge w:val="restart"/>
          </w:tcPr>
          <w:p>
            <w:pPr>
              <w:ind w:left="300"/>
              <w:spacing w:after="0"/>
              <w:rPr>
                <w:sz w:val="20"/>
                <w:szCs w:val="20"/>
                <w:color w:val="auto"/>
              </w:rPr>
            </w:pPr>
            <w:r>
              <w:rPr>
                <w:rFonts w:ascii="Arial" w:cs="Arial" w:eastAsia="Arial" w:hAnsi="Arial"/>
                <w:sz w:val="12"/>
                <w:szCs w:val="12"/>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8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080" w:type="dxa"/>
            <w:vAlign w:val="bottom"/>
            <w:gridSpan w:val="3"/>
            <w:vMerge w:val="restart"/>
          </w:tcPr>
          <w:p>
            <w:pPr>
              <w:ind w:left="12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20" w:type="dxa"/>
            <w:vAlign w:val="bottom"/>
          </w:tcPr>
          <w:p>
            <w:pPr>
              <w:spacing w:after="0"/>
              <w:rPr>
                <w:sz w:val="3"/>
                <w:szCs w:val="3"/>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13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10/31/2025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00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44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Pr>
          <w:p>
            <w:pPr>
              <w:spacing w:after="0"/>
              <w:rPr>
                <w:sz w:val="2"/>
                <w:szCs w:val="2"/>
                <w:color w:val="auto"/>
              </w:rPr>
            </w:pPr>
          </w:p>
        </w:tc>
        <w:tc>
          <w:tcPr>
            <w:tcW w:w="3320" w:type="dxa"/>
            <w:vAlign w:val="bottom"/>
            <w:gridSpan w:val="8"/>
            <w:vMerge w:val="restart"/>
          </w:tcPr>
          <w:p>
            <w:pPr>
              <w:ind w:left="8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9"/>
            <w:vMerge w:val="continue"/>
          </w:tcPr>
          <w:p>
            <w:pPr>
              <w:spacing w:after="0"/>
              <w:rPr>
                <w:sz w:val="12"/>
                <w:szCs w:val="12"/>
                <w:color w:val="auto"/>
              </w:rPr>
            </w:pPr>
          </w:p>
        </w:tc>
        <w:tc>
          <w:tcPr>
            <w:tcW w:w="380" w:type="dxa"/>
            <w:vAlign w:val="bottom"/>
          </w:tcPr>
          <w:p>
            <w:pPr>
              <w:spacing w:after="0"/>
              <w:rPr>
                <w:sz w:val="12"/>
                <w:szCs w:val="12"/>
                <w:color w:val="auto"/>
              </w:rPr>
            </w:pPr>
          </w:p>
        </w:tc>
        <w:tc>
          <w:tcPr>
            <w:tcW w:w="332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4"/>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MENLO PARK   CA</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6"/>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gridSpan w:val="2"/>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78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8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8"/>
          </w:tcPr>
          <w:p>
            <w:pPr>
              <w:jc w:val="center"/>
              <w:ind w:right="22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7"/>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80"/>
              <w:spacing w:after="0"/>
              <w:rPr>
                <w:sz w:val="20"/>
                <w:szCs w:val="20"/>
                <w:color w:val="auto"/>
              </w:rPr>
            </w:pPr>
            <w:r>
              <w:rPr>
                <w:rFonts w:ascii="Arial" w:cs="Arial" w:eastAsia="Arial" w:hAnsi="Arial"/>
                <w:sz w:val="11"/>
                <w:szCs w:val="11"/>
                <w:b w:val="1"/>
                <w:bCs w:val="1"/>
                <w:color w:val="auto"/>
              </w:rPr>
              <w:t>6. Ownership</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gridSpan w:val="3"/>
          </w:tcPr>
          <w:p>
            <w:pPr>
              <w:ind w:left="840"/>
              <w:spacing w:after="0" w:line="123" w:lineRule="exact"/>
              <w:rPr>
                <w:sz w:val="20"/>
                <w:szCs w:val="20"/>
                <w:color w:val="auto"/>
              </w:rPr>
            </w:pPr>
            <w:r>
              <w:rPr>
                <w:rFonts w:ascii="Arial" w:cs="Arial" w:eastAsia="Arial" w:hAnsi="Arial"/>
                <w:sz w:val="11"/>
                <w:szCs w:val="11"/>
                <w:b w:val="1"/>
                <w:bCs w:val="1"/>
                <w:color w:val="auto"/>
                <w:w w:val="92"/>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Form: Direct</w:t>
            </w:r>
          </w:p>
        </w:tc>
        <w:tc>
          <w:tcPr>
            <w:tcW w:w="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7"/>
          </w:tcPr>
          <w:p>
            <w:pPr>
              <w:jc w:val="center"/>
              <w:ind w:left="711"/>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(D) or Indirect</w:t>
            </w:r>
          </w:p>
        </w:tc>
        <w:tc>
          <w:tcPr>
            <w:tcW w:w="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Owned Following    (I) (Instr. 4)</w:t>
            </w:r>
          </w:p>
        </w:tc>
        <w:tc>
          <w:tcPr>
            <w:tcW w:w="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gridSpan w:val="3"/>
            <w:vMerge w:val="restart"/>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20" w:type="dxa"/>
            <w:vAlign w:val="bottom"/>
          </w:tcPr>
          <w:p>
            <w:pPr>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jc w:val="right"/>
              <w:ind w:right="198"/>
              <w:spacing w:after="0"/>
              <w:rPr>
                <w:sz w:val="20"/>
                <w:szCs w:val="20"/>
                <w:color w:val="auto"/>
              </w:rPr>
            </w:pPr>
            <w:r>
              <w:rPr>
                <w:rFonts w:ascii="Arial" w:cs="Arial" w:eastAsia="Arial" w:hAnsi="Arial"/>
                <w:sz w:val="11"/>
                <w:szCs w:val="11"/>
                <w:b w:val="1"/>
                <w:bCs w:val="1"/>
                <w:color w:val="auto"/>
              </w:rPr>
              <w:t>Price</w:t>
            </w:r>
          </w:p>
        </w:tc>
        <w:tc>
          <w:tcPr>
            <w:tcW w:w="15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8"/>
              </w:rPr>
              <w:t>(Instr. 3 and 4)</w:t>
            </w: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tcPr>
          <w:p>
            <w:pPr>
              <w:jc w:val="center"/>
              <w:ind w:left="711"/>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23,365,502</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23,365,502</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Venture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Partners X,</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11"/>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192,885</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192,885</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Affiliates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X, L.P.</w:t>
            </w:r>
            <w:r>
              <w:rPr>
                <w:rFonts w:ascii="Times New Roman" w:cs="Times New Roman" w:eastAsia="Times New Roman" w:hAnsi="Times New Roman"/>
                <w:sz w:val="20"/>
                <w:szCs w:val="20"/>
                <w:color w:val="008000"/>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11"/>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4,478,486</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4,780,989</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tcPr>
          <w:p>
            <w:pPr>
              <w:jc w:val="center"/>
              <w:ind w:left="711"/>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587,965</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587,965</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Strategic</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Partners 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11"/>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14,859,595</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14,859,595</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Venture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Select II,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11"/>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6,134,518</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6,134,518</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Venture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Select III,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8"/>
          </w:tcPr>
          <w:p>
            <w:pPr>
              <w:jc w:val="center"/>
              <w:ind w:right="121"/>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60" w:type="dxa"/>
            <w:vAlign w:val="bottom"/>
            <w:gridSpan w:val="16"/>
          </w:tcPr>
          <w:p>
            <w:pPr>
              <w:jc w:val="center"/>
              <w:ind w:left="571"/>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Direct (D)</w:t>
            </w: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w w:val="98"/>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or Indirect</w:t>
            </w: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24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gridSpan w:val="2"/>
            <w:vMerge w:val="restart"/>
          </w:tcPr>
          <w:p>
            <w:pPr>
              <w:ind w:left="100"/>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Seed</w:t>
            </w: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3,914,906</w:t>
            </w: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jc w:val="right"/>
              <w:ind w:right="163"/>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11,744,720</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continue"/>
          </w:tcPr>
          <w:p>
            <w:pPr>
              <w:spacing w:after="0"/>
              <w:rPr>
                <w:sz w:val="6"/>
                <w:szCs w:val="6"/>
                <w:color w:val="auto"/>
              </w:rPr>
            </w:pPr>
          </w:p>
        </w:tc>
        <w:tc>
          <w:tcPr>
            <w:tcW w:w="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34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520" w:type="dxa"/>
            <w:vAlign w:val="bottom"/>
            <w:vMerge w:val="restart"/>
          </w:tcPr>
          <w:p>
            <w:pPr>
              <w:ind w:left="4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6"/>
                <w:szCs w:val="6"/>
                <w:color w:val="auto"/>
              </w:rPr>
            </w:pPr>
          </w:p>
        </w:tc>
        <w:tc>
          <w:tcPr>
            <w:tcW w:w="62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gridSpan w:val="2"/>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gridSpan w:val="2"/>
            <w:vMerge w:val="restart"/>
          </w:tcPr>
          <w:p>
            <w:pPr>
              <w:ind w:left="4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gridSpan w:val="2"/>
            <w:vMerge w:val="continue"/>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-1794510</wp:posOffset>
            </wp:positionV>
            <wp:extent cx="28575" cy="2115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15820"/>
                    </a:xfrm>
                    <a:prstGeom prst="rect">
                      <a:avLst/>
                    </a:prstGeom>
                    <a:noFill/>
                  </pic:spPr>
                </pic:pic>
              </a:graphicData>
            </a:graphic>
          </wp:anchor>
        </w:drawing>
      </w:r>
    </w:p>
    <w:p>
      <w:pPr>
        <w:sectPr>
          <w:pgSz w:w="11900" w:h="16838" w:orient="portrait"/>
          <w:cols w:equalWidth="0" w:num="1">
            <w:col w:w="11080"/>
          </w:cols>
          <w:pgMar w:left="460" w:top="213" w:right="359" w:bottom="6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1052385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3"/>
        </w:trPr>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Seed</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192,885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62"/>
        </w:trPr>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5"/>
                <w:szCs w:val="5"/>
                <w:color w:val="auto"/>
              </w:rPr>
            </w:pPr>
          </w:p>
        </w:tc>
        <w:tc>
          <w:tcPr>
            <w:tcW w:w="76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578,656</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Affiliates</w:t>
            </w:r>
          </w:p>
        </w:tc>
        <w:tc>
          <w:tcPr>
            <w:tcW w:w="0" w:type="dxa"/>
            <w:vAlign w:val="bottom"/>
          </w:tcPr>
          <w:p>
            <w:pPr>
              <w:spacing w:after="0"/>
              <w:rPr>
                <w:sz w:val="1"/>
                <w:szCs w:val="1"/>
                <w:color w:val="auto"/>
              </w:rPr>
            </w:pPr>
          </w:p>
        </w:tc>
      </w:tr>
      <w:tr>
        <w:trPr>
          <w:trHeight w:val="62"/>
        </w:trPr>
        <w:tc>
          <w:tcPr>
            <w:tcW w:w="6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vMerge w:val="restart"/>
          </w:tcPr>
          <w:p>
            <w:pPr>
              <w:ind w:left="60"/>
              <w:spacing w:after="0" w:line="222" w:lineRule="exact"/>
              <w:rPr>
                <w:sz w:val="20"/>
                <w:szCs w:val="20"/>
                <w:color w:val="auto"/>
              </w:rPr>
            </w:pPr>
            <w:r>
              <w:rPr>
                <w:rFonts w:ascii="Times New Roman" w:cs="Times New Roman" w:eastAsia="Times New Roman" w:hAnsi="Times New Roman"/>
                <w:sz w:val="12"/>
                <w:szCs w:val="12"/>
                <w:color w:val="0000FF"/>
              </w:rPr>
              <w:t>X,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28"/>
        </w:trPr>
        <w:tc>
          <w:tcPr>
            <w:tcW w:w="64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A</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4,026,218</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12,078,656</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A-1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12,743,557</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38,230,672</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B</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2,680,821</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8,042,464</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13,404,106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40,212,320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4,490,223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13,470,670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1,387,848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4,163,544</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D</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2,432,552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7,287,940</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1,576,654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4,723,666</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E</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1,759,626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5,249,132</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E</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385,038</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1,148,606</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I</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F</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218,667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649,200</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67,641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200,273</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202,927</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600,821</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I</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67,641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200,273</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56"/>
        </w:trPr>
        <w:tc>
          <w:tcPr>
            <w:tcW w:w="6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67,641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200,273</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56"/>
        </w:trPr>
        <w:tc>
          <w:tcPr>
            <w:tcW w:w="6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4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Stock</w:t>
            </w: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
                <w:szCs w:val="2"/>
                <w:color w:val="0000FF"/>
              </w:rPr>
              <w:t>Stock</w:t>
            </w: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380"/>
        <w:spacing w:after="0" w:line="224" w:lineRule="auto"/>
        <w:rPr>
          <w:sz w:val="20"/>
          <w:szCs w:val="20"/>
          <w:color w:val="auto"/>
        </w:rPr>
      </w:pPr>
      <w:r>
        <w:rPr>
          <w:rFonts w:ascii="Times New Roman" w:cs="Times New Roman" w:eastAsia="Times New Roman" w:hAnsi="Times New Roman"/>
          <w:sz w:val="12"/>
          <w:szCs w:val="12"/>
          <w:color w:val="0000FF"/>
        </w:rPr>
        <w:t>Select III,</w:t>
      </w:r>
    </w:p>
    <w:p>
      <w:pPr>
        <w:ind w:left="10380"/>
        <w:spacing w:after="0"/>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(7)</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40"/>
          </w:cols>
          <w:pgMar w:left="480" w:top="188" w:right="379" w:bottom="0" w:gutter="0" w:footer="0" w:header="0"/>
        </w:sectPr>
      </w:pPr>
    </w:p>
    <w:p>
      <w:pPr>
        <w:ind w:left="8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Lightspeed Venture Partners Select II, L.P.</w:t>
        </w:r>
      </w:hyperlink>
    </w:p>
    <w:p>
      <w:pPr>
        <w:sectPr>
          <w:pgSz w:w="11900" w:h="16838" w:orient="portrait"/>
          <w:cols w:equalWidth="0" w:num="1">
            <w:col w:w="11040"/>
          </w:cols>
          <w:pgMar w:left="480" w:top="188" w:right="379" w:bottom="0" w:gutter="0" w:footer="0" w:header="0"/>
          <w:type w:val="continuous"/>
        </w:sectPr>
      </w:pPr>
    </w:p>
    <w:bookmarkStart w:id="2" w:name="page3"/>
    <w:bookmarkEnd w:id="2"/>
    <w:p>
      <w:pPr>
        <w:spacing w:after="0" w:line="19"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-1094740</wp:posOffset>
            </wp:positionV>
            <wp:extent cx="2808605" cy="9559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8605" cy="9559290"/>
                    </a:xfrm>
                    <a:prstGeom prst="rect">
                      <a:avLst/>
                    </a:prstGeom>
                    <a:noFill/>
                  </pic:spPr>
                </pic:pic>
              </a:graphicData>
            </a:graphic>
          </wp:anchor>
        </w:drawing>
      </w:r>
    </w:p>
    <w:p>
      <w:pPr>
        <w:spacing w:after="0" w:line="103"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Lightspeed General Partner Select II, L.P.</w:t>
        </w:r>
      </w:hyperlink>
    </w:p>
    <w:p>
      <w:pPr>
        <w:spacing w:after="0" w:line="278"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Lightspeed Ultimate General Partner Select II, Ltd.</w:t>
        </w:r>
      </w:hyperlink>
    </w:p>
    <w:p>
      <w:pPr>
        <w:spacing w:after="0" w:line="278"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line="231" w:lineRule="auto"/>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LIGHTSPEED VENTURE PARTNERS SELECT</w:t>
        </w:r>
      </w:hyperlink>
    </w:p>
    <w:p>
      <w:pPr>
        <w:ind w:left="65"/>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III, L.P.</w:t>
        </w:r>
      </w:hyperlink>
    </w:p>
    <w:p>
      <w:pPr>
        <w:spacing w:after="0" w:line="278"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Lightspeed General Partner Select III, L.P.</w:t>
        </w:r>
      </w:hyperlink>
    </w:p>
    <w:p>
      <w:pPr>
        <w:spacing w:after="0" w:line="278"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Lightspeed Ultimate General Partner Select III, Ltd.</w:t>
        </w:r>
      </w:hyperlink>
    </w:p>
    <w:p>
      <w:pPr>
        <w:spacing w:after="0" w:line="278"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5" w:right="160" w:hanging="5"/>
        <w:spacing w:after="0" w:line="273"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Seed, Series A, Series A-1, Series B, Series C, Series C-1, Series D, Series E, Series F and Series G-1 Preferred Stock automatically converted into shares of Class A Common Stock immediately prior to the closing of the Issuer's initial public offering ("IPO") for no additional consideration at a conversion ratio that was dependent upon the initial price per share to the public in the Issuer's IPO.</w:t>
      </w:r>
    </w:p>
    <w:p>
      <w:pPr>
        <w:spacing w:after="0" w:line="6" w:lineRule="exact"/>
        <w:rPr>
          <w:rFonts w:ascii="Times New Roman" w:cs="Times New Roman" w:eastAsia="Times New Roman" w:hAnsi="Times New Roman"/>
          <w:sz w:val="12"/>
          <w:szCs w:val="12"/>
          <w:color w:val="008000"/>
        </w:rPr>
      </w:pPr>
    </w:p>
    <w:p>
      <w:pPr>
        <w:ind w:left="5" w:right="40" w:hanging="5"/>
        <w:spacing w:after="0" w:line="273"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X, L.P.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6" w:lineRule="exact"/>
        <w:rPr>
          <w:rFonts w:ascii="Times New Roman" w:cs="Times New Roman" w:eastAsia="Times New Roman" w:hAnsi="Times New Roman"/>
          <w:sz w:val="12"/>
          <w:szCs w:val="12"/>
          <w:color w:val="008000"/>
        </w:rPr>
      </w:pPr>
    </w:p>
    <w:p>
      <w:pPr>
        <w:ind w:left="5" w:right="120" w:hanging="5"/>
        <w:spacing w:after="0" w:line="273"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6" w:lineRule="exact"/>
        <w:rPr>
          <w:rFonts w:ascii="Times New Roman" w:cs="Times New Roman" w:eastAsia="Times New Roman" w:hAnsi="Times New Roman"/>
          <w:sz w:val="12"/>
          <w:szCs w:val="12"/>
          <w:color w:val="008000"/>
        </w:rPr>
      </w:pPr>
    </w:p>
    <w:p>
      <w:pPr>
        <w:ind w:left="5" w:hanging="5"/>
        <w:spacing w:after="0" w:line="273"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w:t>
      </w:r>
    </w:p>
    <w:p>
      <w:pPr>
        <w:sectPr>
          <w:pgSz w:w="11900" w:h="16857" w:orient="portrait"/>
          <w:cols w:equalWidth="0" w:num="1">
            <w:col w:w="10905"/>
          </w:cols>
          <w:pgMar w:left="495" w:top="128" w:right="499" w:bottom="0" w:gutter="0" w:footer="0" w:header="0"/>
        </w:sectPr>
      </w:pPr>
    </w:p>
    <w:bookmarkStart w:id="3" w:name="page4"/>
    <w:bookmarkEnd w:id="3"/>
    <w:p>
      <w:pPr>
        <w:ind w:left="5"/>
        <w:spacing w:after="0"/>
        <w:rPr>
          <w:sz w:val="20"/>
          <w:szCs w:val="20"/>
          <w:color w:val="auto"/>
        </w:rPr>
      </w:pPr>
      <w:r>
        <w:rPr>
          <w:rFonts w:ascii="Times New Roman" w:cs="Times New Roman" w:eastAsia="Times New Roman" w:hAnsi="Times New Roman"/>
          <w:sz w:val="12"/>
          <w:szCs w:val="12"/>
          <w:color w:val="008000"/>
        </w:rPr>
        <w:t>respective pecuniary interest therein.</w:t>
      </w:r>
    </w:p>
    <w:p>
      <w:pPr>
        <w:spacing w:after="0" w:line="47" w:lineRule="exact"/>
        <w:rPr>
          <w:sz w:val="20"/>
          <w:szCs w:val="20"/>
          <w:color w:val="auto"/>
        </w:rPr>
      </w:pPr>
    </w:p>
    <w:p>
      <w:pPr>
        <w:ind w:left="5" w:right="280" w:hanging="5"/>
        <w:spacing w:after="0" w:line="25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17" w:lineRule="exact"/>
        <w:rPr>
          <w:rFonts w:ascii="Times New Roman" w:cs="Times New Roman" w:eastAsia="Times New Roman" w:hAnsi="Times New Roman"/>
          <w:sz w:val="12"/>
          <w:szCs w:val="12"/>
          <w:color w:val="008000"/>
        </w:rPr>
      </w:pPr>
    </w:p>
    <w:p>
      <w:pPr>
        <w:jc w:val="both"/>
        <w:ind w:left="5" w:right="260" w:hanging="5"/>
        <w:spacing w:after="0" w:line="25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II, L.P.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17" w:lineRule="exact"/>
        <w:rPr>
          <w:rFonts w:ascii="Times New Roman" w:cs="Times New Roman" w:eastAsia="Times New Roman" w:hAnsi="Times New Roman"/>
          <w:sz w:val="12"/>
          <w:szCs w:val="12"/>
          <w:color w:val="008000"/>
        </w:rPr>
      </w:pPr>
    </w:p>
    <w:p>
      <w:pPr>
        <w:jc w:val="both"/>
        <w:ind w:left="5" w:right="40" w:hanging="5"/>
        <w:spacing w:after="0" w:line="25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0" w:lineRule="exact"/>
        <w:rPr>
          <w:sz w:val="20"/>
          <w:szCs w:val="20"/>
          <w:color w:val="auto"/>
        </w:rPr>
      </w:pPr>
    </w:p>
    <w:p>
      <w:pPr>
        <w:ind w:left="5"/>
        <w:spacing w:after="0" w:line="243" w:lineRule="auto"/>
        <w:rPr>
          <w:sz w:val="20"/>
          <w:szCs w:val="20"/>
          <w:color w:val="auto"/>
        </w:rPr>
      </w:pPr>
      <w:r>
        <w:rPr>
          <w:rFonts w:ascii="Times New Roman" w:cs="Times New Roman" w:eastAsia="Times New Roman" w:hAnsi="Times New Roman"/>
          <w:sz w:val="12"/>
          <w:szCs w:val="12"/>
          <w:color w:val="008000"/>
        </w:rPr>
        <w:t>This Form 4 is the second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and Lightspeed Ultimate General Partner Select III, Ltd. This Form 4 has been split into two filings because there are more than 10 reporting persons in total, and the SEC's EDGAR filing system limits a single Form 4 to a maximum of 10 reporting persons.</w:t>
      </w:r>
    </w:p>
    <w:p>
      <w:pPr>
        <w:sectPr>
          <w:pgSz w:w="11900" w:h="16838" w:orient="portrait"/>
          <w:cols w:equalWidth="0" w:num="1">
            <w:col w:w="10905"/>
          </w:cols>
          <w:pgMar w:left="495" w:top="127" w:right="499" w:bottom="1440" w:gutter="0" w:footer="0" w:header="0"/>
        </w:sectPr>
      </w:pPr>
    </w:p>
    <w:p>
      <w:pPr>
        <w:spacing w:after="0" w:line="188"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512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249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5"/>
          <w:szCs w:val="15"/>
          <w:color w:val="0000FF"/>
        </w:rPr>
        <w:t>General Partner Select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633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334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General Partner,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3112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112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Ultimate General Partner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954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II, 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30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217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02171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176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1760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249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Ultimate General Partner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954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II, 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30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217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2171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798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Partner Select II,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84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004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900430"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512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Select III,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592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592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General Partner Select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757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7571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5567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556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798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Select III,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585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585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449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6826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8262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176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1760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Select III,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592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592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Ultimate General Partner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954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III, 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97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217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02171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798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Partner Select III,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026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026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004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9004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8705" w:space="60"/>
            <w:col w:w="2140"/>
          </w:cols>
          <w:pgMar w:left="495" w:top="127" w:right="499" w:bottom="1440" w:gutter="0" w:footer="0" w:header="0"/>
          <w:type w:val="continuous"/>
        </w:sect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3800" w:hanging="5"/>
        <w:spacing w:after="0" w:line="321"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5"/>
      </w:cols>
      <w:pgMar w:left="495"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13" Type="http://schemas.openxmlformats.org/officeDocument/2006/relationships/hyperlink" Target="http://www.sec.gov/cgi-bin/browse-edgar?action=getcompany&amp;CIK=0001668017" TargetMode="External"/><Relationship Id="rId14" Type="http://schemas.openxmlformats.org/officeDocument/2006/relationships/hyperlink" Target="http://www.sec.gov/cgi-bin/browse-edgar?action=getcompany&amp;CIK=0001639723" TargetMode="External"/><Relationship Id="rId18" Type="http://schemas.openxmlformats.org/officeDocument/2006/relationships/hyperlink" Target="http://www.sec.gov/cgi-bin/browse-edgar?action=getcompany&amp;CIK=0001744936" TargetMode="External"/><Relationship Id="rId19" Type="http://schemas.openxmlformats.org/officeDocument/2006/relationships/hyperlink" Target="http://www.sec.gov/cgi-bin/browse-edgar?action=getcompany&amp;CIK=0001744937" TargetMode="External"/><Relationship Id="rId20" Type="http://schemas.openxmlformats.org/officeDocument/2006/relationships/hyperlink" Target="http://www.sec.gov/cgi-bin/browse-edgar?action=getcompany&amp;CIK=0001735240" TargetMode="External"/><Relationship Id="rId21" Type="http://schemas.openxmlformats.org/officeDocument/2006/relationships/hyperlink" Target="http://www.sec.gov/cgi-bin/browse-edgar?action=getcompany&amp;CIK=0001912810" TargetMode="External"/><Relationship Id="rId22" Type="http://schemas.openxmlformats.org/officeDocument/2006/relationships/hyperlink" Target="http://www.sec.gov/cgi-bin/browse-edgar?action=getcompany&amp;CIK=0001912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2025-11-04T16:21:29Z</dcterms:created>
  <dcterms:modified xsi:type="dcterms:W3CDTF">2025-11-04T16:21:29Z</dcterms:modified>
</cp:coreProperties>
</file>