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Butte 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Navan,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NAVN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94306</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7"/>
                <w:szCs w:val="17"/>
                <w:color w:val="0000FF"/>
              </w:rPr>
              <w:t>10/30/2025</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160,047</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794,065</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657,259</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w:t>
            </w:r>
          </w:p>
        </w:tc>
        <w:tc>
          <w:tcPr>
            <w:tcW w:w="140" w:type="dxa"/>
            <w:vAlign w:val="bottom"/>
          </w:tcPr>
          <w:p>
            <w:pPr>
              <w:spacing w:after="0"/>
              <w:rPr>
                <w:sz w:val="6"/>
                <w:szCs w:val="6"/>
                <w:color w:val="auto"/>
              </w:rPr>
            </w:pP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10/29/2025</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657,259</w:t>
            </w: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10/28/2035</w:t>
            </w:r>
          </w:p>
        </w:tc>
        <w:tc>
          <w:tcPr>
            <w:tcW w:w="66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657,259</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tax withholding obligations on the vesting of restricted stock units ("RSUs") prior to the open of trading on October 30, 2025, which settlement date was determined by the Issuer's board of directors, to satisfy the tax obligation realized upon vesting of such RSUs.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655,952 RSUs, each of which represents a contingent right to receive one share of Issuer's Class A Common Stock upon vesting.</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stock option vests with respect to 25% of the shares subject to the stock option on the first anniversary of the vesting commencement date, and the remaining 75% of the shares subject to the stock option vest in equal monthly installments over the following three years, subject to Reporting Person's continued service through each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Howard Baik,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10/31/2025</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4540"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2025-10-31T19:48:59Z</dcterms:created>
  <dcterms:modified xsi:type="dcterms:W3CDTF">2025-10-31T19:48:59Z</dcterms:modified>
</cp:coreProperties>
</file>