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2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Janmohamed Arif</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14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2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197,748</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4,583,241</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822,069</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20.06</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3,761,172</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20.91</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3,761,089</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573,572</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20.19</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3,187,517</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430,659</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20.62</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2,756,858</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587,965</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Partners 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40,709</w:t>
            </w:r>
            <w:r>
              <w:rPr>
                <w:rFonts w:ascii="Times New Roman" w:cs="Times New Roman" w:eastAsia="Times New Roman" w:hAnsi="Times New Roman"/>
                <w:sz w:val="22"/>
                <w:szCs w:val="22"/>
                <w:color w:val="008000"/>
                <w:w w:val="97"/>
                <w:vertAlign w:val="superscript"/>
              </w:rPr>
              <w:t>(8)</w:t>
            </w:r>
          </w:p>
        </w:tc>
        <w:tc>
          <w:tcPr>
            <w:tcW w:w="36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713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713230"/>
                    </a:xfrm>
                    <a:prstGeom prst="rect">
                      <a:avLst/>
                    </a:prstGeom>
                    <a:noFill/>
                  </pic:spPr>
                </pic:pic>
              </a:graphicData>
            </a:graphic>
          </wp:anchor>
        </w:drawing>
      </w:r>
    </w:p>
    <w:p>
      <w:pPr>
        <w:sectPr>
          <w:pgSz w:w="11900" w:h="16838" w:orient="portrait"/>
          <w:cols w:equalWidth="0" w:num="1">
            <w:col w:w="11080"/>
          </w:cols>
          <w:pgMar w:left="460" w:top="219" w:right="359" w:bottom="22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1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2129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sold in multiple transactions at prices ranging from $18.8748 to $19.8741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any security holder of the Issuer, or the staff of the Securities and Exchange Commission, upon request, full information regarding the number of shares sold at each separate price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Shares are held by Lightspeed Opportunity Fund, L.P. ("Opportunity"). Lightspeed General Partner Opportunity Fund, L.P. ("LGP Opportunity") is the general partner of Opportunity. Lightspeed</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600" w:hanging="4636"/>
        <w:spacing w:after="0"/>
        <w:rPr>
          <w:sz w:val="20"/>
          <w:szCs w:val="20"/>
          <w:color w:val="auto"/>
        </w:rPr>
      </w:pPr>
      <w:r>
        <w:rPr>
          <w:rFonts w:ascii="Times New Roman" w:cs="Times New Roman" w:eastAsia="Times New Roman" w:hAnsi="Times New Roman"/>
          <w:sz w:val="12"/>
          <w:szCs w:val="12"/>
          <w:color w:val="008000"/>
        </w:rPr>
        <w:t xml:space="preserve">Ultimate General Partner Opportunity Fund, Ltd. ("LUGP Opportunity") is the general partner of LGP Opportunity. The Reporting Person is a director of LUGP Opportunity and shares voting and </w:t>
      </w:r>
      <w:r>
        <w:rPr>
          <w:rFonts w:ascii="Arial" w:cs="Arial" w:eastAsia="Arial" w:hAnsi="Arial"/>
          <w:sz w:val="10"/>
          <w:szCs w:val="10"/>
          <w:b w:val="1"/>
          <w:bCs w:val="1"/>
          <w:color w:val="000000"/>
        </w:rPr>
        <w:t>and 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dispositive power with respect to the shares held by Opportunity. The Reporting Person disclaims beneficial ownership of these shares except to the extent of his pecuniary interest therein.</w:t>
      </w:r>
    </w:p>
    <w:p>
      <w:pPr>
        <w:spacing w:after="0" w:line="36"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$19.8752 to $20.8701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$20.90 to $20.9127 inclusive. The Reporting Person undertakes to</w:t>
      </w:r>
    </w:p>
    <w:tbl>
      <w:tblPr>
        <w:tblLayout w:type="fixed"/>
        <w:tblInd w:w="40" w:type="dxa"/>
        <w:tblCellMar>
          <w:top w:w="0" w:type="dxa"/>
          <w:left w:w="0" w:type="dxa"/>
          <w:bottom w:w="0" w:type="dxa"/>
          <w:right w:w="0" w:type="dxa"/>
        </w:tblCellMar>
      </w:tblPr>
      <w:tr>
        <w:trPr>
          <w:trHeight w:val="130"/>
        </w:trPr>
        <w:tc>
          <w:tcPr>
            <w:tcW w:w="10740" w:type="dxa"/>
            <w:vAlign w:val="bottom"/>
            <w:gridSpan w:val="5"/>
          </w:tcPr>
          <w:p>
            <w:pPr>
              <w:spacing w:after="0" w:line="130" w:lineRule="exact"/>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sold at each separate price</w:t>
            </w:r>
          </w:p>
        </w:tc>
        <w:tc>
          <w:tcPr>
            <w:tcW w:w="0" w:type="dxa"/>
            <w:vAlign w:val="bottom"/>
          </w:tcPr>
          <w:p>
            <w:pPr>
              <w:spacing w:after="0"/>
              <w:rPr>
                <w:sz w:val="1"/>
                <w:szCs w:val="1"/>
                <w:color w:val="auto"/>
              </w:rPr>
            </w:pPr>
          </w:p>
        </w:tc>
      </w:tr>
      <w:tr>
        <w:trPr>
          <w:trHeight w:val="53"/>
        </w:trPr>
        <w:tc>
          <w:tcPr>
            <w:tcW w:w="30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900" w:type="dxa"/>
            <w:vAlign w:val="bottom"/>
          </w:tcPr>
          <w:p>
            <w:pPr>
              <w:ind w:left="460"/>
              <w:spacing w:after="0" w:line="53"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133"/>
        </w:trPr>
        <w:tc>
          <w:tcPr>
            <w:tcW w:w="30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900" w:type="dxa"/>
            <w:vAlign w:val="bottom"/>
          </w:tcPr>
          <w:p>
            <w:pPr>
              <w:ind w:left="460"/>
              <w:spacing w:after="0" w:line="121"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40"/>
        </w:trPr>
        <w:tc>
          <w:tcPr>
            <w:tcW w:w="10740" w:type="dxa"/>
            <w:vAlign w:val="bottom"/>
            <w:gridSpan w:val="5"/>
          </w:tcPr>
          <w:p>
            <w:pPr>
              <w:spacing w:after="0" w:line="40" w:lineRule="exact"/>
              <w:rPr>
                <w:sz w:val="20"/>
                <w:szCs w:val="20"/>
                <w:color w:val="auto"/>
              </w:rPr>
            </w:pPr>
            <w:r>
              <w:rPr>
                <w:rFonts w:ascii="Times New Roman" w:cs="Times New Roman" w:eastAsia="Times New Roman" w:hAnsi="Times New Roman"/>
                <w:sz w:val="4"/>
                <w:szCs w:val="4"/>
                <w:color w:val="008000"/>
              </w:rPr>
              <w:t>5. The price reported in Column 4 is a weighted average price. These shares were sold in multiple transactions at prices ranging from $19.385 to $20.3849 inclusive. The Reporting Person undertakes to</w:t>
            </w:r>
          </w:p>
        </w:tc>
        <w:tc>
          <w:tcPr>
            <w:tcW w:w="0" w:type="dxa"/>
            <w:vAlign w:val="bottom"/>
          </w:tcPr>
          <w:p>
            <w:pPr>
              <w:spacing w:after="0" w:line="20" w:lineRule="exact"/>
              <w:rPr>
                <w:sz w:val="1"/>
                <w:szCs w:val="1"/>
                <w:color w:val="auto"/>
              </w:rPr>
            </w:pPr>
          </w:p>
        </w:tc>
      </w:tr>
      <w:tr>
        <w:trPr>
          <w:trHeight w:val="93"/>
        </w:trPr>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20" w:type="dxa"/>
            <w:vAlign w:val="bottom"/>
          </w:tcPr>
          <w:p>
            <w:pPr>
              <w:ind w:left="880"/>
              <w:spacing w:after="0" w:line="93" w:lineRule="exact"/>
              <w:rPr>
                <w:sz w:val="20"/>
                <w:szCs w:val="20"/>
                <w:color w:val="auto"/>
              </w:rPr>
            </w:pPr>
            <w:r>
              <w:rPr>
                <w:rFonts w:ascii="Arial" w:cs="Arial" w:eastAsia="Arial" w:hAnsi="Arial"/>
                <w:sz w:val="10"/>
                <w:szCs w:val="10"/>
                <w:b w:val="1"/>
                <w:bCs w:val="1"/>
                <w:color w:val="auto"/>
              </w:rPr>
              <w:t>Date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Expiration</w:t>
            </w:r>
          </w:p>
        </w:tc>
        <w:tc>
          <w:tcPr>
            <w:tcW w:w="3900" w:type="dxa"/>
            <w:vAlign w:val="bottom"/>
          </w:tcPr>
          <w:p>
            <w:pPr>
              <w:ind w:left="460"/>
              <w:spacing w:after="0" w:line="93"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53"/>
        </w:trPr>
        <w:tc>
          <w:tcPr>
            <w:tcW w:w="10740" w:type="dxa"/>
            <w:vAlign w:val="bottom"/>
            <w:gridSpan w:val="5"/>
          </w:tcPr>
          <w:p>
            <w:pPr>
              <w:spacing w:after="0" w:line="54" w:lineRule="exact"/>
              <w:rPr>
                <w:sz w:val="20"/>
                <w:szCs w:val="20"/>
                <w:color w:val="auto"/>
              </w:rPr>
            </w:pPr>
            <w:r>
              <w:rPr>
                <w:rFonts w:ascii="Times New Roman" w:cs="Times New Roman" w:eastAsia="Times New Roman" w:hAnsi="Times New Roman"/>
                <w:sz w:val="6"/>
                <w:szCs w:val="6"/>
                <w:color w:val="008000"/>
              </w:rPr>
              <w:t>provide to the Issuer, any security holder of the Issuer, or the staff of the Securities and Exchange Commission, upon request, full information regarding the number of shares sold at each separate price</w:t>
            </w:r>
          </w:p>
        </w:tc>
        <w:tc>
          <w:tcPr>
            <w:tcW w:w="0" w:type="dxa"/>
            <w:vAlign w:val="bottom"/>
          </w:tcPr>
          <w:p>
            <w:pPr>
              <w:spacing w:after="0"/>
              <w:rPr>
                <w:sz w:val="1"/>
                <w:szCs w:val="1"/>
                <w:color w:val="auto"/>
              </w:rPr>
            </w:pPr>
          </w:p>
        </w:tc>
      </w:tr>
      <w:tr>
        <w:trPr>
          <w:trHeight w:val="147"/>
        </w:trPr>
        <w:tc>
          <w:tcPr>
            <w:tcW w:w="30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460" w:type="dxa"/>
            <w:vAlign w:val="bottom"/>
          </w:tcPr>
          <w:p>
            <w:pPr>
              <w:ind w:left="78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9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0" w:type="dxa"/>
            <w:vAlign w:val="bottom"/>
          </w:tcPr>
          <w:p>
            <w:pPr>
              <w:spacing w:after="0"/>
              <w:rPr>
                <w:sz w:val="1"/>
                <w:szCs w:val="1"/>
                <w:color w:val="auto"/>
              </w:rPr>
            </w:pPr>
          </w:p>
        </w:tc>
      </w:tr>
      <w:tr>
        <w:trPr>
          <w:trHeight w:val="40"/>
        </w:trPr>
        <w:tc>
          <w:tcPr>
            <w:tcW w:w="30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$20.3856 to $20.89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The Reporting Person is a manager of LUGP Strategic and shares voting and dispositive power with respect to the shares held by Strategic. The Reporting Person disclaims beneficial ownership of these shares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the Reporting Person prior to the transactions reported herein reflect the receipt of shares pursuant to the pro rata distribution in kind, effected by each of Lightspeed Venture Partners X, L.P. ("Lightspeed X") and Lightspeed Venture Partners Select II, L.P. ("Lightspeed Select II") to its general partner and limited partners for no additional consideration, and the further pro rata distribution in kind by each of the general partners of Lightspeed X and Lightspeed Select II, for no additional consideration to its members, including the Reporting Person. The receipt of such shares by the Reporting Person constituted a change in form of ownership from indirect to direct, which was exempt from reporting pursuant to Rule 16a-13.</w:t>
      </w:r>
    </w:p>
    <w:p>
      <w:pPr>
        <w:spacing w:after="0" w:line="24"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a family trust, of which the Reporting Person is a trustee. The Reporting Person disclaims beneficial ownership of such shares except to the extent of his proportionate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Arif Janmohamed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3938"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2026-06-15T19:29:01Z</dcterms:created>
  <dcterms:modified xsi:type="dcterms:W3CDTF">2026-06-15T19:29:01Z</dcterms:modified>
</cp:coreProperties>
</file>