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460" w:type="dxa"/>
            <w:vAlign w:val="bottom"/>
          </w:tcPr>
          <w:p>
            <w:pPr>
              <w:ind w:left="1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1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Lightspeed Venture Partners X,</w:t>
              </w:r>
            </w:hyperlink>
          </w:p>
        </w:tc>
        <w:tc>
          <w:tcPr>
            <w:tcW w:w="1460" w:type="dxa"/>
            <w:vAlign w:val="bottom"/>
          </w:tcPr>
          <w:p>
            <w:pPr>
              <w:ind w:left="1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120" w:type="dxa"/>
            <w:vAlign w:val="bottom"/>
            <w:gridSpan w:val="3"/>
            <w:vMerge w:val="continue"/>
          </w:tcPr>
          <w:p>
            <w:pPr>
              <w:spacing w:after="0"/>
              <w:rPr>
                <w:sz w:val="14"/>
                <w:szCs w:val="14"/>
                <w:color w:val="auto"/>
              </w:rPr>
            </w:pPr>
          </w:p>
        </w:tc>
        <w:tc>
          <w:tcPr>
            <w:tcW w:w="1460" w:type="dxa"/>
            <w:vAlign w:val="bottom"/>
          </w:tcPr>
          <w:p>
            <w:pPr>
              <w:ind w:left="1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0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L.P.</w:t>
              </w:r>
            </w:hyperlink>
          </w:p>
        </w:tc>
        <w:tc>
          <w:tcPr>
            <w:tcW w:w="120" w:type="dxa"/>
            <w:vAlign w:val="bottom"/>
          </w:tcPr>
          <w:p>
            <w:pPr>
              <w:spacing w:after="0"/>
              <w:rPr>
                <w:sz w:val="21"/>
                <w:szCs w:val="21"/>
                <w:color w:val="auto"/>
              </w:rPr>
            </w:pPr>
          </w:p>
        </w:tc>
        <w:tc>
          <w:tcPr>
            <w:tcW w:w="14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637"/>
        <w:spacing w:after="0" w:line="275" w:lineRule="auto"/>
        <w:rPr>
          <w:sz w:val="20"/>
          <w:szCs w:val="20"/>
          <w:color w:val="auto"/>
        </w:rPr>
      </w:pPr>
      <w:r>
        <w:rPr>
          <w:rFonts w:ascii="Times New Roman" w:cs="Times New Roman" w:eastAsia="Times New Roman" w:hAnsi="Times New Roman"/>
          <w:sz w:val="20"/>
          <w:szCs w:val="20"/>
          <w:color w:val="0000FF"/>
        </w:rPr>
        <w:t>C/O LIGHTSPEED VENTURE PARTNERS</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94025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PARK</w:t>
            </w: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4"/>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3"/>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ind w:left="800"/>
              <w:spacing w:after="0"/>
              <w:rPr>
                <w:sz w:val="20"/>
                <w:szCs w:val="20"/>
                <w:color w:val="auto"/>
              </w:rPr>
            </w:pPr>
            <w:r>
              <w:rPr>
                <w:rFonts w:ascii="Times New Roman" w:cs="Times New Roman" w:eastAsia="Times New Roman" w:hAnsi="Times New Roman"/>
                <w:sz w:val="20"/>
                <w:szCs w:val="20"/>
                <w:color w:val="0000FF"/>
              </w:rPr>
              <w:t>302,503</w:t>
            </w:r>
          </w:p>
        </w:tc>
        <w:tc>
          <w:tcPr>
            <w:tcW w:w="880" w:type="dxa"/>
            <w:vAlign w:val="bottom"/>
          </w:tcPr>
          <w:p>
            <w:pPr>
              <w:spacing w:after="0"/>
              <w:rPr>
                <w:sz w:val="24"/>
                <w:szCs w:val="24"/>
                <w:color w:val="auto"/>
              </w:rPr>
            </w:pPr>
          </w:p>
        </w:tc>
        <w:tc>
          <w:tcPr>
            <w:tcW w:w="700" w:type="dxa"/>
            <w:vAlign w:val="bottom"/>
            <w:gridSpan w:val="2"/>
            <w:vMerge w:val="restart"/>
          </w:tcPr>
          <w:p>
            <w:pPr>
              <w:jc w:val="right"/>
              <w:ind w:right="565"/>
              <w:spacing w:after="0"/>
              <w:rPr>
                <w:sz w:val="20"/>
                <w:szCs w:val="20"/>
                <w:color w:val="auto"/>
              </w:rPr>
            </w:pPr>
            <w:r>
              <w:rPr>
                <w:rFonts w:ascii="Times New Roman" w:cs="Times New Roman" w:eastAsia="Times New Roman" w:hAnsi="Times New Roman"/>
                <w:sz w:val="16"/>
                <w:szCs w:val="16"/>
                <w:color w:val="0000FF"/>
                <w:w w:val="74"/>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Lightspeed Opportunity Fund,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L.P.</w:t>
            </w:r>
            <w:r>
              <w:rPr>
                <w:rFonts w:ascii="Times New Roman" w:cs="Times New Roman" w:eastAsia="Times New Roman" w:hAnsi="Times New Roman"/>
                <w:sz w:val="25"/>
                <w:szCs w:val="25"/>
                <w:color w:val="008000"/>
                <w:vertAlign w:val="superscript"/>
              </w:rPr>
              <w:t>(1)</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gridSpan w:val="2"/>
            <w:vMerge w:val="continue"/>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6"/>
          </w:tcPr>
          <w:p>
            <w:pPr>
              <w:jc w:val="right"/>
              <w:ind w:right="325"/>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w w:val="99"/>
              </w:rPr>
              <w:t>Underlying Derivative Security (Instr.</w:t>
            </w: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8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3,914,906</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X,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192,885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Affiliates X,</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L.P.</w:t>
            </w:r>
            <w:r>
              <w:rPr>
                <w:rFonts w:ascii="Times New Roman" w:cs="Times New Roman" w:eastAsia="Times New Roman" w:hAnsi="Times New Roman"/>
                <w:sz w:val="25"/>
                <w:szCs w:val="25"/>
                <w:color w:val="008000"/>
                <w:vertAlign w:val="superscript"/>
              </w:rPr>
              <w:t>(4)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4,026,218</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X,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A-1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12,743,557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X,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2,680,821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X,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13,404,106</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4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4,490,223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6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III, L.P.</w:t>
            </w:r>
            <w:r>
              <w:rPr>
                <w:rFonts w:ascii="Times New Roman" w:cs="Times New Roman" w:eastAsia="Times New Roman" w:hAnsi="Times New Roman"/>
                <w:sz w:val="25"/>
                <w:szCs w:val="25"/>
                <w:color w:val="008000"/>
                <w:vertAlign w:val="superscript"/>
              </w:rPr>
              <w:t>(6)</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184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940" w:type="dxa"/>
            <w:vAlign w:val="bottom"/>
            <w:tcBorders>
              <w:bottom w:val="single" w:sz="8" w:color="808080"/>
            </w:tcBorders>
          </w:tcPr>
          <w:p>
            <w:pPr>
              <w:spacing w:after="0"/>
              <w:rPr>
                <w:sz w:val="15"/>
                <w:szCs w:val="15"/>
                <w:color w:val="auto"/>
              </w:rPr>
            </w:pPr>
          </w:p>
        </w:tc>
        <w:tc>
          <w:tcPr>
            <w:tcW w:w="1460" w:type="dxa"/>
            <w:vAlign w:val="bottom"/>
            <w:tcBorders>
              <w:bottom w:val="single" w:sz="8" w:color="808080"/>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8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40" w:type="dxa"/>
            <w:vAlign w:val="bottom"/>
            <w:gridSpan w:val="5"/>
          </w:tcPr>
          <w:p>
            <w:pPr>
              <w:ind w:left="4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5"/>
          </w:tcPr>
          <w:p>
            <w:pPr>
              <w:ind w:left="4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5"/>
          </w:tcPr>
          <w:p>
            <w:pPr>
              <w:ind w:left="4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C-1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1,387,848</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2,432,552</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1,576,654</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III, L.P.</w:t>
            </w:r>
            <w:r>
              <w:rPr>
                <w:rFonts w:ascii="Times New Roman" w:cs="Times New Roman" w:eastAsia="Times New Roman" w:hAnsi="Times New Roman"/>
                <w:sz w:val="25"/>
                <w:szCs w:val="25"/>
                <w:color w:val="008000"/>
                <w:vertAlign w:val="superscript"/>
              </w:rPr>
              <w:t>(6)</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1,759,626</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385,038</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Strategic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w w:val="98"/>
              </w:rPr>
              <w:t>Partners I, L.P.</w:t>
            </w:r>
            <w:r>
              <w:rPr>
                <w:rFonts w:ascii="Times New Roman" w:cs="Times New Roman" w:eastAsia="Times New Roman" w:hAnsi="Times New Roman"/>
                <w:sz w:val="25"/>
                <w:szCs w:val="25"/>
                <w:color w:val="008000"/>
                <w:w w:val="98"/>
                <w:vertAlign w:val="superscript"/>
              </w:rPr>
              <w:t>(7)</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218,667</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67,641</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Fund, L.P.</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67,641</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67,641</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Venture Partners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Select III, L.P.</w:t>
            </w:r>
            <w:r>
              <w:rPr>
                <w:rFonts w:ascii="Times New Roman" w:cs="Times New Roman" w:eastAsia="Times New Roman" w:hAnsi="Times New Roman"/>
                <w:sz w:val="25"/>
                <w:szCs w:val="25"/>
                <w:color w:val="008000"/>
                <w:vertAlign w:val="superscript"/>
              </w:rPr>
              <w:t>(6)</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7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Lightspeed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color w:val="008000"/>
              </w:rPr>
              <w:t>(2)</w:t>
            </w:r>
          </w:p>
        </w:tc>
        <w:tc>
          <w:tcPr>
            <w:tcW w:w="28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202,927</w:t>
            </w: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Strategic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80" w:type="dxa"/>
            <w:vAlign w:val="bottom"/>
            <w:gridSpan w:val="5"/>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w w:val="99"/>
              </w:rPr>
              <w:t>Partners I, L.P.</w:t>
            </w:r>
            <w:r>
              <w:rPr>
                <w:rFonts w:ascii="Times New Roman" w:cs="Times New Roman" w:eastAsia="Times New Roman" w:hAnsi="Times New Roman"/>
                <w:sz w:val="25"/>
                <w:szCs w:val="25"/>
                <w:color w:val="008000"/>
                <w:w w:val="99"/>
                <w:vertAlign w:val="superscript"/>
              </w:rPr>
              <w:t>(7)</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14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4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2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Lightspeed Venture Partners X, L.P.</w:t>
              </w:r>
            </w:hyperlink>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960" w:type="dxa"/>
            <w:vAlign w:val="bottom"/>
            <w:gridSpan w:val="2"/>
          </w:tcPr>
          <w:p>
            <w:pPr>
              <w:jc w:val="right"/>
              <w:ind w:right="420"/>
              <w:spacing w:after="0"/>
              <w:rPr>
                <w:sz w:val="20"/>
                <w:szCs w:val="20"/>
                <w:color w:val="auto"/>
              </w:rPr>
            </w:pPr>
            <w:r>
              <w:rPr>
                <w:rFonts w:ascii="Arial" w:cs="Arial" w:eastAsia="Arial" w:hAnsi="Arial"/>
                <w:sz w:val="15"/>
                <w:szCs w:val="15"/>
                <w:color w:val="auto"/>
                <w:w w:val="95"/>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 LIGHTSPEED VENTURE PARTNERS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2200 SAND HILL ROAD</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20"/>
                <w:szCs w:val="20"/>
                <w:color w:val="0000FF"/>
                <w:w w:val="98"/>
              </w:rPr>
              <w:t>MENLO PARK</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0000FF"/>
              </w:rPr>
              <w:t>94025</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gridSpan w:val="2"/>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2"/>
          </w:tcPr>
          <w:p>
            <w:pPr>
              <w:ind w:left="80"/>
              <w:spacing w:after="0"/>
              <w:rPr>
                <w:sz w:val="20"/>
                <w:szCs w:val="20"/>
                <w:color w:val="auto"/>
              </w:rPr>
            </w:pPr>
            <w:r>
              <w:rPr>
                <w:rFonts w:ascii="Arial" w:cs="Arial" w:eastAsia="Arial" w:hAnsi="Arial"/>
                <w:sz w:val="15"/>
                <w:szCs w:val="15"/>
                <w:color w:val="auto"/>
              </w:rPr>
              <w:t>(State)</w:t>
            </w:r>
          </w:p>
        </w:tc>
        <w:tc>
          <w:tcPr>
            <w:tcW w:w="960" w:type="dxa"/>
            <w:vAlign w:val="bottom"/>
            <w:gridSpan w:val="2"/>
          </w:tcPr>
          <w:p>
            <w:pPr>
              <w:spacing w:after="0"/>
              <w:rPr>
                <w:sz w:val="20"/>
                <w:szCs w:val="20"/>
                <w:color w:val="auto"/>
              </w:rPr>
            </w:pPr>
            <w:r>
              <w:rPr>
                <w:rFonts w:ascii="Arial" w:cs="Arial" w:eastAsia="Arial" w:hAnsi="Arial"/>
                <w:sz w:val="15"/>
                <w:szCs w:val="15"/>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tcBorders>
              <w:bottom w:val="single" w:sz="8" w:color="0000EE"/>
            </w:tcBorders>
            <w:gridSpan w:val="3"/>
          </w:tcPr>
          <w:p>
            <w:pPr>
              <w:spacing w:after="0" w:line="255" w:lineRule="exact"/>
              <w:rPr>
                <w:rFonts w:ascii="Times New Roman" w:cs="Times New Roman" w:eastAsia="Times New Roman" w:hAnsi="Times New Roman"/>
                <w:sz w:val="24"/>
                <w:szCs w:val="24"/>
                <w:color w:val="0000EE"/>
                <w:w w:val="98"/>
              </w:rPr>
            </w:pPr>
            <w:hyperlink r:id="rId14">
              <w:r>
                <w:rPr>
                  <w:rFonts w:ascii="Times New Roman" w:cs="Times New Roman" w:eastAsia="Times New Roman" w:hAnsi="Times New Roman"/>
                  <w:sz w:val="24"/>
                  <w:szCs w:val="24"/>
                  <w:color w:val="0000EE"/>
                  <w:w w:val="98"/>
                </w:rPr>
                <w:t>Lightspeed Affiliates X, L.P.</w:t>
              </w:r>
            </w:hyperlink>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2"/>
          </w:tcPr>
          <w:p>
            <w:pPr>
              <w:ind w:left="80"/>
              <w:spacing w:after="0"/>
              <w:rPr>
                <w:sz w:val="20"/>
                <w:szCs w:val="20"/>
                <w:color w:val="auto"/>
              </w:rPr>
            </w:pPr>
            <w:r>
              <w:rPr>
                <w:rFonts w:ascii="Arial" w:cs="Arial" w:eastAsia="Arial" w:hAnsi="Arial"/>
                <w:sz w:val="15"/>
                <w:szCs w:val="15"/>
                <w:color w:val="auto"/>
              </w:rPr>
              <w:t>(First)</w:t>
            </w:r>
          </w:p>
        </w:tc>
        <w:tc>
          <w:tcPr>
            <w:tcW w:w="960" w:type="dxa"/>
            <w:vAlign w:val="bottom"/>
            <w:gridSpan w:val="2"/>
          </w:tcPr>
          <w:p>
            <w:pPr>
              <w:jc w:val="right"/>
              <w:ind w:right="420"/>
              <w:spacing w:after="0"/>
              <w:rPr>
                <w:sz w:val="20"/>
                <w:szCs w:val="20"/>
                <w:color w:val="auto"/>
              </w:rPr>
            </w:pPr>
            <w:r>
              <w:rPr>
                <w:rFonts w:ascii="Arial" w:cs="Arial" w:eastAsia="Arial" w:hAnsi="Arial"/>
                <w:sz w:val="15"/>
                <w:szCs w:val="15"/>
                <w:color w:val="auto"/>
                <w:w w:val="95"/>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198" w:right="479" w:bottom="0" w:gutter="0" w:footer="0" w:header="0"/>
        </w:sectPr>
      </w:pPr>
    </w:p>
    <w:p>
      <w:pPr>
        <w:spacing w:after="0" w:line="37" w:lineRule="exact"/>
        <w:rPr>
          <w:sz w:val="20"/>
          <w:szCs w:val="20"/>
          <w:color w:val="auto"/>
        </w:rPr>
      </w:pPr>
    </w:p>
    <w:p>
      <w:pPr>
        <w:ind w:left="140"/>
        <w:spacing w:after="0"/>
        <w:tabs>
          <w:tab w:leader="none" w:pos="2880" w:val="left"/>
        </w:tabs>
        <w:rPr>
          <w:sz w:val="20"/>
          <w:szCs w:val="20"/>
          <w:color w:val="auto"/>
        </w:rPr>
      </w:pPr>
      <w:r>
        <w:rPr>
          <w:rFonts w:ascii="Times New Roman" w:cs="Times New Roman" w:eastAsia="Times New Roman" w:hAnsi="Times New Roman"/>
          <w:sz w:val="20"/>
          <w:szCs w:val="20"/>
          <w:color w:val="0000FF"/>
        </w:rPr>
        <w:t>MENLO PARK  CA</w:t>
      </w:r>
      <w:r>
        <w:rPr>
          <w:sz w:val="20"/>
          <w:szCs w:val="20"/>
          <w:color w:val="auto"/>
        </w:rPr>
        <w:tab/>
      </w:r>
      <w:r>
        <w:rPr>
          <w:rFonts w:ascii="Times New Roman" w:cs="Times New Roman" w:eastAsia="Times New Roman" w:hAnsi="Times New Roman"/>
          <w:sz w:val="18"/>
          <w:szCs w:val="18"/>
          <w:color w:val="0000FF"/>
        </w:rPr>
        <w:t>94025</w:t>
      </w:r>
    </w:p>
    <w:p>
      <w:pPr>
        <w:sectPr>
          <w:pgSz w:w="11900" w:h="16838" w:orient="portrait"/>
          <w:cols w:equalWidth="0" w:num="1">
            <w:col w:w="10940"/>
          </w:cols>
          <w:pgMar w:left="480" w:top="198" w:right="479" w:bottom="0" w:gutter="0" w:footer="0" w:header="0"/>
          <w:type w:val="continuous"/>
        </w:sectPr>
      </w:pPr>
    </w:p>
    <w:bookmarkStart w:id="2" w:name="page3"/>
    <w:bookmarkEnd w:id="2"/>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Lightspeed General Partner X,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Lightspeed Ultimate General Partner X,</w:t>
        </w:r>
      </w:hyperlink>
    </w:p>
    <w:p>
      <w:pPr>
        <w:spacing w:after="0" w:line="1" w:lineRule="exact"/>
        <w:rPr>
          <w:sz w:val="20"/>
          <w:szCs w:val="20"/>
          <w:color w:val="auto"/>
        </w:rPr>
      </w:pPr>
    </w:p>
    <w:p>
      <w:pPr>
        <w:ind w:left="4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Ltd.</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Lightspeed Opportunity Fund,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Lightspeed General Partner Opportunity</w:t>
        </w:r>
      </w:hyperlink>
    </w:p>
    <w:p>
      <w:pPr>
        <w:spacing w:after="0" w:line="1" w:lineRule="exact"/>
        <w:rPr>
          <w:sz w:val="20"/>
          <w:szCs w:val="20"/>
          <w:color w:val="auto"/>
        </w:rPr>
      </w:pPr>
    </w:p>
    <w:p>
      <w:pPr>
        <w:ind w:left="4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Fund, L.P.</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line="234" w:lineRule="auto"/>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Lightspeed Ultimate General Partner</w:t>
        </w:r>
      </w:hyperlink>
    </w:p>
    <w:p>
      <w:pPr>
        <w:spacing w:after="0" w:line="1" w:lineRule="exact"/>
        <w:rPr>
          <w:sz w:val="20"/>
          <w:szCs w:val="20"/>
          <w:color w:val="auto"/>
        </w:rPr>
      </w:pPr>
    </w:p>
    <w:p>
      <w:pPr>
        <w:ind w:left="4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Opportunity Fund, Ltd.</w:t>
        </w:r>
      </w:hyperlink>
    </w:p>
    <w:p>
      <w:pPr>
        <w:spacing w:after="0" w:line="34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17"/>
                <w:szCs w:val="17"/>
                <w:color w:val="auto"/>
              </w:rPr>
            </w:pPr>
          </w:p>
        </w:tc>
      </w:tr>
      <w:tr>
        <w:trPr>
          <w:trHeight w:val="265"/>
        </w:trPr>
        <w:tc>
          <w:tcPr>
            <w:tcW w:w="22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 PARK  CA</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94025</w:t>
            </w:r>
          </w:p>
        </w:tc>
      </w:tr>
    </w:tbl>
    <w:p>
      <w:pPr>
        <w:sectPr>
          <w:pgSz w:w="11900" w:h="16838" w:orient="portrait"/>
          <w:cols w:equalWidth="0" w:num="1">
            <w:col w:w="9879"/>
          </w:cols>
          <w:pgMar w:left="580" w:top="170" w:right="1440" w:bottom="0" w:gutter="0" w:footer="0" w:header="0"/>
        </w:sectPr>
      </w:pPr>
    </w:p>
    <w:bookmarkStart w:id="3" w:name="page4"/>
    <w:bookmarkEnd w:id="3"/>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60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798445" cy="6607175"/>
                    </a:xfrm>
                    <a:prstGeom prst="rect">
                      <a:avLst/>
                    </a:prstGeom>
                    <a:noFill/>
                  </pic:spPr>
                </pic:pic>
              </a:graphicData>
            </a:graphic>
          </wp:anchor>
        </w:drawing>
      </w: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Lightspeed Strategic Partners I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23">
        <w:r>
          <w:rPr>
            <w:rFonts w:ascii="Times New Roman" w:cs="Times New Roman" w:eastAsia="Times New Roman" w:hAnsi="Times New Roman"/>
            <w:sz w:val="24"/>
            <w:szCs w:val="24"/>
            <w:u w:val="single" w:color="auto"/>
            <w:color w:val="0000EE"/>
          </w:rPr>
          <w:t>Lightspeed Strategic Partners General</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23">
        <w:r>
          <w:rPr>
            <w:rFonts w:ascii="Times New Roman" w:cs="Times New Roman" w:eastAsia="Times New Roman" w:hAnsi="Times New Roman"/>
            <w:sz w:val="24"/>
            <w:szCs w:val="24"/>
            <w:u w:val="single" w:color="auto"/>
            <w:color w:val="0000EE"/>
          </w:rPr>
          <w:t>Partner I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24">
        <w:r>
          <w:rPr>
            <w:rFonts w:ascii="Times New Roman" w:cs="Times New Roman" w:eastAsia="Times New Roman" w:hAnsi="Times New Roman"/>
            <w:sz w:val="24"/>
            <w:szCs w:val="24"/>
            <w:u w:val="single" w:color="auto"/>
            <w:color w:val="0000EE"/>
          </w:rPr>
          <w:t>Lightspeed Strategic Partners Ultimate</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24">
        <w:r>
          <w:rPr>
            <w:rFonts w:ascii="Times New Roman" w:cs="Times New Roman" w:eastAsia="Times New Roman" w:hAnsi="Times New Roman"/>
            <w:sz w:val="24"/>
            <w:szCs w:val="24"/>
            <w:u w:val="single" w:color="auto"/>
            <w:color w:val="0000EE"/>
          </w:rPr>
          <w:t>General Partner I 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LIGHTSPEED VENTURE PARTNERS</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2200 SAND HILL ROAD</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6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29" w:lineRule="exact"/>
        <w:rPr>
          <w:rFonts w:ascii="Times New Roman" w:cs="Times New Roman" w:eastAsia="Times New Roman" w:hAnsi="Times New Roman"/>
          <w:sz w:val="15"/>
          <w:szCs w:val="15"/>
          <w:color w:val="008000"/>
        </w:rPr>
      </w:pPr>
    </w:p>
    <w:p>
      <w:pPr>
        <w:jc w:val="both"/>
        <w:ind w:right="26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Seed, Series A, Series A-1, Series B, Series C, Series C-1, Series D, Series E, Series F and Series G-1 Preferred Stock are each convertible into Class A Common Stock on a ratio dependent on the public offering price of the Class A Common Stock in the Issuer's initial public offering, and have no expiration date. Upon the closing of the Issuer's initial public offering, all shares of Series Seed, Series A, Series A-1, Series B, Series C, Series C-1, Series D, Series E, Series F and Series G-1 Preferred Stock will be converted into shares of Class A Common Stock of the Issuer.</w:t>
      </w:r>
    </w:p>
    <w:p>
      <w:pPr>
        <w:spacing w:after="0" w:line="33" w:lineRule="exact"/>
        <w:rPr>
          <w:rFonts w:ascii="Times New Roman" w:cs="Times New Roman" w:eastAsia="Times New Roman" w:hAnsi="Times New Roman"/>
          <w:sz w:val="15"/>
          <w:szCs w:val="15"/>
          <w:color w:val="008000"/>
        </w:rPr>
      </w:pPr>
    </w:p>
    <w:p>
      <w:pPr>
        <w:ind w:right="6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Venture Partners X, L.P.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p>
      <w:pPr>
        <w:spacing w:after="0" w:line="29" w:lineRule="exact"/>
        <w:rPr>
          <w:rFonts w:ascii="Times New Roman" w:cs="Times New Roman" w:eastAsia="Times New Roman" w:hAnsi="Times New Roman"/>
          <w:sz w:val="15"/>
          <w:szCs w:val="15"/>
          <w:color w:val="008000"/>
        </w:rPr>
      </w:pPr>
    </w:p>
    <w:p>
      <w:pPr>
        <w:ind w:right="30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17" w:lineRule="exact"/>
        <w:rPr>
          <w:rFonts w:ascii="Times New Roman" w:cs="Times New Roman" w:eastAsia="Times New Roman" w:hAnsi="Times New Roman"/>
          <w:sz w:val="15"/>
          <w:szCs w:val="15"/>
          <w:color w:val="008000"/>
        </w:rPr>
      </w:pPr>
    </w:p>
    <w:p>
      <w:pPr>
        <w:ind w:right="30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Venture Partners Select II, L.P.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29" w:lineRule="exact"/>
        <w:rPr>
          <w:rFonts w:ascii="Times New Roman" w:cs="Times New Roman" w:eastAsia="Times New Roman" w:hAnsi="Times New Roman"/>
          <w:sz w:val="15"/>
          <w:szCs w:val="15"/>
          <w:color w:val="008000"/>
        </w:rPr>
      </w:pPr>
    </w:p>
    <w:p>
      <w:pPr>
        <w:ind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29" w:lineRule="exact"/>
        <w:rPr>
          <w:rFonts w:ascii="Times New Roman" w:cs="Times New Roman" w:eastAsia="Times New Roman" w:hAnsi="Times New Roman"/>
          <w:sz w:val="15"/>
          <w:szCs w:val="15"/>
          <w:color w:val="008000"/>
        </w:rPr>
      </w:pPr>
    </w:p>
    <w:p>
      <w:pPr>
        <w:ind w:right="10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Lightspeed Strategic Partners I L.P. ("Strategic ").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5"/>
          <w:szCs w:val="15"/>
          <w:color w:val="008000"/>
        </w:rPr>
        <w:t>This Form 3 is the first of two Forms 3 filed relating to the same events. Combined, the two Form 3s report beneficial ownership of securities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and Lightspeed Ultimate General Partner Select III, Ltd. This Form 3 has been split into two filings because there are more than 10 reporting persons in total, and the SEC's EDGAR filing system limits a single Form 3 to a maximum of 10 reporting persons.</w:t>
      </w:r>
    </w:p>
    <w:p>
      <w:pPr>
        <w:spacing w:after="0" w:line="43"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Lightspeed Venture</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10/29/2025</w:t>
            </w:r>
          </w:p>
        </w:tc>
      </w:tr>
      <w:tr>
        <w:trPr>
          <w:trHeight w:val="220"/>
        </w:trPr>
        <w:tc>
          <w:tcPr>
            <w:tcW w:w="160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4"/>
              </w:rPr>
              <w:t>Partners X, L.P., By:</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62" w:orient="portrait"/>
          <w:cols w:equalWidth="0" w:num="1">
            <w:col w:w="10800"/>
          </w:cols>
          <w:pgMar w:left="520" w:top="170" w:right="579" w:bottom="0" w:gutter="0" w:footer="0" w:header="0"/>
        </w:sectPr>
      </w:pPr>
    </w:p>
    <w:bookmarkStart w:id="4" w:name="page5"/>
    <w:bookmarkEnd w:id="4"/>
    <w:p>
      <w:pPr>
        <w:ind w:left="5620"/>
        <w:spacing w:after="0"/>
        <w:rPr>
          <w:sz w:val="20"/>
          <w:szCs w:val="20"/>
          <w:color w:val="auto"/>
        </w:rPr>
      </w:pPr>
      <w:r>
        <w:rPr>
          <w:rFonts w:ascii="Times New Roman" w:cs="Times New Roman" w:eastAsia="Times New Roman" w:hAnsi="Times New Roman"/>
          <w:sz w:val="20"/>
          <w:szCs w:val="20"/>
          <w:color w:val="0000FF"/>
        </w:rPr>
        <w:t>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9734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0000FF"/>
        </w:rPr>
        <w:t>Partner X,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47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Partner,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7538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7538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Ultimate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452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X,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5631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5631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7218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97218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3248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83248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Affiliates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19824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9824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47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General Partner X,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477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663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1663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473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General Partner 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030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728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97345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Partner X,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7345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473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General Partner 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030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728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01473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697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7726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41275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1868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0000FF"/>
        </w:rPr>
        <w:t>Fund,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159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7804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8041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Opportunity Fund,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2461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663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1663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473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7804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8041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Opportunity Fund,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540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3540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030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728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97345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Partner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31064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473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Ultimate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4523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Opportunity Fund,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540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3540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030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728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9728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01473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78041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8041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Opportunity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8745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7726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41275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02171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Partners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4297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9429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217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Partners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8968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8968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0904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0904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By: 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3190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Partners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9349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Partner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6647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96647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030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458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2458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02171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Partners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8968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8968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1473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Strategic Partners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General Partner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4142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7825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2458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2458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02171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Partners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9349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7740" w:space="60"/>
            <w:col w:w="1219"/>
          </w:cols>
          <w:pgMar w:left="1440" w:top="124"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Partner I L.L.C., By /s/</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Ravi Mhatre, Manager</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gridSpan w:val="2"/>
          </w:tcPr>
          <w:p>
            <w:pPr>
              <w:spacing w:after="0"/>
              <w:rPr>
                <w:sz w:val="20"/>
                <w:szCs w:val="20"/>
                <w:color w:val="auto"/>
              </w:rPr>
            </w:pPr>
          </w:p>
        </w:tc>
        <w:tc>
          <w:tcPr>
            <w:tcW w:w="520" w:type="dxa"/>
            <w:vAlign w:val="bottom"/>
            <w:vMerge w:val="restart"/>
          </w:tcPr>
          <w:p>
            <w:pPr>
              <w:ind w:left="20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 Type="http://schemas.openxmlformats.org/officeDocument/2006/relationships/hyperlink" Target="http://www.sec.gov/cgi-bin/browse-edgar?action=getcompany&amp;CIK=0001602573" TargetMode="External"/><Relationship Id="rId11" Type="http://schemas.openxmlformats.org/officeDocument/2006/relationships/hyperlink" Target="http://www.sec.gov/cgi-bin/browse-edgar?action=getcompany&amp;CIK=0001639723" TargetMode="External"/><Relationship Id="rId14" Type="http://schemas.openxmlformats.org/officeDocument/2006/relationships/hyperlink" Target="http://www.sec.gov/cgi-bin/browse-edgar?action=getcompany&amp;CIK=0001617751" TargetMode="External"/><Relationship Id="rId16" Type="http://schemas.openxmlformats.org/officeDocument/2006/relationships/hyperlink" Target="http://www.sec.gov/cgi-bin/browse-edgar?action=getcompany&amp;CIK=0001700550" TargetMode="External"/><Relationship Id="rId17" Type="http://schemas.openxmlformats.org/officeDocument/2006/relationships/hyperlink" Target="http://www.sec.gov/cgi-bin/browse-edgar?action=getcompany&amp;CIK=0001700549" TargetMode="External"/><Relationship Id="rId18" Type="http://schemas.openxmlformats.org/officeDocument/2006/relationships/hyperlink" Target="http://www.sec.gov/cgi-bin/browse-edgar?action=getcompany&amp;CIK=0001780948" TargetMode="External"/><Relationship Id="rId19" Type="http://schemas.openxmlformats.org/officeDocument/2006/relationships/hyperlink" Target="http://www.sec.gov/cgi-bin/browse-edgar?action=getcompany&amp;CIK=0001980478" TargetMode="External"/><Relationship Id="rId20" Type="http://schemas.openxmlformats.org/officeDocument/2006/relationships/hyperlink" Target="http://www.sec.gov/cgi-bin/browse-edgar?action=getcompany&amp;CIK=0001980477" TargetMode="External"/><Relationship Id="rId22" Type="http://schemas.openxmlformats.org/officeDocument/2006/relationships/hyperlink" Target="http://www.sec.gov/cgi-bin/browse-edgar?action=getcompany&amp;CIK=0001830973" TargetMode="External"/><Relationship Id="rId23" Type="http://schemas.openxmlformats.org/officeDocument/2006/relationships/hyperlink" Target="http://www.sec.gov/cgi-bin/browse-edgar?action=getcompany&amp;CIK=0001978187" TargetMode="External"/><Relationship Id="rId24" Type="http://schemas.openxmlformats.org/officeDocument/2006/relationships/hyperlink" Target="http://www.sec.gov/cgi-bin/browse-edgar?action=getcompany&amp;CIK=0001978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2025-10-29T20:47:28Z</dcterms:created>
  <dcterms:modified xsi:type="dcterms:W3CDTF">2025-10-29T20:47:28Z</dcterms:modified>
</cp:coreProperties>
</file>